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19F0" w14:textId="77777777" w:rsidR="008E3BF4" w:rsidRPr="003C3BE9" w:rsidRDefault="00530185" w:rsidP="00FE115C">
      <w:pPr>
        <w:jc w:val="center"/>
        <w:rPr>
          <w:b/>
          <w:smallCaps/>
          <w:sz w:val="32"/>
        </w:rPr>
      </w:pPr>
      <w:bookmarkStart w:id="0" w:name="_GoBack"/>
      <w:bookmarkEnd w:id="0"/>
      <w:r w:rsidRPr="003C3BE9">
        <w:rPr>
          <w:b/>
          <w:smallCaps/>
          <w:sz w:val="32"/>
        </w:rPr>
        <w:t>Before</w:t>
      </w:r>
    </w:p>
    <w:p w14:paraId="187A04AD" w14:textId="77777777" w:rsidR="00FE115C" w:rsidRPr="003C3BE9" w:rsidRDefault="00530185" w:rsidP="00FE115C">
      <w:pPr>
        <w:jc w:val="center"/>
        <w:rPr>
          <w:b/>
          <w:smallCaps/>
          <w:sz w:val="32"/>
        </w:rPr>
      </w:pPr>
      <w:r w:rsidRPr="003C3BE9">
        <w:rPr>
          <w:b/>
          <w:smallCaps/>
          <w:sz w:val="32"/>
        </w:rPr>
        <w:t>The Public Utilities Commission of Ohio</w:t>
      </w:r>
    </w:p>
    <w:p w14:paraId="1C121753" w14:textId="77777777" w:rsidR="00FE115C" w:rsidRPr="003C3BE9" w:rsidRDefault="00FE115C"/>
    <w:tbl>
      <w:tblPr>
        <w:tblW w:w="0" w:type="auto"/>
        <w:tblLook w:val="04A0" w:firstRow="1" w:lastRow="0" w:firstColumn="1" w:lastColumn="0" w:noHBand="0" w:noVBand="1"/>
      </w:tblPr>
      <w:tblGrid>
        <w:gridCol w:w="4158"/>
        <w:gridCol w:w="626"/>
        <w:gridCol w:w="4576"/>
      </w:tblGrid>
      <w:tr w:rsidR="000D2257" w14:paraId="1A282EFB" w14:textId="77777777" w:rsidTr="000D2257">
        <w:tc>
          <w:tcPr>
            <w:tcW w:w="4158" w:type="dxa"/>
            <w:hideMark/>
          </w:tcPr>
          <w:p w14:paraId="0E9B6FD2" w14:textId="77777777" w:rsidR="000D2257" w:rsidRDefault="000D2257">
            <w:pPr>
              <w:spacing w:line="276" w:lineRule="auto"/>
              <w:rPr>
                <w:rFonts w:eastAsia="Calibri" w:cs="Times New Roman"/>
              </w:rPr>
            </w:pPr>
            <w:r>
              <w:rPr>
                <w:rFonts w:eastAsia="Calibri"/>
              </w:rPr>
              <w:t>In the Matter of the Application of Ohio Gas Company for an Increase in Gas Distribution Rates</w:t>
            </w:r>
          </w:p>
        </w:tc>
        <w:tc>
          <w:tcPr>
            <w:tcW w:w="626" w:type="dxa"/>
            <w:hideMark/>
          </w:tcPr>
          <w:p w14:paraId="7C1D819C" w14:textId="77777777" w:rsidR="000D2257" w:rsidRDefault="000D2257">
            <w:pPr>
              <w:spacing w:line="276" w:lineRule="auto"/>
              <w:rPr>
                <w:rFonts w:eastAsia="Calibri"/>
              </w:rPr>
            </w:pPr>
            <w:r>
              <w:rPr>
                <w:rFonts w:eastAsia="Calibri"/>
              </w:rPr>
              <w:t>)</w:t>
            </w:r>
          </w:p>
          <w:p w14:paraId="130231F7" w14:textId="77777777" w:rsidR="000D2257" w:rsidRDefault="000D2257">
            <w:pPr>
              <w:spacing w:line="276" w:lineRule="auto"/>
              <w:rPr>
                <w:rFonts w:eastAsia="Calibri"/>
              </w:rPr>
            </w:pPr>
            <w:r>
              <w:rPr>
                <w:rFonts w:eastAsia="Calibri"/>
              </w:rPr>
              <w:t>)</w:t>
            </w:r>
          </w:p>
          <w:p w14:paraId="5643809C" w14:textId="77777777" w:rsidR="000D2257" w:rsidRDefault="000D2257">
            <w:pPr>
              <w:spacing w:line="276" w:lineRule="auto"/>
              <w:rPr>
                <w:rFonts w:eastAsia="Calibri"/>
              </w:rPr>
            </w:pPr>
            <w:r>
              <w:rPr>
                <w:rFonts w:eastAsia="Calibri"/>
              </w:rPr>
              <w:t>)</w:t>
            </w:r>
          </w:p>
        </w:tc>
        <w:tc>
          <w:tcPr>
            <w:tcW w:w="4576" w:type="dxa"/>
          </w:tcPr>
          <w:p w14:paraId="76A9BD21" w14:textId="77777777" w:rsidR="000D2257" w:rsidRDefault="000D2257">
            <w:pPr>
              <w:spacing w:line="276" w:lineRule="auto"/>
              <w:rPr>
                <w:rFonts w:eastAsia="Calibri"/>
              </w:rPr>
            </w:pPr>
          </w:p>
          <w:p w14:paraId="68C9A0BC" w14:textId="77777777" w:rsidR="000D2257" w:rsidRDefault="000D2257">
            <w:pPr>
              <w:spacing w:line="276" w:lineRule="auto"/>
              <w:rPr>
                <w:rFonts w:eastAsia="Calibri"/>
              </w:rPr>
            </w:pPr>
            <w:r>
              <w:rPr>
                <w:rFonts w:eastAsia="Calibri"/>
              </w:rPr>
              <w:t>Case No. 17-1139-GA-AIR</w:t>
            </w:r>
          </w:p>
        </w:tc>
      </w:tr>
      <w:tr w:rsidR="000D2257" w14:paraId="4E76CBF6" w14:textId="77777777" w:rsidTr="000D2257">
        <w:tc>
          <w:tcPr>
            <w:tcW w:w="4158" w:type="dxa"/>
          </w:tcPr>
          <w:p w14:paraId="129F0F21" w14:textId="77777777" w:rsidR="000D2257" w:rsidRDefault="000D2257">
            <w:pPr>
              <w:spacing w:line="276" w:lineRule="auto"/>
              <w:rPr>
                <w:rFonts w:eastAsia="Calibri"/>
              </w:rPr>
            </w:pPr>
          </w:p>
        </w:tc>
        <w:tc>
          <w:tcPr>
            <w:tcW w:w="626" w:type="dxa"/>
          </w:tcPr>
          <w:p w14:paraId="7B142473" w14:textId="77777777" w:rsidR="000D2257" w:rsidRDefault="000D2257">
            <w:pPr>
              <w:spacing w:line="276" w:lineRule="auto"/>
              <w:rPr>
                <w:rFonts w:eastAsia="Calibri"/>
              </w:rPr>
            </w:pPr>
          </w:p>
        </w:tc>
        <w:tc>
          <w:tcPr>
            <w:tcW w:w="4576" w:type="dxa"/>
          </w:tcPr>
          <w:p w14:paraId="4EC74A36" w14:textId="77777777" w:rsidR="000D2257" w:rsidRDefault="000D2257">
            <w:pPr>
              <w:spacing w:line="276" w:lineRule="auto"/>
              <w:rPr>
                <w:rFonts w:eastAsia="Calibri"/>
              </w:rPr>
            </w:pPr>
          </w:p>
        </w:tc>
      </w:tr>
      <w:tr w:rsidR="000D2257" w14:paraId="1A5114C5" w14:textId="77777777" w:rsidTr="000D2257">
        <w:tc>
          <w:tcPr>
            <w:tcW w:w="4158" w:type="dxa"/>
            <w:hideMark/>
          </w:tcPr>
          <w:p w14:paraId="3E7B8E1C" w14:textId="77777777" w:rsidR="000D2257" w:rsidRDefault="000D2257">
            <w:pPr>
              <w:spacing w:line="276" w:lineRule="auto"/>
              <w:rPr>
                <w:rFonts w:eastAsia="Calibri"/>
              </w:rPr>
            </w:pPr>
            <w:r>
              <w:rPr>
                <w:rFonts w:eastAsia="Calibri"/>
              </w:rPr>
              <w:t>In the Matter of the Application of Ohio Gas Company for Tariff Approval</w:t>
            </w:r>
          </w:p>
        </w:tc>
        <w:tc>
          <w:tcPr>
            <w:tcW w:w="626" w:type="dxa"/>
            <w:hideMark/>
          </w:tcPr>
          <w:p w14:paraId="250797AC" w14:textId="77777777" w:rsidR="000D2257" w:rsidRDefault="000D2257">
            <w:pPr>
              <w:spacing w:line="276" w:lineRule="auto"/>
              <w:rPr>
                <w:rFonts w:eastAsia="Calibri"/>
              </w:rPr>
            </w:pPr>
            <w:r>
              <w:rPr>
                <w:rFonts w:eastAsia="Calibri"/>
              </w:rPr>
              <w:t>)</w:t>
            </w:r>
          </w:p>
          <w:p w14:paraId="2F52709C" w14:textId="77777777" w:rsidR="000D2257" w:rsidRDefault="000D2257">
            <w:pPr>
              <w:spacing w:line="276" w:lineRule="auto"/>
              <w:rPr>
                <w:rFonts w:eastAsia="Calibri"/>
              </w:rPr>
            </w:pPr>
            <w:r>
              <w:rPr>
                <w:rFonts w:eastAsia="Calibri"/>
              </w:rPr>
              <w:t>)</w:t>
            </w:r>
          </w:p>
          <w:p w14:paraId="08B6E352" w14:textId="77777777" w:rsidR="000D2257" w:rsidRDefault="000D2257">
            <w:pPr>
              <w:spacing w:line="276" w:lineRule="auto"/>
              <w:rPr>
                <w:rFonts w:eastAsia="Calibri"/>
              </w:rPr>
            </w:pPr>
            <w:r>
              <w:rPr>
                <w:rFonts w:eastAsia="Calibri"/>
              </w:rPr>
              <w:t>)</w:t>
            </w:r>
          </w:p>
        </w:tc>
        <w:tc>
          <w:tcPr>
            <w:tcW w:w="4576" w:type="dxa"/>
          </w:tcPr>
          <w:p w14:paraId="6B3B81AD" w14:textId="77777777" w:rsidR="000D2257" w:rsidRDefault="000D2257">
            <w:pPr>
              <w:spacing w:line="276" w:lineRule="auto"/>
              <w:rPr>
                <w:rFonts w:eastAsia="Calibri"/>
              </w:rPr>
            </w:pPr>
          </w:p>
          <w:p w14:paraId="64EAAF39" w14:textId="77777777" w:rsidR="000D2257" w:rsidRDefault="000D2257">
            <w:pPr>
              <w:spacing w:line="276" w:lineRule="auto"/>
              <w:rPr>
                <w:rFonts w:eastAsia="Calibri"/>
              </w:rPr>
            </w:pPr>
            <w:r>
              <w:rPr>
                <w:rFonts w:eastAsia="Calibri"/>
              </w:rPr>
              <w:t>Case No. 17-1140-GA-ATA</w:t>
            </w:r>
          </w:p>
        </w:tc>
      </w:tr>
      <w:tr w:rsidR="000D2257" w14:paraId="208FD5E8" w14:textId="77777777" w:rsidTr="000D2257">
        <w:tc>
          <w:tcPr>
            <w:tcW w:w="4158" w:type="dxa"/>
          </w:tcPr>
          <w:p w14:paraId="33969518" w14:textId="77777777" w:rsidR="000D2257" w:rsidRDefault="000D2257">
            <w:pPr>
              <w:spacing w:line="276" w:lineRule="auto"/>
              <w:rPr>
                <w:rFonts w:eastAsia="Calibri"/>
              </w:rPr>
            </w:pPr>
          </w:p>
        </w:tc>
        <w:tc>
          <w:tcPr>
            <w:tcW w:w="626" w:type="dxa"/>
          </w:tcPr>
          <w:p w14:paraId="32E29728" w14:textId="77777777" w:rsidR="000D2257" w:rsidRDefault="000D2257">
            <w:pPr>
              <w:spacing w:line="276" w:lineRule="auto"/>
              <w:rPr>
                <w:rFonts w:eastAsia="Calibri"/>
              </w:rPr>
            </w:pPr>
          </w:p>
        </w:tc>
        <w:tc>
          <w:tcPr>
            <w:tcW w:w="4576" w:type="dxa"/>
          </w:tcPr>
          <w:p w14:paraId="39CDA06A" w14:textId="77777777" w:rsidR="000D2257" w:rsidRDefault="000D2257">
            <w:pPr>
              <w:spacing w:line="276" w:lineRule="auto"/>
              <w:rPr>
                <w:rFonts w:eastAsia="Calibri"/>
              </w:rPr>
            </w:pPr>
          </w:p>
        </w:tc>
      </w:tr>
      <w:tr w:rsidR="000D2257" w14:paraId="20F8A052" w14:textId="77777777" w:rsidTr="000D2257">
        <w:tc>
          <w:tcPr>
            <w:tcW w:w="4158" w:type="dxa"/>
            <w:hideMark/>
          </w:tcPr>
          <w:p w14:paraId="490DDF20" w14:textId="77777777" w:rsidR="000D2257" w:rsidRDefault="000D2257">
            <w:pPr>
              <w:spacing w:line="276" w:lineRule="auto"/>
              <w:rPr>
                <w:rFonts w:eastAsia="Calibri"/>
              </w:rPr>
            </w:pPr>
            <w:r>
              <w:rPr>
                <w:rFonts w:eastAsia="Calibri"/>
              </w:rPr>
              <w:t>In the Matter of the Application of Ohio Gas Company for Approval of Certain Accounting Authority</w:t>
            </w:r>
          </w:p>
        </w:tc>
        <w:tc>
          <w:tcPr>
            <w:tcW w:w="626" w:type="dxa"/>
            <w:hideMark/>
          </w:tcPr>
          <w:p w14:paraId="3435B128" w14:textId="77777777" w:rsidR="000D2257" w:rsidRDefault="000D2257">
            <w:pPr>
              <w:spacing w:line="276" w:lineRule="auto"/>
              <w:rPr>
                <w:rFonts w:eastAsia="Calibri"/>
              </w:rPr>
            </w:pPr>
            <w:r>
              <w:rPr>
                <w:rFonts w:eastAsia="Calibri"/>
              </w:rPr>
              <w:t>)</w:t>
            </w:r>
          </w:p>
          <w:p w14:paraId="0ADA1FE7" w14:textId="77777777" w:rsidR="000D2257" w:rsidRDefault="000D2257">
            <w:pPr>
              <w:spacing w:line="276" w:lineRule="auto"/>
              <w:rPr>
                <w:rFonts w:eastAsia="Calibri"/>
              </w:rPr>
            </w:pPr>
            <w:r>
              <w:rPr>
                <w:rFonts w:eastAsia="Calibri"/>
              </w:rPr>
              <w:t>)</w:t>
            </w:r>
          </w:p>
          <w:p w14:paraId="6D06A89F" w14:textId="77777777" w:rsidR="000D2257" w:rsidRDefault="000D2257">
            <w:pPr>
              <w:spacing w:line="276" w:lineRule="auto"/>
              <w:rPr>
                <w:rFonts w:eastAsia="Calibri"/>
              </w:rPr>
            </w:pPr>
            <w:r>
              <w:rPr>
                <w:rFonts w:eastAsia="Calibri"/>
              </w:rPr>
              <w:t>)</w:t>
            </w:r>
          </w:p>
        </w:tc>
        <w:tc>
          <w:tcPr>
            <w:tcW w:w="4576" w:type="dxa"/>
          </w:tcPr>
          <w:p w14:paraId="337FD572" w14:textId="77777777" w:rsidR="000D2257" w:rsidRDefault="000D2257">
            <w:pPr>
              <w:spacing w:line="276" w:lineRule="auto"/>
              <w:rPr>
                <w:rFonts w:eastAsia="Calibri"/>
              </w:rPr>
            </w:pPr>
          </w:p>
          <w:p w14:paraId="4A2C4FA7" w14:textId="77777777" w:rsidR="000D2257" w:rsidRDefault="000D2257">
            <w:pPr>
              <w:spacing w:line="276" w:lineRule="auto"/>
              <w:rPr>
                <w:rFonts w:eastAsia="Calibri"/>
              </w:rPr>
            </w:pPr>
            <w:r>
              <w:rPr>
                <w:rFonts w:eastAsia="Calibri"/>
              </w:rPr>
              <w:t>Case No. 17-1141-GA-AAM</w:t>
            </w:r>
          </w:p>
        </w:tc>
      </w:tr>
    </w:tbl>
    <w:p w14:paraId="2FC68693" w14:textId="77777777" w:rsidR="00FE115C" w:rsidRPr="003C3BE9" w:rsidRDefault="00FE115C" w:rsidP="003C3BE9">
      <w:pPr>
        <w:rPr>
          <w:b/>
          <w:caps/>
        </w:rPr>
      </w:pPr>
      <w:r w:rsidRPr="003C3BE9">
        <w:rPr>
          <w:b/>
          <w:caps/>
        </w:rPr>
        <w:t>______________________________________________________________________</w:t>
      </w:r>
    </w:p>
    <w:p w14:paraId="6E25936F" w14:textId="77777777" w:rsidR="00FE115C" w:rsidRPr="003C3BE9" w:rsidRDefault="00FE115C" w:rsidP="00FE115C">
      <w:pPr>
        <w:jc w:val="center"/>
        <w:rPr>
          <w:b/>
          <w:caps/>
        </w:rPr>
      </w:pPr>
    </w:p>
    <w:p w14:paraId="329607F4" w14:textId="12A4B8DF" w:rsidR="00FE115C" w:rsidRPr="003C3BE9" w:rsidRDefault="006839B3" w:rsidP="00FE115C">
      <w:pPr>
        <w:jc w:val="center"/>
        <w:rPr>
          <w:b/>
          <w:smallCaps/>
          <w:sz w:val="32"/>
        </w:rPr>
      </w:pPr>
      <w:r>
        <w:rPr>
          <w:b/>
          <w:smallCaps/>
          <w:sz w:val="32"/>
        </w:rPr>
        <w:t>Objections to the Staff Report</w:t>
      </w:r>
      <w:r w:rsidR="00243EA0">
        <w:rPr>
          <w:b/>
          <w:smallCaps/>
          <w:sz w:val="32"/>
        </w:rPr>
        <w:t xml:space="preserve"> of Investigation and Summary of Major Issues of </w:t>
      </w:r>
      <w:r w:rsidR="00712C1F">
        <w:rPr>
          <w:b/>
          <w:smallCaps/>
          <w:sz w:val="32"/>
        </w:rPr>
        <w:t>Ohio Gas Company</w:t>
      </w:r>
    </w:p>
    <w:p w14:paraId="40BBF495" w14:textId="77777777" w:rsidR="00530185" w:rsidRPr="003C3BE9" w:rsidRDefault="00530185" w:rsidP="00530185">
      <w:pPr>
        <w:pBdr>
          <w:bottom w:val="single" w:sz="12" w:space="1" w:color="auto"/>
        </w:pBdr>
        <w:jc w:val="center"/>
        <w:rPr>
          <w:b/>
          <w:caps/>
          <w:smallCaps/>
        </w:rPr>
      </w:pPr>
    </w:p>
    <w:p w14:paraId="05A2C2E9" w14:textId="77777777" w:rsidR="00FE115C" w:rsidRPr="003C3BE9" w:rsidRDefault="00FE115C" w:rsidP="00FE115C">
      <w:pPr>
        <w:jc w:val="center"/>
        <w:rPr>
          <w:b/>
          <w:caps/>
        </w:rPr>
      </w:pPr>
    </w:p>
    <w:p w14:paraId="501C22C2" w14:textId="77777777" w:rsidR="00FE115C" w:rsidRPr="003C3BE9" w:rsidRDefault="00FE115C" w:rsidP="00FE115C">
      <w:pPr>
        <w:jc w:val="center"/>
        <w:rPr>
          <w:b/>
          <w:caps/>
        </w:rPr>
      </w:pPr>
    </w:p>
    <w:p w14:paraId="626E5C91" w14:textId="77777777" w:rsidR="00530185" w:rsidRPr="003C3BE9" w:rsidRDefault="00530185" w:rsidP="00FE115C">
      <w:pPr>
        <w:jc w:val="center"/>
        <w:rPr>
          <w:b/>
          <w:caps/>
        </w:rPr>
      </w:pPr>
    </w:p>
    <w:p w14:paraId="3EE21CB0" w14:textId="77777777" w:rsidR="00530185" w:rsidRPr="003C3BE9" w:rsidRDefault="00530185" w:rsidP="00FE115C">
      <w:pPr>
        <w:jc w:val="center"/>
        <w:rPr>
          <w:b/>
          <w:caps/>
        </w:rPr>
      </w:pPr>
    </w:p>
    <w:p w14:paraId="03736901" w14:textId="77777777" w:rsidR="00530185" w:rsidRPr="003C3BE9" w:rsidRDefault="00530185" w:rsidP="00FE115C">
      <w:pPr>
        <w:jc w:val="center"/>
        <w:rPr>
          <w:b/>
          <w:caps/>
        </w:rPr>
      </w:pPr>
    </w:p>
    <w:p w14:paraId="7D8FEF66" w14:textId="77777777" w:rsidR="003C3BE9" w:rsidRPr="003C3BE9" w:rsidRDefault="003C3BE9" w:rsidP="00FE115C">
      <w:pPr>
        <w:jc w:val="center"/>
        <w:rPr>
          <w:b/>
          <w:caps/>
        </w:rPr>
      </w:pPr>
    </w:p>
    <w:p w14:paraId="15E02A6C" w14:textId="26EEEA57" w:rsidR="00530185" w:rsidRDefault="00530185" w:rsidP="00FE115C">
      <w:pPr>
        <w:jc w:val="center"/>
        <w:rPr>
          <w:b/>
          <w:caps/>
        </w:rPr>
      </w:pPr>
    </w:p>
    <w:p w14:paraId="36A0C560" w14:textId="372C4271" w:rsidR="00DB37C1" w:rsidRDefault="00DB37C1" w:rsidP="00FE115C">
      <w:pPr>
        <w:jc w:val="center"/>
        <w:rPr>
          <w:b/>
          <w:caps/>
        </w:rPr>
      </w:pPr>
    </w:p>
    <w:p w14:paraId="6CDA9DBA" w14:textId="77777777" w:rsidR="000D2257" w:rsidRPr="003C3BE9" w:rsidRDefault="000D2257" w:rsidP="00FE115C">
      <w:pPr>
        <w:jc w:val="center"/>
        <w:rPr>
          <w:b/>
          <w:caps/>
        </w:rPr>
      </w:pPr>
    </w:p>
    <w:p w14:paraId="53C82934" w14:textId="77777777" w:rsidR="00FE115C" w:rsidRPr="003C3BE9" w:rsidRDefault="00FE115C" w:rsidP="00530185">
      <w:pPr>
        <w:widowControl w:val="0"/>
        <w:ind w:left="4680"/>
        <w:rPr>
          <w:rFonts w:cs="Arial"/>
          <w:bCs/>
        </w:rPr>
      </w:pPr>
    </w:p>
    <w:p w14:paraId="40E1A408" w14:textId="77777777" w:rsidR="00FE115C" w:rsidRPr="003C3BE9" w:rsidRDefault="00FE115C" w:rsidP="00530185">
      <w:pPr>
        <w:widowControl w:val="0"/>
        <w:ind w:left="4680"/>
        <w:rPr>
          <w:rFonts w:cs="Arial"/>
          <w:bCs/>
        </w:rPr>
      </w:pPr>
    </w:p>
    <w:p w14:paraId="2B5E8F37" w14:textId="77777777" w:rsidR="00C17F73" w:rsidRPr="003C3BE9" w:rsidRDefault="00C17F73" w:rsidP="00530185">
      <w:pPr>
        <w:widowControl w:val="0"/>
        <w:ind w:left="4680"/>
        <w:rPr>
          <w:rFonts w:cs="Arial"/>
          <w:bCs/>
        </w:rPr>
      </w:pPr>
    </w:p>
    <w:p w14:paraId="65A8EF52" w14:textId="77777777" w:rsidR="00530185" w:rsidRPr="003C3BE9" w:rsidRDefault="00530185" w:rsidP="00530185">
      <w:pPr>
        <w:tabs>
          <w:tab w:val="left" w:pos="5040"/>
        </w:tabs>
        <w:ind w:left="4320"/>
        <w:rPr>
          <w:rFonts w:cs="Arial"/>
        </w:rPr>
      </w:pPr>
      <w:r w:rsidRPr="003C3BE9">
        <w:rPr>
          <w:rFonts w:cs="Arial"/>
          <w:b/>
        </w:rPr>
        <w:t xml:space="preserve">Frank P. Darr </w:t>
      </w:r>
      <w:r w:rsidRPr="003C3BE9">
        <w:rPr>
          <w:rFonts w:cs="Arial"/>
        </w:rPr>
        <w:t>(Reg. No. 0025469)</w:t>
      </w:r>
    </w:p>
    <w:p w14:paraId="1CF1FB6D" w14:textId="77777777" w:rsidR="00530185" w:rsidRPr="003C3BE9" w:rsidRDefault="00530185" w:rsidP="00530185">
      <w:pPr>
        <w:tabs>
          <w:tab w:val="left" w:pos="5040"/>
        </w:tabs>
        <w:ind w:left="4320"/>
        <w:rPr>
          <w:rFonts w:cs="Arial"/>
          <w:color w:val="000000"/>
        </w:rPr>
      </w:pPr>
      <w:r w:rsidRPr="003C3BE9">
        <w:rPr>
          <w:rFonts w:cs="Arial"/>
          <w:b/>
        </w:rPr>
        <w:t xml:space="preserve"> </w:t>
      </w:r>
      <w:r w:rsidRPr="003C3BE9">
        <w:rPr>
          <w:rFonts w:cs="Arial"/>
          <w:color w:val="000000"/>
        </w:rPr>
        <w:t xml:space="preserve"> (Counsel of Record)</w:t>
      </w:r>
    </w:p>
    <w:p w14:paraId="0A4747E3" w14:textId="77777777" w:rsidR="00530185" w:rsidRPr="003C3BE9" w:rsidRDefault="00530185" w:rsidP="00530185">
      <w:pPr>
        <w:tabs>
          <w:tab w:val="left" w:pos="5040"/>
        </w:tabs>
        <w:ind w:left="4320"/>
        <w:rPr>
          <w:rFonts w:cs="Arial"/>
          <w:color w:val="000000"/>
        </w:rPr>
      </w:pPr>
      <w:r w:rsidRPr="003C3BE9">
        <w:rPr>
          <w:rFonts w:cs="Arial"/>
          <w:b/>
          <w:color w:val="000000"/>
        </w:rPr>
        <w:t xml:space="preserve">Matthew R. Pritchard </w:t>
      </w:r>
      <w:r w:rsidRPr="003C3BE9">
        <w:rPr>
          <w:rFonts w:cs="Arial"/>
          <w:color w:val="000000"/>
        </w:rPr>
        <w:t>(Reg. No. 0088070)</w:t>
      </w:r>
    </w:p>
    <w:p w14:paraId="6B9D8749" w14:textId="77777777" w:rsidR="00530185" w:rsidRPr="003C3BE9" w:rsidRDefault="00530185" w:rsidP="00530185">
      <w:pPr>
        <w:tabs>
          <w:tab w:val="left" w:pos="5040"/>
        </w:tabs>
        <w:ind w:left="4320"/>
        <w:rPr>
          <w:rFonts w:cs="Arial"/>
          <w:color w:val="000000"/>
        </w:rPr>
      </w:pPr>
      <w:r w:rsidRPr="003C3BE9">
        <w:rPr>
          <w:rFonts w:cs="Arial"/>
          <w:color w:val="000000"/>
        </w:rPr>
        <w:t xml:space="preserve">McNees Wallace &amp; </w:t>
      </w:r>
      <w:proofErr w:type="spellStart"/>
      <w:r w:rsidRPr="003C3BE9">
        <w:rPr>
          <w:rFonts w:cs="Arial"/>
          <w:color w:val="000000"/>
        </w:rPr>
        <w:t>Nurick</w:t>
      </w:r>
      <w:proofErr w:type="spellEnd"/>
      <w:r w:rsidRPr="003C3BE9">
        <w:rPr>
          <w:rFonts w:cs="Arial"/>
          <w:color w:val="000000"/>
        </w:rPr>
        <w:t xml:space="preserve"> </w:t>
      </w:r>
      <w:r w:rsidRPr="003C3BE9">
        <w:rPr>
          <w:rFonts w:cs="Arial"/>
          <w:smallCaps/>
          <w:color w:val="000000"/>
        </w:rPr>
        <w:t>LLC</w:t>
      </w:r>
    </w:p>
    <w:p w14:paraId="155BE1BA" w14:textId="77777777" w:rsidR="00530185" w:rsidRPr="003C3BE9" w:rsidRDefault="00530185" w:rsidP="00530185">
      <w:pPr>
        <w:tabs>
          <w:tab w:val="left" w:pos="5040"/>
        </w:tabs>
        <w:ind w:left="4320"/>
        <w:rPr>
          <w:rFonts w:cs="Arial"/>
          <w:color w:val="000000"/>
        </w:rPr>
      </w:pPr>
      <w:r w:rsidRPr="003C3BE9">
        <w:rPr>
          <w:rFonts w:cs="Arial"/>
          <w:color w:val="000000"/>
        </w:rPr>
        <w:t>21 East State Street, 17</w:t>
      </w:r>
      <w:r w:rsidRPr="003C3BE9">
        <w:rPr>
          <w:rFonts w:cs="Arial"/>
          <w:color w:val="000000"/>
          <w:vertAlign w:val="superscript"/>
        </w:rPr>
        <w:t>th</w:t>
      </w:r>
      <w:r w:rsidRPr="003C3BE9">
        <w:rPr>
          <w:rFonts w:cs="Arial"/>
          <w:color w:val="000000"/>
        </w:rPr>
        <w:t xml:space="preserve"> Floor</w:t>
      </w:r>
    </w:p>
    <w:p w14:paraId="00EF46C2" w14:textId="77777777" w:rsidR="00530185" w:rsidRPr="003C3BE9" w:rsidRDefault="00530185" w:rsidP="00530185">
      <w:pPr>
        <w:tabs>
          <w:tab w:val="left" w:pos="5040"/>
        </w:tabs>
        <w:ind w:left="4320"/>
        <w:rPr>
          <w:rFonts w:cs="Arial"/>
          <w:color w:val="000000"/>
        </w:rPr>
      </w:pPr>
      <w:r w:rsidRPr="003C3BE9">
        <w:rPr>
          <w:rFonts w:cs="Arial"/>
          <w:color w:val="000000"/>
        </w:rPr>
        <w:t>Columbus, OH  43215</w:t>
      </w:r>
    </w:p>
    <w:p w14:paraId="767A3E11" w14:textId="77777777" w:rsidR="00530185" w:rsidRPr="003C3BE9" w:rsidRDefault="00530185" w:rsidP="00530185">
      <w:pPr>
        <w:tabs>
          <w:tab w:val="left" w:pos="5040"/>
        </w:tabs>
        <w:ind w:left="4320"/>
        <w:rPr>
          <w:rFonts w:cs="Arial"/>
          <w:color w:val="000000"/>
        </w:rPr>
      </w:pPr>
      <w:r w:rsidRPr="003C3BE9">
        <w:rPr>
          <w:rFonts w:cs="Arial"/>
          <w:color w:val="000000"/>
        </w:rPr>
        <w:t>Telephone</w:t>
      </w:r>
      <w:proofErr w:type="gramStart"/>
      <w:r w:rsidRPr="003C3BE9">
        <w:rPr>
          <w:rFonts w:cs="Arial"/>
          <w:color w:val="000000"/>
        </w:rPr>
        <w:t>:  (</w:t>
      </w:r>
      <w:proofErr w:type="gramEnd"/>
      <w:r w:rsidRPr="003C3BE9">
        <w:rPr>
          <w:rFonts w:cs="Arial"/>
          <w:color w:val="000000"/>
        </w:rPr>
        <w:t>614) 469-8000</w:t>
      </w:r>
    </w:p>
    <w:p w14:paraId="4AABF7DB" w14:textId="77777777" w:rsidR="00530185" w:rsidRPr="003C3BE9" w:rsidRDefault="00530185" w:rsidP="00530185">
      <w:pPr>
        <w:tabs>
          <w:tab w:val="left" w:pos="5040"/>
        </w:tabs>
        <w:ind w:left="4320"/>
        <w:rPr>
          <w:rFonts w:cs="Arial"/>
          <w:color w:val="000000"/>
        </w:rPr>
      </w:pPr>
      <w:r w:rsidRPr="003C3BE9">
        <w:rPr>
          <w:rFonts w:cs="Arial"/>
          <w:color w:val="000000"/>
        </w:rPr>
        <w:t>Facsimile</w:t>
      </w:r>
      <w:proofErr w:type="gramStart"/>
      <w:r w:rsidRPr="003C3BE9">
        <w:rPr>
          <w:rFonts w:cs="Arial"/>
          <w:color w:val="000000"/>
        </w:rPr>
        <w:t>:  (</w:t>
      </w:r>
      <w:proofErr w:type="gramEnd"/>
      <w:r w:rsidRPr="003C3BE9">
        <w:rPr>
          <w:rFonts w:cs="Arial"/>
          <w:color w:val="000000"/>
        </w:rPr>
        <w:t>614) 469-4653</w:t>
      </w:r>
    </w:p>
    <w:p w14:paraId="42505E4E" w14:textId="77777777" w:rsidR="00530185" w:rsidRPr="003C3BE9" w:rsidRDefault="00530185" w:rsidP="00530185">
      <w:pPr>
        <w:tabs>
          <w:tab w:val="left" w:pos="5040"/>
        </w:tabs>
        <w:ind w:left="4320"/>
        <w:rPr>
          <w:rFonts w:cs="Arial"/>
          <w:color w:val="000000"/>
        </w:rPr>
      </w:pPr>
      <w:r w:rsidRPr="003C3BE9">
        <w:rPr>
          <w:rFonts w:cs="Arial"/>
          <w:color w:val="000000"/>
        </w:rPr>
        <w:t>fdarr@mwncmh.com</w:t>
      </w:r>
    </w:p>
    <w:p w14:paraId="203EB6B2" w14:textId="77777777" w:rsidR="001C6846" w:rsidRPr="003C3BE9" w:rsidRDefault="001C6846" w:rsidP="00530185">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20F394C5" w14:textId="77777777" w:rsidR="00530185" w:rsidRPr="003C3BE9" w:rsidRDefault="00530185" w:rsidP="00530185">
      <w:pPr>
        <w:tabs>
          <w:tab w:val="left" w:pos="5040"/>
        </w:tabs>
        <w:ind w:left="4320"/>
        <w:rPr>
          <w:rFonts w:cs="Arial"/>
        </w:rPr>
      </w:pPr>
      <w:r w:rsidRPr="003C3BE9">
        <w:rPr>
          <w:rFonts w:cs="Arial"/>
        </w:rPr>
        <w:t>mpritchard@mwncmh.com</w:t>
      </w:r>
    </w:p>
    <w:p w14:paraId="3B9F15B2" w14:textId="77777777" w:rsidR="001C6846" w:rsidRPr="003C3BE9" w:rsidRDefault="001C6846" w:rsidP="001C6846">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6110161E" w14:textId="77777777" w:rsidR="00530185" w:rsidRPr="003C3BE9" w:rsidRDefault="00530185" w:rsidP="00530185">
      <w:pPr>
        <w:tabs>
          <w:tab w:val="left" w:pos="5040"/>
        </w:tabs>
        <w:ind w:left="4320"/>
        <w:rPr>
          <w:rFonts w:cs="Arial"/>
          <w:color w:val="000000"/>
        </w:rPr>
      </w:pPr>
    </w:p>
    <w:p w14:paraId="412D6F8A" w14:textId="0FA7F1DA" w:rsidR="00FE115C" w:rsidRPr="003C3BE9" w:rsidRDefault="00712C1F" w:rsidP="000722D8">
      <w:pPr>
        <w:widowControl w:val="0"/>
        <w:ind w:left="4320" w:hanging="4320"/>
        <w:rPr>
          <w:rFonts w:cs="Arial"/>
          <w:b/>
          <w:caps/>
          <w:color w:val="000000" w:themeColor="text1"/>
        </w:rPr>
      </w:pPr>
      <w:r>
        <w:rPr>
          <w:rFonts w:cs="Arial"/>
          <w:b/>
          <w:smallCaps/>
        </w:rPr>
        <w:t>December 22</w:t>
      </w:r>
      <w:r w:rsidR="00530185" w:rsidRPr="003C3BE9">
        <w:rPr>
          <w:rFonts w:cs="Arial"/>
          <w:b/>
          <w:smallCaps/>
        </w:rPr>
        <w:t>, 2017</w:t>
      </w:r>
      <w:r w:rsidR="00530185" w:rsidRPr="003C3BE9">
        <w:rPr>
          <w:rFonts w:cs="Arial"/>
          <w:b/>
          <w:smallCaps/>
        </w:rPr>
        <w:tab/>
      </w:r>
      <w:r w:rsidR="00970DB0" w:rsidRPr="003C3BE9">
        <w:rPr>
          <w:rFonts w:cs="Arial"/>
          <w:b/>
          <w:smallCaps/>
        </w:rPr>
        <w:t xml:space="preserve">Counsel for </w:t>
      </w:r>
      <w:r w:rsidR="003338B3">
        <w:rPr>
          <w:rFonts w:cs="Arial"/>
          <w:b/>
          <w:smallCaps/>
        </w:rPr>
        <w:t>Ohio Gas Company</w:t>
      </w:r>
    </w:p>
    <w:p w14:paraId="071CD787" w14:textId="77777777" w:rsidR="00BF2E11" w:rsidRPr="003C3BE9" w:rsidRDefault="00BF2E11" w:rsidP="00BF2E11">
      <w:pPr>
        <w:tabs>
          <w:tab w:val="left" w:pos="-1440"/>
          <w:tab w:val="left" w:pos="-720"/>
          <w:tab w:val="left" w:pos="5040"/>
          <w:tab w:val="center" w:pos="7200"/>
        </w:tabs>
        <w:overflowPunct w:val="0"/>
        <w:autoSpaceDE w:val="0"/>
        <w:autoSpaceDN w:val="0"/>
        <w:adjustRightInd w:val="0"/>
        <w:rPr>
          <w:rFonts w:cs="Arial"/>
          <w:b/>
          <w:caps/>
          <w:color w:val="000000" w:themeColor="text1"/>
        </w:rPr>
        <w:sectPr w:rsidR="00BF2E11" w:rsidRPr="003C3BE9" w:rsidSect="005301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docGrid w:linePitch="360"/>
        </w:sectPr>
      </w:pPr>
    </w:p>
    <w:p w14:paraId="25464869" w14:textId="77777777" w:rsidR="00530185" w:rsidRPr="003C3BE9" w:rsidRDefault="00530185" w:rsidP="00530185">
      <w:pPr>
        <w:jc w:val="center"/>
        <w:rPr>
          <w:b/>
          <w:smallCaps/>
          <w:sz w:val="28"/>
          <w:szCs w:val="28"/>
        </w:rPr>
      </w:pPr>
      <w:r w:rsidRPr="003C3BE9">
        <w:rPr>
          <w:b/>
          <w:smallCaps/>
          <w:sz w:val="28"/>
          <w:szCs w:val="28"/>
        </w:rPr>
        <w:lastRenderedPageBreak/>
        <w:t>Before</w:t>
      </w:r>
    </w:p>
    <w:p w14:paraId="1454A137" w14:textId="77777777" w:rsidR="00530185" w:rsidRPr="003C3BE9" w:rsidRDefault="00530185" w:rsidP="00530185">
      <w:pPr>
        <w:jc w:val="center"/>
        <w:rPr>
          <w:b/>
          <w:smallCaps/>
          <w:sz w:val="28"/>
          <w:szCs w:val="28"/>
        </w:rPr>
      </w:pPr>
      <w:r w:rsidRPr="003C3BE9">
        <w:rPr>
          <w:b/>
          <w:smallCaps/>
          <w:sz w:val="28"/>
          <w:szCs w:val="28"/>
        </w:rPr>
        <w:t>The Public Utilities Commission of Ohio</w:t>
      </w:r>
    </w:p>
    <w:p w14:paraId="0DB96FE2" w14:textId="77777777" w:rsidR="00530185" w:rsidRPr="003C3BE9" w:rsidRDefault="00530185" w:rsidP="00530185"/>
    <w:tbl>
      <w:tblPr>
        <w:tblW w:w="0" w:type="auto"/>
        <w:tblLook w:val="04A0" w:firstRow="1" w:lastRow="0" w:firstColumn="1" w:lastColumn="0" w:noHBand="0" w:noVBand="1"/>
      </w:tblPr>
      <w:tblGrid>
        <w:gridCol w:w="4158"/>
        <w:gridCol w:w="626"/>
        <w:gridCol w:w="4576"/>
      </w:tblGrid>
      <w:tr w:rsidR="000D2257" w14:paraId="01EFBE9B" w14:textId="77777777" w:rsidTr="000D2257">
        <w:tc>
          <w:tcPr>
            <w:tcW w:w="4158" w:type="dxa"/>
            <w:hideMark/>
          </w:tcPr>
          <w:p w14:paraId="00146624" w14:textId="77777777" w:rsidR="000D2257" w:rsidRDefault="000D2257">
            <w:pPr>
              <w:spacing w:line="276" w:lineRule="auto"/>
              <w:rPr>
                <w:rFonts w:eastAsia="Calibri" w:cs="Times New Roman"/>
              </w:rPr>
            </w:pPr>
            <w:r>
              <w:rPr>
                <w:rFonts w:eastAsia="Calibri"/>
              </w:rPr>
              <w:t>In the Matter of the Application of Ohio Gas Company for an Increase in Gas Distribution Rates</w:t>
            </w:r>
          </w:p>
        </w:tc>
        <w:tc>
          <w:tcPr>
            <w:tcW w:w="626" w:type="dxa"/>
            <w:hideMark/>
          </w:tcPr>
          <w:p w14:paraId="299F2E46" w14:textId="77777777" w:rsidR="000D2257" w:rsidRDefault="000D2257">
            <w:pPr>
              <w:spacing w:line="276" w:lineRule="auto"/>
              <w:rPr>
                <w:rFonts w:eastAsia="Calibri"/>
              </w:rPr>
            </w:pPr>
            <w:r>
              <w:rPr>
                <w:rFonts w:eastAsia="Calibri"/>
              </w:rPr>
              <w:t>)</w:t>
            </w:r>
          </w:p>
          <w:p w14:paraId="5ABEF9F0" w14:textId="77777777" w:rsidR="000D2257" w:rsidRDefault="000D2257">
            <w:pPr>
              <w:spacing w:line="276" w:lineRule="auto"/>
              <w:rPr>
                <w:rFonts w:eastAsia="Calibri"/>
              </w:rPr>
            </w:pPr>
            <w:r>
              <w:rPr>
                <w:rFonts w:eastAsia="Calibri"/>
              </w:rPr>
              <w:t>)</w:t>
            </w:r>
          </w:p>
          <w:p w14:paraId="6B8750BD" w14:textId="77777777" w:rsidR="000D2257" w:rsidRDefault="000D2257">
            <w:pPr>
              <w:spacing w:line="276" w:lineRule="auto"/>
              <w:rPr>
                <w:rFonts w:eastAsia="Calibri"/>
              </w:rPr>
            </w:pPr>
            <w:r>
              <w:rPr>
                <w:rFonts w:eastAsia="Calibri"/>
              </w:rPr>
              <w:t>)</w:t>
            </w:r>
          </w:p>
        </w:tc>
        <w:tc>
          <w:tcPr>
            <w:tcW w:w="4576" w:type="dxa"/>
          </w:tcPr>
          <w:p w14:paraId="413159B9" w14:textId="77777777" w:rsidR="000D2257" w:rsidRDefault="000D2257">
            <w:pPr>
              <w:spacing w:line="276" w:lineRule="auto"/>
              <w:rPr>
                <w:rFonts w:eastAsia="Calibri"/>
              </w:rPr>
            </w:pPr>
          </w:p>
          <w:p w14:paraId="1D4BD9D0" w14:textId="77777777" w:rsidR="000D2257" w:rsidRDefault="000D2257">
            <w:pPr>
              <w:spacing w:line="276" w:lineRule="auto"/>
              <w:rPr>
                <w:rFonts w:eastAsia="Calibri"/>
              </w:rPr>
            </w:pPr>
            <w:r>
              <w:rPr>
                <w:rFonts w:eastAsia="Calibri"/>
              </w:rPr>
              <w:t>Case No. 17-1139-GA-AIR</w:t>
            </w:r>
          </w:p>
        </w:tc>
      </w:tr>
      <w:tr w:rsidR="000D2257" w14:paraId="46BF6830" w14:textId="77777777" w:rsidTr="000D2257">
        <w:tc>
          <w:tcPr>
            <w:tcW w:w="4158" w:type="dxa"/>
          </w:tcPr>
          <w:p w14:paraId="65700311" w14:textId="77777777" w:rsidR="000D2257" w:rsidRDefault="000D2257">
            <w:pPr>
              <w:spacing w:line="276" w:lineRule="auto"/>
              <w:rPr>
                <w:rFonts w:eastAsia="Calibri"/>
              </w:rPr>
            </w:pPr>
          </w:p>
        </w:tc>
        <w:tc>
          <w:tcPr>
            <w:tcW w:w="626" w:type="dxa"/>
          </w:tcPr>
          <w:p w14:paraId="15329D50" w14:textId="77777777" w:rsidR="000D2257" w:rsidRDefault="000D2257">
            <w:pPr>
              <w:spacing w:line="276" w:lineRule="auto"/>
              <w:rPr>
                <w:rFonts w:eastAsia="Calibri"/>
              </w:rPr>
            </w:pPr>
          </w:p>
        </w:tc>
        <w:tc>
          <w:tcPr>
            <w:tcW w:w="4576" w:type="dxa"/>
          </w:tcPr>
          <w:p w14:paraId="51C9D363" w14:textId="77777777" w:rsidR="000D2257" w:rsidRDefault="000D2257">
            <w:pPr>
              <w:spacing w:line="276" w:lineRule="auto"/>
              <w:rPr>
                <w:rFonts w:eastAsia="Calibri"/>
              </w:rPr>
            </w:pPr>
          </w:p>
        </w:tc>
      </w:tr>
      <w:tr w:rsidR="000D2257" w14:paraId="1EA65435" w14:textId="77777777" w:rsidTr="000D2257">
        <w:tc>
          <w:tcPr>
            <w:tcW w:w="4158" w:type="dxa"/>
            <w:hideMark/>
          </w:tcPr>
          <w:p w14:paraId="380CD081" w14:textId="77777777" w:rsidR="000D2257" w:rsidRDefault="000D2257">
            <w:pPr>
              <w:spacing w:line="276" w:lineRule="auto"/>
              <w:rPr>
                <w:rFonts w:eastAsia="Calibri"/>
              </w:rPr>
            </w:pPr>
            <w:r>
              <w:rPr>
                <w:rFonts w:eastAsia="Calibri"/>
              </w:rPr>
              <w:t>In the Matter of the Application of Ohio Gas Company for Tariff Approval</w:t>
            </w:r>
          </w:p>
        </w:tc>
        <w:tc>
          <w:tcPr>
            <w:tcW w:w="626" w:type="dxa"/>
            <w:hideMark/>
          </w:tcPr>
          <w:p w14:paraId="5EA7C140" w14:textId="77777777" w:rsidR="000D2257" w:rsidRDefault="000D2257">
            <w:pPr>
              <w:spacing w:line="276" w:lineRule="auto"/>
              <w:rPr>
                <w:rFonts w:eastAsia="Calibri"/>
              </w:rPr>
            </w:pPr>
            <w:r>
              <w:rPr>
                <w:rFonts w:eastAsia="Calibri"/>
              </w:rPr>
              <w:t>)</w:t>
            </w:r>
          </w:p>
          <w:p w14:paraId="64AD8CAA" w14:textId="77777777" w:rsidR="000D2257" w:rsidRDefault="000D2257">
            <w:pPr>
              <w:spacing w:line="276" w:lineRule="auto"/>
              <w:rPr>
                <w:rFonts w:eastAsia="Calibri"/>
              </w:rPr>
            </w:pPr>
            <w:r>
              <w:rPr>
                <w:rFonts w:eastAsia="Calibri"/>
              </w:rPr>
              <w:t>)</w:t>
            </w:r>
          </w:p>
          <w:p w14:paraId="70FA3C7B" w14:textId="77777777" w:rsidR="000D2257" w:rsidRDefault="000D2257">
            <w:pPr>
              <w:spacing w:line="276" w:lineRule="auto"/>
              <w:rPr>
                <w:rFonts w:eastAsia="Calibri"/>
              </w:rPr>
            </w:pPr>
            <w:r>
              <w:rPr>
                <w:rFonts w:eastAsia="Calibri"/>
              </w:rPr>
              <w:t>)</w:t>
            </w:r>
          </w:p>
        </w:tc>
        <w:tc>
          <w:tcPr>
            <w:tcW w:w="4576" w:type="dxa"/>
          </w:tcPr>
          <w:p w14:paraId="4AEF3C02" w14:textId="77777777" w:rsidR="000D2257" w:rsidRDefault="000D2257">
            <w:pPr>
              <w:spacing w:line="276" w:lineRule="auto"/>
              <w:rPr>
                <w:rFonts w:eastAsia="Calibri"/>
              </w:rPr>
            </w:pPr>
          </w:p>
          <w:p w14:paraId="56DE0658" w14:textId="77777777" w:rsidR="000D2257" w:rsidRDefault="000D2257">
            <w:pPr>
              <w:spacing w:line="276" w:lineRule="auto"/>
              <w:rPr>
                <w:rFonts w:eastAsia="Calibri"/>
              </w:rPr>
            </w:pPr>
            <w:r>
              <w:rPr>
                <w:rFonts w:eastAsia="Calibri"/>
              </w:rPr>
              <w:t>Case No. 17-1140-GA-ATA</w:t>
            </w:r>
          </w:p>
        </w:tc>
      </w:tr>
      <w:tr w:rsidR="000D2257" w14:paraId="1FFB008C" w14:textId="77777777" w:rsidTr="000D2257">
        <w:tc>
          <w:tcPr>
            <w:tcW w:w="4158" w:type="dxa"/>
          </w:tcPr>
          <w:p w14:paraId="6DF940DB" w14:textId="77777777" w:rsidR="000D2257" w:rsidRDefault="000D2257">
            <w:pPr>
              <w:spacing w:line="276" w:lineRule="auto"/>
              <w:rPr>
                <w:rFonts w:eastAsia="Calibri"/>
              </w:rPr>
            </w:pPr>
          </w:p>
        </w:tc>
        <w:tc>
          <w:tcPr>
            <w:tcW w:w="626" w:type="dxa"/>
          </w:tcPr>
          <w:p w14:paraId="0E39F5F7" w14:textId="77777777" w:rsidR="000D2257" w:rsidRDefault="000D2257">
            <w:pPr>
              <w:spacing w:line="276" w:lineRule="auto"/>
              <w:rPr>
                <w:rFonts w:eastAsia="Calibri"/>
              </w:rPr>
            </w:pPr>
          </w:p>
        </w:tc>
        <w:tc>
          <w:tcPr>
            <w:tcW w:w="4576" w:type="dxa"/>
          </w:tcPr>
          <w:p w14:paraId="609DC77D" w14:textId="77777777" w:rsidR="000D2257" w:rsidRDefault="000D2257">
            <w:pPr>
              <w:spacing w:line="276" w:lineRule="auto"/>
              <w:rPr>
                <w:rFonts w:eastAsia="Calibri"/>
              </w:rPr>
            </w:pPr>
          </w:p>
        </w:tc>
      </w:tr>
      <w:tr w:rsidR="000D2257" w14:paraId="241F5463" w14:textId="77777777" w:rsidTr="000D2257">
        <w:tc>
          <w:tcPr>
            <w:tcW w:w="4158" w:type="dxa"/>
            <w:hideMark/>
          </w:tcPr>
          <w:p w14:paraId="7B50B12E" w14:textId="77777777" w:rsidR="000D2257" w:rsidRDefault="000D2257">
            <w:pPr>
              <w:spacing w:line="276" w:lineRule="auto"/>
              <w:rPr>
                <w:rFonts w:eastAsia="Calibri"/>
              </w:rPr>
            </w:pPr>
            <w:r>
              <w:rPr>
                <w:rFonts w:eastAsia="Calibri"/>
              </w:rPr>
              <w:t>In the Matter of the Application of Ohio Gas Company for Approval of Certain Accounting Authority</w:t>
            </w:r>
          </w:p>
        </w:tc>
        <w:tc>
          <w:tcPr>
            <w:tcW w:w="626" w:type="dxa"/>
            <w:hideMark/>
          </w:tcPr>
          <w:p w14:paraId="61AA25FF" w14:textId="77777777" w:rsidR="000D2257" w:rsidRDefault="000D2257">
            <w:pPr>
              <w:spacing w:line="276" w:lineRule="auto"/>
              <w:rPr>
                <w:rFonts w:eastAsia="Calibri"/>
              </w:rPr>
            </w:pPr>
            <w:r>
              <w:rPr>
                <w:rFonts w:eastAsia="Calibri"/>
              </w:rPr>
              <w:t>)</w:t>
            </w:r>
          </w:p>
          <w:p w14:paraId="5780A43E" w14:textId="77777777" w:rsidR="000D2257" w:rsidRDefault="000D2257">
            <w:pPr>
              <w:spacing w:line="276" w:lineRule="auto"/>
              <w:rPr>
                <w:rFonts w:eastAsia="Calibri"/>
              </w:rPr>
            </w:pPr>
            <w:r>
              <w:rPr>
                <w:rFonts w:eastAsia="Calibri"/>
              </w:rPr>
              <w:t>)</w:t>
            </w:r>
          </w:p>
          <w:p w14:paraId="7D29BAFB" w14:textId="77777777" w:rsidR="000D2257" w:rsidRDefault="000D2257">
            <w:pPr>
              <w:spacing w:line="276" w:lineRule="auto"/>
              <w:rPr>
                <w:rFonts w:eastAsia="Calibri"/>
              </w:rPr>
            </w:pPr>
            <w:r>
              <w:rPr>
                <w:rFonts w:eastAsia="Calibri"/>
              </w:rPr>
              <w:t>)</w:t>
            </w:r>
          </w:p>
        </w:tc>
        <w:tc>
          <w:tcPr>
            <w:tcW w:w="4576" w:type="dxa"/>
          </w:tcPr>
          <w:p w14:paraId="44F734EE" w14:textId="77777777" w:rsidR="000D2257" w:rsidRDefault="000D2257">
            <w:pPr>
              <w:spacing w:line="276" w:lineRule="auto"/>
              <w:rPr>
                <w:rFonts w:eastAsia="Calibri"/>
              </w:rPr>
            </w:pPr>
          </w:p>
          <w:p w14:paraId="5AB67124" w14:textId="77777777" w:rsidR="000D2257" w:rsidRDefault="000D2257">
            <w:pPr>
              <w:spacing w:line="276" w:lineRule="auto"/>
              <w:rPr>
                <w:rFonts w:eastAsia="Calibri"/>
              </w:rPr>
            </w:pPr>
            <w:r>
              <w:rPr>
                <w:rFonts w:eastAsia="Calibri"/>
              </w:rPr>
              <w:t>Case No. 17-1141-GA-AAM</w:t>
            </w:r>
          </w:p>
        </w:tc>
      </w:tr>
    </w:tbl>
    <w:p w14:paraId="79DC823D" w14:textId="77777777" w:rsidR="00530185" w:rsidRPr="003C3BE9" w:rsidRDefault="00530185" w:rsidP="00530185">
      <w:pPr>
        <w:jc w:val="center"/>
        <w:rPr>
          <w:b/>
          <w:caps/>
        </w:rPr>
      </w:pPr>
      <w:r w:rsidRPr="003C3BE9">
        <w:rPr>
          <w:b/>
          <w:caps/>
        </w:rPr>
        <w:t>______________________________________________________________________</w:t>
      </w:r>
    </w:p>
    <w:p w14:paraId="1B7D5A78" w14:textId="77777777" w:rsidR="00530185" w:rsidRPr="00BC427B" w:rsidRDefault="00530185" w:rsidP="00530185">
      <w:pPr>
        <w:jc w:val="center"/>
        <w:rPr>
          <w:b/>
          <w:caps/>
          <w:szCs w:val="16"/>
        </w:rPr>
      </w:pPr>
    </w:p>
    <w:p w14:paraId="33046E42" w14:textId="3817CB4B" w:rsidR="00530185" w:rsidRPr="003C3BE9" w:rsidRDefault="00DE335A" w:rsidP="00530185">
      <w:pPr>
        <w:jc w:val="center"/>
        <w:rPr>
          <w:b/>
          <w:smallCaps/>
          <w:sz w:val="28"/>
          <w:szCs w:val="28"/>
        </w:rPr>
      </w:pPr>
      <w:r>
        <w:rPr>
          <w:b/>
          <w:smallCaps/>
          <w:sz w:val="28"/>
          <w:szCs w:val="28"/>
        </w:rPr>
        <w:t>Objections to the Staff Report</w:t>
      </w:r>
      <w:r w:rsidR="003C5705">
        <w:rPr>
          <w:b/>
          <w:smallCaps/>
          <w:sz w:val="28"/>
          <w:szCs w:val="28"/>
        </w:rPr>
        <w:t xml:space="preserve"> of Investigation and </w:t>
      </w:r>
      <w:r>
        <w:rPr>
          <w:b/>
          <w:smallCaps/>
          <w:sz w:val="28"/>
          <w:szCs w:val="28"/>
        </w:rPr>
        <w:br/>
      </w:r>
      <w:r w:rsidR="003C5705">
        <w:rPr>
          <w:b/>
          <w:smallCaps/>
          <w:sz w:val="28"/>
          <w:szCs w:val="28"/>
        </w:rPr>
        <w:t xml:space="preserve">Summary of Major Issues of </w:t>
      </w:r>
      <w:r w:rsidR="00712C1F">
        <w:rPr>
          <w:b/>
          <w:smallCaps/>
          <w:sz w:val="28"/>
          <w:szCs w:val="28"/>
        </w:rPr>
        <w:t>Ohio Gas Company</w:t>
      </w:r>
    </w:p>
    <w:p w14:paraId="4C06AA73" w14:textId="77777777" w:rsidR="00530185" w:rsidRPr="00BC427B" w:rsidRDefault="00530185" w:rsidP="00530185">
      <w:pPr>
        <w:pBdr>
          <w:bottom w:val="single" w:sz="12" w:space="1" w:color="auto"/>
        </w:pBdr>
        <w:jc w:val="center"/>
        <w:rPr>
          <w:b/>
          <w:caps/>
          <w:smallCaps/>
          <w:szCs w:val="16"/>
        </w:rPr>
      </w:pPr>
    </w:p>
    <w:p w14:paraId="36C5DAC4" w14:textId="77777777" w:rsidR="00530185" w:rsidRPr="003C3BE9" w:rsidRDefault="00530185" w:rsidP="00530185">
      <w:pPr>
        <w:jc w:val="center"/>
        <w:rPr>
          <w:b/>
          <w:caps/>
        </w:rPr>
      </w:pPr>
    </w:p>
    <w:p w14:paraId="3FD41F9B" w14:textId="7CCA4596" w:rsidR="003C5705" w:rsidRDefault="00502302" w:rsidP="00713728">
      <w:pPr>
        <w:spacing w:line="480" w:lineRule="auto"/>
        <w:ind w:firstLine="720"/>
        <w:jc w:val="both"/>
        <w:rPr>
          <w:rFonts w:cs="Arial"/>
        </w:rPr>
      </w:pPr>
      <w:r>
        <w:rPr>
          <w:rFonts w:cs="Arial"/>
        </w:rPr>
        <w:t>Under</w:t>
      </w:r>
      <w:r w:rsidR="003C5705">
        <w:rPr>
          <w:rFonts w:cs="Arial"/>
        </w:rPr>
        <w:t xml:space="preserve"> </w:t>
      </w:r>
      <w:r w:rsidR="00265C12">
        <w:rPr>
          <w:rFonts w:cs="Arial"/>
        </w:rPr>
        <w:t xml:space="preserve">R.C. </w:t>
      </w:r>
      <w:r w:rsidR="003C5705">
        <w:rPr>
          <w:rFonts w:cs="Arial"/>
        </w:rPr>
        <w:t>4909.19, Rule 4901-1-28</w:t>
      </w:r>
      <w:r w:rsidR="00265C12">
        <w:rPr>
          <w:rFonts w:cs="Arial"/>
        </w:rPr>
        <w:t>(B)</w:t>
      </w:r>
      <w:r w:rsidR="003C5705">
        <w:rPr>
          <w:rFonts w:cs="Arial"/>
        </w:rPr>
        <w:t>, Ohio Administrative Code</w:t>
      </w:r>
      <w:r w:rsidR="0003248C">
        <w:rPr>
          <w:rFonts w:cs="Arial"/>
        </w:rPr>
        <w:t xml:space="preserve"> (“OAC”)</w:t>
      </w:r>
      <w:r w:rsidR="003C5705">
        <w:rPr>
          <w:rFonts w:cs="Arial"/>
        </w:rPr>
        <w:t xml:space="preserve">, and the </w:t>
      </w:r>
      <w:r w:rsidR="003C5705" w:rsidRPr="0084227E">
        <w:rPr>
          <w:rFonts w:cs="Arial"/>
        </w:rPr>
        <w:t xml:space="preserve">Attorney Examiner’s Entry dated </w:t>
      </w:r>
      <w:r>
        <w:rPr>
          <w:rFonts w:cs="Arial"/>
        </w:rPr>
        <w:t>December 1</w:t>
      </w:r>
      <w:r w:rsidR="003C5705" w:rsidRPr="0084227E">
        <w:rPr>
          <w:rFonts w:cs="Arial"/>
        </w:rPr>
        <w:t>, 2017</w:t>
      </w:r>
      <w:r w:rsidR="003C5705">
        <w:rPr>
          <w:rFonts w:cs="Arial"/>
        </w:rPr>
        <w:t xml:space="preserve">, </w:t>
      </w:r>
      <w:r w:rsidR="00712C1F">
        <w:rPr>
          <w:rFonts w:cs="Arial"/>
        </w:rPr>
        <w:t>Ohio Gas Company (“Ohio Gas”)</w:t>
      </w:r>
      <w:r w:rsidR="003C5705">
        <w:rPr>
          <w:rFonts w:cs="Arial"/>
        </w:rPr>
        <w:t xml:space="preserve"> hereby files its</w:t>
      </w:r>
      <w:r w:rsidR="004A7A1D">
        <w:rPr>
          <w:rFonts w:cs="Arial"/>
        </w:rPr>
        <w:t xml:space="preserve"> Objections to the Staff Report</w:t>
      </w:r>
      <w:r w:rsidR="003C5705">
        <w:rPr>
          <w:rFonts w:cs="Arial"/>
        </w:rPr>
        <w:t xml:space="preserve"> of Investigation (“Staff Report”) in the above-capt</w:t>
      </w:r>
      <w:r w:rsidR="004A7A1D">
        <w:rPr>
          <w:rFonts w:cs="Arial"/>
        </w:rPr>
        <w:t xml:space="preserve">ioned matters. </w:t>
      </w:r>
      <w:r w:rsidR="0084227E">
        <w:rPr>
          <w:rFonts w:cs="Arial"/>
        </w:rPr>
        <w:t xml:space="preserve"> </w:t>
      </w:r>
      <w:r w:rsidR="004A7A1D">
        <w:rPr>
          <w:rFonts w:cs="Arial"/>
        </w:rPr>
        <w:t>The Staff Report</w:t>
      </w:r>
      <w:r w:rsidR="003C5705">
        <w:rPr>
          <w:rFonts w:cs="Arial"/>
        </w:rPr>
        <w:t xml:space="preserve"> </w:t>
      </w:r>
      <w:r w:rsidR="00A950C7">
        <w:rPr>
          <w:rFonts w:cs="Arial"/>
        </w:rPr>
        <w:t>was</w:t>
      </w:r>
      <w:r w:rsidR="003C5705">
        <w:rPr>
          <w:rFonts w:cs="Arial"/>
        </w:rPr>
        <w:t xml:space="preserve"> filed with the Public Utilities Commission of Ohio (“Com</w:t>
      </w:r>
      <w:r w:rsidR="0084227E">
        <w:rPr>
          <w:rFonts w:cs="Arial"/>
        </w:rPr>
        <w:t xml:space="preserve">mission”) on </w:t>
      </w:r>
      <w:r w:rsidR="00712C1F">
        <w:rPr>
          <w:rFonts w:cs="Arial"/>
        </w:rPr>
        <w:t>November 22</w:t>
      </w:r>
      <w:r w:rsidR="0084227E">
        <w:rPr>
          <w:rFonts w:cs="Arial"/>
        </w:rPr>
        <w:t>, 2017.  It</w:t>
      </w:r>
      <w:r w:rsidR="003C5705">
        <w:rPr>
          <w:rFonts w:cs="Arial"/>
        </w:rPr>
        <w:t xml:space="preserve"> </w:t>
      </w:r>
      <w:r w:rsidR="0084227E">
        <w:rPr>
          <w:rFonts w:cs="Arial"/>
        </w:rPr>
        <w:t>provides</w:t>
      </w:r>
      <w:r w:rsidR="003C5705">
        <w:rPr>
          <w:rFonts w:cs="Arial"/>
        </w:rPr>
        <w:t xml:space="preserve"> the </w:t>
      </w:r>
      <w:r w:rsidR="00532C61">
        <w:rPr>
          <w:rFonts w:cs="Arial"/>
        </w:rPr>
        <w:t xml:space="preserve">findings of the </w:t>
      </w:r>
      <w:r w:rsidR="003C5705">
        <w:rPr>
          <w:rFonts w:cs="Arial"/>
        </w:rPr>
        <w:t xml:space="preserve">Commission Staff (“Staff”) regarding the application for authority to increase rates for distribution service filed by </w:t>
      </w:r>
      <w:r w:rsidR="00712C1F">
        <w:rPr>
          <w:rFonts w:cs="Arial"/>
        </w:rPr>
        <w:t>Ohio Gas</w:t>
      </w:r>
      <w:r w:rsidR="003C5705">
        <w:rPr>
          <w:rFonts w:cs="Arial"/>
        </w:rPr>
        <w:t xml:space="preserve"> on </w:t>
      </w:r>
      <w:r w:rsidR="00712C1F">
        <w:rPr>
          <w:rFonts w:cs="Arial"/>
        </w:rPr>
        <w:t>May 31</w:t>
      </w:r>
      <w:r w:rsidR="00C30FF9">
        <w:rPr>
          <w:rFonts w:cs="Arial"/>
        </w:rPr>
        <w:t>, 2017.</w:t>
      </w:r>
      <w:r w:rsidR="00377870">
        <w:rPr>
          <w:rFonts w:cs="Arial"/>
        </w:rPr>
        <w:t xml:space="preserve"> </w:t>
      </w:r>
      <w:r w:rsidR="003C5705">
        <w:rPr>
          <w:rFonts w:cs="Arial"/>
        </w:rPr>
        <w:t xml:space="preserve"> In submitting the Objections listed below, </w:t>
      </w:r>
      <w:r w:rsidR="00712C1F">
        <w:rPr>
          <w:rFonts w:cs="Arial"/>
        </w:rPr>
        <w:t>Ohio Gas</w:t>
      </w:r>
      <w:r w:rsidR="003C5705">
        <w:rPr>
          <w:rFonts w:cs="Arial"/>
        </w:rPr>
        <w:t xml:space="preserve"> specifically reserves the right to contest, through presentation of documentary evidence, testimony</w:t>
      </w:r>
      <w:r w:rsidR="00BE35FF">
        <w:rPr>
          <w:rFonts w:cs="Arial"/>
        </w:rPr>
        <w:t>,</w:t>
      </w:r>
      <w:r w:rsidR="003C5705">
        <w:rPr>
          <w:rFonts w:cs="Arial"/>
        </w:rPr>
        <w:t xml:space="preserve"> or cross examination, issues on which Staff’s position changes, or which are newly raised, between the issuance of the Staff Report and the closing of the record. </w:t>
      </w:r>
    </w:p>
    <w:p w14:paraId="225CCE07" w14:textId="195C2F31" w:rsidR="00C30FF9" w:rsidRDefault="00C30FF9" w:rsidP="000D2257">
      <w:pPr>
        <w:pStyle w:val="ListParagraph"/>
        <w:keepNext/>
        <w:numPr>
          <w:ilvl w:val="0"/>
          <w:numId w:val="4"/>
        </w:numPr>
        <w:spacing w:line="480" w:lineRule="auto"/>
        <w:ind w:hanging="720"/>
        <w:jc w:val="both"/>
        <w:rPr>
          <w:rFonts w:cs="Arial"/>
          <w:b/>
          <w:caps/>
        </w:rPr>
      </w:pPr>
      <w:r w:rsidRPr="00C30FF9">
        <w:rPr>
          <w:rFonts w:cs="Arial"/>
          <w:b/>
          <w:caps/>
        </w:rPr>
        <w:lastRenderedPageBreak/>
        <w:t>O</w:t>
      </w:r>
      <w:r>
        <w:rPr>
          <w:rFonts w:cs="Arial"/>
          <w:b/>
          <w:caps/>
        </w:rPr>
        <w:t xml:space="preserve">bjections to the Staff Report </w:t>
      </w:r>
    </w:p>
    <w:p w14:paraId="32615B58" w14:textId="385FC3FA" w:rsidR="00A950C7" w:rsidRPr="0084227E" w:rsidRDefault="00A950C7" w:rsidP="000D2257">
      <w:pPr>
        <w:keepNext/>
        <w:spacing w:line="480" w:lineRule="auto"/>
        <w:ind w:firstLine="720"/>
        <w:jc w:val="both"/>
        <w:rPr>
          <w:rFonts w:cs="Arial"/>
          <w:b/>
          <w:u w:val="single"/>
        </w:rPr>
      </w:pPr>
      <w:r w:rsidRPr="0084227E">
        <w:rPr>
          <w:rFonts w:cs="Arial"/>
          <w:b/>
          <w:u w:val="single"/>
        </w:rPr>
        <w:t>Revenue Requirement</w:t>
      </w:r>
    </w:p>
    <w:p w14:paraId="40DAA9F7" w14:textId="77777777" w:rsidR="00196AAC" w:rsidRPr="00196AAC" w:rsidRDefault="00A950C7" w:rsidP="000D2257">
      <w:pPr>
        <w:pStyle w:val="ListParagraph"/>
        <w:keepNext/>
        <w:numPr>
          <w:ilvl w:val="0"/>
          <w:numId w:val="6"/>
        </w:numPr>
        <w:spacing w:line="480" w:lineRule="auto"/>
        <w:ind w:left="0" w:firstLine="720"/>
        <w:jc w:val="both"/>
        <w:rPr>
          <w:rFonts w:cs="Arial"/>
          <w:b/>
        </w:rPr>
      </w:pPr>
      <w:r w:rsidRPr="00196AAC">
        <w:rPr>
          <w:rFonts w:cs="Arial"/>
          <w:b/>
        </w:rPr>
        <w:t xml:space="preserve">The </w:t>
      </w:r>
      <w:r w:rsidR="006F5B1A" w:rsidRPr="00196AAC">
        <w:rPr>
          <w:rFonts w:cs="Arial"/>
          <w:b/>
        </w:rPr>
        <w:t xml:space="preserve">range of </w:t>
      </w:r>
      <w:r w:rsidRPr="00196AAC">
        <w:rPr>
          <w:rFonts w:cs="Arial"/>
          <w:b/>
        </w:rPr>
        <w:t xml:space="preserve">Staff’s recommended revenue </w:t>
      </w:r>
      <w:r w:rsidR="00712C1F" w:rsidRPr="00196AAC">
        <w:rPr>
          <w:rFonts w:cs="Arial"/>
          <w:b/>
        </w:rPr>
        <w:t>increase</w:t>
      </w:r>
      <w:r w:rsidRPr="00196AAC">
        <w:rPr>
          <w:rFonts w:cs="Arial"/>
          <w:b/>
        </w:rPr>
        <w:t xml:space="preserve"> of </w:t>
      </w:r>
      <w:r w:rsidR="006F5B1A" w:rsidRPr="00196AAC">
        <w:rPr>
          <w:rFonts w:cs="Arial"/>
          <w:b/>
        </w:rPr>
        <w:t>$</w:t>
      </w:r>
      <w:r w:rsidR="00712C1F" w:rsidRPr="00196AAC">
        <w:rPr>
          <w:rFonts w:cs="Arial"/>
          <w:b/>
        </w:rPr>
        <w:t>2,441,967</w:t>
      </w:r>
      <w:r w:rsidR="006F5B1A" w:rsidRPr="00196AAC">
        <w:rPr>
          <w:rFonts w:cs="Arial"/>
          <w:b/>
        </w:rPr>
        <w:t xml:space="preserve"> to $</w:t>
      </w:r>
      <w:r w:rsidR="00712C1F" w:rsidRPr="00196AAC">
        <w:rPr>
          <w:rFonts w:cs="Arial"/>
          <w:b/>
        </w:rPr>
        <w:t>2,873,410</w:t>
      </w:r>
      <w:r w:rsidR="006E2397" w:rsidRPr="00196AAC">
        <w:rPr>
          <w:rFonts w:cs="Arial"/>
          <w:b/>
        </w:rPr>
        <w:t>, as set out in Schedule A-1 of the Staff Report,</w:t>
      </w:r>
      <w:r w:rsidR="006125C7" w:rsidRPr="00196AAC">
        <w:rPr>
          <w:rFonts w:cs="Arial"/>
          <w:b/>
        </w:rPr>
        <w:t xml:space="preserve"> is understated because the </w:t>
      </w:r>
      <w:r w:rsidR="00712C1F" w:rsidRPr="00196AAC">
        <w:rPr>
          <w:rFonts w:cs="Arial"/>
          <w:b/>
        </w:rPr>
        <w:t>increase</w:t>
      </w:r>
      <w:r w:rsidR="006125C7" w:rsidRPr="00196AAC">
        <w:rPr>
          <w:rFonts w:cs="Arial"/>
          <w:b/>
        </w:rPr>
        <w:t xml:space="preserve"> is not sufficient to yield just and reasonable rates in accordance with Ohio law and proper ratemaking practices.  </w:t>
      </w:r>
    </w:p>
    <w:p w14:paraId="1C85EB7B" w14:textId="03333CA8" w:rsidR="00BA70C8" w:rsidRDefault="00047F74" w:rsidP="00092966">
      <w:pPr>
        <w:spacing w:line="480" w:lineRule="auto"/>
        <w:ind w:firstLine="720"/>
        <w:jc w:val="both"/>
        <w:rPr>
          <w:rFonts w:cs="Arial"/>
        </w:rPr>
      </w:pPr>
      <w:r>
        <w:rPr>
          <w:rFonts w:cs="Arial"/>
        </w:rPr>
        <w:t>Upon application of a public utility such as Ohio Gas</w:t>
      </w:r>
      <w:r w:rsidR="00196AAC" w:rsidRPr="00196AAC">
        <w:rPr>
          <w:rFonts w:cs="Arial"/>
        </w:rPr>
        <w:t>, the Commission is to determine the cost to the utility of rendering utility service during the test year, and the revenue and expense of the utility shall be determined during the test year</w:t>
      </w:r>
      <w:r w:rsidRPr="00047F74">
        <w:rPr>
          <w:rFonts w:cs="Arial"/>
        </w:rPr>
        <w:t xml:space="preserve"> </w:t>
      </w:r>
      <w:r>
        <w:rPr>
          <w:rFonts w:cs="Arial"/>
        </w:rPr>
        <w:t>a</w:t>
      </w:r>
      <w:r w:rsidRPr="00196AAC">
        <w:rPr>
          <w:rFonts w:cs="Arial"/>
        </w:rPr>
        <w:t>s provided by R.C. 4909.15</w:t>
      </w:r>
      <w:r w:rsidR="00196AAC" w:rsidRPr="00196AAC">
        <w:rPr>
          <w:rFonts w:cs="Arial"/>
        </w:rPr>
        <w:t xml:space="preserve">.  </w:t>
      </w:r>
      <w:r>
        <w:rPr>
          <w:rFonts w:cs="Arial"/>
        </w:rPr>
        <w:t xml:space="preserve">Because </w:t>
      </w:r>
      <w:r w:rsidRPr="00196AAC">
        <w:rPr>
          <w:rFonts w:cs="Arial"/>
        </w:rPr>
        <w:t xml:space="preserve">the Staff Report </w:t>
      </w:r>
      <w:r>
        <w:rPr>
          <w:rFonts w:cs="Arial"/>
        </w:rPr>
        <w:t>recommendations concerning</w:t>
      </w:r>
      <w:r w:rsidRPr="00196AAC">
        <w:rPr>
          <w:rFonts w:cs="Arial"/>
        </w:rPr>
        <w:t xml:space="preserve"> (1) the labor expense adjustment </w:t>
      </w:r>
      <w:r w:rsidR="00FD2513">
        <w:rPr>
          <w:rFonts w:cs="Arial"/>
        </w:rPr>
        <w:t>(</w:t>
      </w:r>
      <w:r w:rsidRPr="00196AAC">
        <w:rPr>
          <w:rFonts w:cs="Arial"/>
        </w:rPr>
        <w:t>and the related adjustment to payroll tax expenses</w:t>
      </w:r>
      <w:r w:rsidR="00FD2513">
        <w:rPr>
          <w:rFonts w:cs="Arial"/>
        </w:rPr>
        <w:t>)</w:t>
      </w:r>
      <w:r w:rsidRPr="00196AAC">
        <w:rPr>
          <w:rFonts w:cs="Arial"/>
        </w:rPr>
        <w:t xml:space="preserve"> and (2) </w:t>
      </w:r>
      <w:r w:rsidR="00E718F2">
        <w:rPr>
          <w:rFonts w:cs="Arial"/>
        </w:rPr>
        <w:t xml:space="preserve">the </w:t>
      </w:r>
      <w:r w:rsidRPr="00196AAC">
        <w:rPr>
          <w:rFonts w:cs="Arial"/>
        </w:rPr>
        <w:t>personal property tax adjustment</w:t>
      </w:r>
      <w:r>
        <w:rPr>
          <w:rFonts w:cs="Arial"/>
        </w:rPr>
        <w:t xml:space="preserve"> do not </w:t>
      </w:r>
      <w:r w:rsidR="00FD2513">
        <w:rPr>
          <w:rFonts w:cs="Arial"/>
        </w:rPr>
        <w:t xml:space="preserve">comply </w:t>
      </w:r>
      <w:r>
        <w:rPr>
          <w:rFonts w:cs="Arial"/>
        </w:rPr>
        <w:t xml:space="preserve">with this statutory requirement and are inconsistent with proper ratemaking practice, the Commission should reject those recommendations and increase the </w:t>
      </w:r>
      <w:r w:rsidR="006F5B1A" w:rsidRPr="00196AAC">
        <w:rPr>
          <w:rFonts w:cs="Arial"/>
        </w:rPr>
        <w:t xml:space="preserve">range of the revenue </w:t>
      </w:r>
      <w:r w:rsidR="00B23649" w:rsidRPr="00196AAC">
        <w:rPr>
          <w:rFonts w:cs="Arial"/>
        </w:rPr>
        <w:t>increase</w:t>
      </w:r>
      <w:r w:rsidR="006F5B1A" w:rsidRPr="00196AAC">
        <w:rPr>
          <w:rFonts w:cs="Arial"/>
        </w:rPr>
        <w:t xml:space="preserve"> </w:t>
      </w:r>
      <w:r>
        <w:rPr>
          <w:rFonts w:cs="Arial"/>
        </w:rPr>
        <w:t xml:space="preserve">by </w:t>
      </w:r>
      <w:r w:rsidR="00B23649" w:rsidRPr="00196AAC">
        <w:rPr>
          <w:rFonts w:cs="Arial"/>
        </w:rPr>
        <w:t>$</w:t>
      </w:r>
      <w:r w:rsidR="00CE2D74">
        <w:rPr>
          <w:rFonts w:cs="Arial"/>
        </w:rPr>
        <w:t>390,878</w:t>
      </w:r>
      <w:r w:rsidR="00832B49">
        <w:rPr>
          <w:rFonts w:cs="Arial"/>
        </w:rPr>
        <w:t>.</w:t>
      </w:r>
      <w:r w:rsidR="00BA70C8">
        <w:rPr>
          <w:rFonts w:cs="Arial"/>
        </w:rPr>
        <w:t xml:space="preserve">  </w:t>
      </w:r>
    </w:p>
    <w:p w14:paraId="4CEE20C4" w14:textId="0D75B828" w:rsidR="00A950C7" w:rsidRPr="00196AAC" w:rsidRDefault="00BA70C8" w:rsidP="00092966">
      <w:pPr>
        <w:spacing w:line="480" w:lineRule="auto"/>
        <w:ind w:firstLine="720"/>
        <w:jc w:val="both"/>
        <w:rPr>
          <w:rFonts w:cs="Arial"/>
        </w:rPr>
      </w:pPr>
      <w:r>
        <w:rPr>
          <w:rFonts w:cs="Arial"/>
        </w:rPr>
        <w:t>Additionally, although the Staff Report recommended a range for the rate of return of 8.5</w:t>
      </w:r>
      <w:r w:rsidR="00386ABC">
        <w:rPr>
          <w:rFonts w:cs="Arial"/>
        </w:rPr>
        <w:t xml:space="preserve">% </w:t>
      </w:r>
      <w:r>
        <w:rPr>
          <w:rFonts w:cs="Arial"/>
        </w:rPr>
        <w:t>to 9.5</w:t>
      </w:r>
      <w:r w:rsidR="00386ABC">
        <w:rPr>
          <w:rFonts w:cs="Arial"/>
        </w:rPr>
        <w:t>%</w:t>
      </w:r>
      <w:r>
        <w:rPr>
          <w:rFonts w:cs="Arial"/>
        </w:rPr>
        <w:t xml:space="preserve">, the Staff Report failed to recommend that the Commission adopt an overall rate of return in the upper quartile of the range.  Adopting an overall rate of return </w:t>
      </w:r>
      <w:r w:rsidR="00CE2D74">
        <w:rPr>
          <w:rFonts w:cs="Arial"/>
        </w:rPr>
        <w:t>of</w:t>
      </w:r>
      <w:r>
        <w:rPr>
          <w:rFonts w:cs="Arial"/>
        </w:rPr>
        <w:t xml:space="preserve"> 9.25</w:t>
      </w:r>
      <w:r w:rsidR="00386ABC">
        <w:rPr>
          <w:rFonts w:cs="Arial"/>
        </w:rPr>
        <w:t xml:space="preserve">% and the corrections to the expense adjustments </w:t>
      </w:r>
      <w:r w:rsidR="00CE2D74">
        <w:rPr>
          <w:rFonts w:cs="Arial"/>
        </w:rPr>
        <w:t>would result in a revenue requirement of $3,156,674</w:t>
      </w:r>
      <w:r w:rsidR="00386ABC">
        <w:rPr>
          <w:rFonts w:cs="Arial"/>
        </w:rPr>
        <w:t>.</w:t>
      </w:r>
    </w:p>
    <w:p w14:paraId="38212753" w14:textId="2E1DA3DB" w:rsidR="006125C7" w:rsidRPr="0084227E" w:rsidRDefault="006125C7" w:rsidP="00A43903">
      <w:pPr>
        <w:spacing w:line="480" w:lineRule="auto"/>
        <w:ind w:firstLine="720"/>
        <w:jc w:val="both"/>
        <w:rPr>
          <w:rFonts w:cs="Arial"/>
          <w:b/>
          <w:u w:val="single"/>
        </w:rPr>
      </w:pPr>
      <w:r w:rsidRPr="0084227E">
        <w:rPr>
          <w:rFonts w:cs="Arial"/>
          <w:b/>
          <w:u w:val="single"/>
        </w:rPr>
        <w:t>Operating Income</w:t>
      </w:r>
    </w:p>
    <w:p w14:paraId="4E3E2619" w14:textId="77777777" w:rsidR="00196AAC" w:rsidRPr="00196AAC" w:rsidRDefault="0084227E" w:rsidP="00DE335A">
      <w:pPr>
        <w:pStyle w:val="ListParagraph"/>
        <w:numPr>
          <w:ilvl w:val="0"/>
          <w:numId w:val="6"/>
        </w:numPr>
        <w:spacing w:line="480" w:lineRule="auto"/>
        <w:ind w:left="0" w:firstLine="720"/>
        <w:jc w:val="both"/>
        <w:rPr>
          <w:b/>
        </w:rPr>
      </w:pPr>
      <w:r w:rsidRPr="00196AAC">
        <w:rPr>
          <w:rFonts w:cs="Arial"/>
          <w:b/>
        </w:rPr>
        <w:t>T</w:t>
      </w:r>
      <w:r w:rsidR="006125C7" w:rsidRPr="00196AAC">
        <w:rPr>
          <w:rFonts w:cs="Arial"/>
          <w:b/>
        </w:rPr>
        <w:t xml:space="preserve">he Staff’s </w:t>
      </w:r>
      <w:r w:rsidR="002D5953" w:rsidRPr="00196AAC">
        <w:rPr>
          <w:rFonts w:cs="Arial"/>
          <w:b/>
        </w:rPr>
        <w:t xml:space="preserve">recommendation to </w:t>
      </w:r>
      <w:r w:rsidR="007B695F" w:rsidRPr="00196AAC">
        <w:rPr>
          <w:rFonts w:cs="Arial"/>
          <w:b/>
        </w:rPr>
        <w:t>decrease</w:t>
      </w:r>
      <w:r w:rsidR="002D5953" w:rsidRPr="00196AAC">
        <w:rPr>
          <w:rFonts w:cs="Arial"/>
          <w:b/>
        </w:rPr>
        <w:t xml:space="preserve"> test year </w:t>
      </w:r>
      <w:r w:rsidR="007B695F" w:rsidRPr="00196AAC">
        <w:rPr>
          <w:rFonts w:cs="Arial"/>
          <w:b/>
        </w:rPr>
        <w:t xml:space="preserve">labor </w:t>
      </w:r>
      <w:r w:rsidR="002D5953" w:rsidRPr="00196AAC">
        <w:rPr>
          <w:rFonts w:cs="Arial"/>
          <w:b/>
        </w:rPr>
        <w:t xml:space="preserve">expenses by </w:t>
      </w:r>
      <w:r w:rsidR="002D5953" w:rsidRPr="00196AAC">
        <w:rPr>
          <w:b/>
        </w:rPr>
        <w:t>$</w:t>
      </w:r>
      <w:r w:rsidR="007B695F" w:rsidRPr="00196AAC">
        <w:rPr>
          <w:b/>
        </w:rPr>
        <w:t>312,320</w:t>
      </w:r>
      <w:r w:rsidR="002D5953" w:rsidRPr="00196AAC">
        <w:rPr>
          <w:rFonts w:cs="Arial"/>
          <w:b/>
        </w:rPr>
        <w:t>, as shown on page 1</w:t>
      </w:r>
      <w:r w:rsidR="007B695F" w:rsidRPr="00196AAC">
        <w:rPr>
          <w:rFonts w:cs="Arial"/>
          <w:b/>
        </w:rPr>
        <w:t>0</w:t>
      </w:r>
      <w:r w:rsidR="002D5953" w:rsidRPr="00196AAC">
        <w:rPr>
          <w:rFonts w:cs="Arial"/>
          <w:b/>
        </w:rPr>
        <w:t xml:space="preserve"> </w:t>
      </w:r>
      <w:r w:rsidR="00870E79" w:rsidRPr="00196AAC">
        <w:rPr>
          <w:rFonts w:cs="Arial"/>
          <w:b/>
        </w:rPr>
        <w:t xml:space="preserve">and </w:t>
      </w:r>
      <w:r w:rsidR="002D5953" w:rsidRPr="00196AAC">
        <w:rPr>
          <w:rFonts w:cs="Arial"/>
          <w:b/>
        </w:rPr>
        <w:t>Schedule C-3.</w:t>
      </w:r>
      <w:r w:rsidR="007B695F" w:rsidRPr="00196AAC">
        <w:rPr>
          <w:rFonts w:cs="Arial"/>
          <w:b/>
        </w:rPr>
        <w:t>2</w:t>
      </w:r>
      <w:r w:rsidR="002D5953" w:rsidRPr="00196AAC">
        <w:rPr>
          <w:rFonts w:cs="Arial"/>
          <w:b/>
        </w:rPr>
        <w:t xml:space="preserve"> of the Staff Report,</w:t>
      </w:r>
      <w:r w:rsidRPr="00196AAC">
        <w:rPr>
          <w:rFonts w:cs="Arial"/>
          <w:b/>
        </w:rPr>
        <w:t xml:space="preserve"> violates Ohio law and proper ratemaking practices</w:t>
      </w:r>
      <w:r w:rsidR="0030601B" w:rsidRPr="00196AAC">
        <w:rPr>
          <w:rFonts w:cs="Arial"/>
          <w:b/>
        </w:rPr>
        <w:t xml:space="preserve">.  </w:t>
      </w:r>
    </w:p>
    <w:p w14:paraId="00B5E2EE" w14:textId="21555F04" w:rsidR="00F20495" w:rsidRPr="00F20495" w:rsidRDefault="00796293" w:rsidP="00196AAC">
      <w:pPr>
        <w:spacing w:line="480" w:lineRule="auto"/>
        <w:ind w:firstLine="720"/>
        <w:jc w:val="both"/>
      </w:pPr>
      <w:bookmarkStart w:id="1" w:name="_Hlk500936447"/>
      <w:r w:rsidRPr="00196AAC">
        <w:rPr>
          <w:rFonts w:cs="Arial"/>
        </w:rPr>
        <w:lastRenderedPageBreak/>
        <w:t xml:space="preserve">As provided by R.C. </w:t>
      </w:r>
      <w:r w:rsidR="007B695F" w:rsidRPr="00196AAC">
        <w:rPr>
          <w:rFonts w:cs="Arial"/>
        </w:rPr>
        <w:t>4909.15</w:t>
      </w:r>
      <w:r w:rsidRPr="00196AAC">
        <w:rPr>
          <w:rFonts w:cs="Arial"/>
        </w:rPr>
        <w:t xml:space="preserve">, </w:t>
      </w:r>
      <w:r w:rsidR="003D3CF8" w:rsidRPr="00196AAC">
        <w:rPr>
          <w:rFonts w:cs="Arial"/>
        </w:rPr>
        <w:t xml:space="preserve">the Commission is to determine the cost to the utility of rendering the public utility service during the test </w:t>
      </w:r>
      <w:r w:rsidR="00A67088" w:rsidRPr="00196AAC">
        <w:rPr>
          <w:rFonts w:cs="Arial"/>
        </w:rPr>
        <w:t>year</w:t>
      </w:r>
      <w:r w:rsidR="003D3CF8" w:rsidRPr="00196AAC">
        <w:rPr>
          <w:rFonts w:cs="Arial"/>
        </w:rPr>
        <w:t xml:space="preserve">.  </w:t>
      </w:r>
      <w:bookmarkEnd w:id="1"/>
      <w:r w:rsidR="004D7D07" w:rsidRPr="00196AAC">
        <w:rPr>
          <w:rFonts w:cs="Arial"/>
        </w:rPr>
        <w:t>Under</w:t>
      </w:r>
      <w:r w:rsidR="003D3CF8" w:rsidRPr="00196AAC">
        <w:rPr>
          <w:rFonts w:cs="Arial"/>
        </w:rPr>
        <w:t xml:space="preserve"> the standard filing requirements set out in Commission rules, payroll costs are included in the schedules to determine </w:t>
      </w:r>
      <w:r w:rsidR="004D7D07" w:rsidRPr="00196AAC">
        <w:rPr>
          <w:rFonts w:cs="Arial"/>
        </w:rPr>
        <w:t>the cost of providing utility service.  Rule 4901-7-10, Appendix at 73</w:t>
      </w:r>
      <w:r w:rsidR="00E718F2">
        <w:rPr>
          <w:rFonts w:cs="Arial"/>
        </w:rPr>
        <w:t>, OAC</w:t>
      </w:r>
      <w:r w:rsidR="004D7D07" w:rsidRPr="00196AAC">
        <w:rPr>
          <w:rFonts w:cs="Arial"/>
        </w:rPr>
        <w:t>.</w:t>
      </w:r>
      <w:r w:rsidR="003D3CF8" w:rsidRPr="00196AAC">
        <w:rPr>
          <w:rFonts w:cs="Arial"/>
        </w:rPr>
        <w:t xml:space="preserve"> </w:t>
      </w:r>
    </w:p>
    <w:p w14:paraId="0D9B1722" w14:textId="1AF58F9B" w:rsidR="00CE09BD" w:rsidRDefault="00CE09BD" w:rsidP="009A6037">
      <w:pPr>
        <w:spacing w:line="480" w:lineRule="auto"/>
        <w:ind w:firstLine="720"/>
        <w:jc w:val="both"/>
        <w:rPr>
          <w:rFonts w:cs="Arial"/>
        </w:rPr>
      </w:pPr>
      <w:r>
        <w:rPr>
          <w:rFonts w:cs="Arial"/>
        </w:rPr>
        <w:t xml:space="preserve">Ohio Gas has employees for whom a portion of their wages is assigned to an affiliate.  </w:t>
      </w:r>
      <w:r w:rsidR="00F865D4">
        <w:rPr>
          <w:rFonts w:cs="Arial"/>
        </w:rPr>
        <w:t xml:space="preserve">In its application, </w:t>
      </w:r>
      <w:r>
        <w:rPr>
          <w:rFonts w:cs="Arial"/>
        </w:rPr>
        <w:t xml:space="preserve">Ohio Gas removed that portion of wages from the payroll expenses used to calculate payroll expenses recoverable in rates.  </w:t>
      </w:r>
      <w:r w:rsidR="00331C14">
        <w:rPr>
          <w:rFonts w:cs="Arial"/>
        </w:rPr>
        <w:t>Based on those adjustments, Ohio Gas correctly stated its payroll expenses for the test year as required by Ohio law and sound ratemaking practices.</w:t>
      </w:r>
    </w:p>
    <w:p w14:paraId="15E49E4C" w14:textId="363BB29F" w:rsidR="00A45A97" w:rsidRDefault="00CE09BD" w:rsidP="009A6037">
      <w:pPr>
        <w:spacing w:line="480" w:lineRule="auto"/>
        <w:ind w:firstLine="720"/>
        <w:jc w:val="both"/>
      </w:pPr>
      <w:r>
        <w:rPr>
          <w:rFonts w:cs="Arial"/>
        </w:rPr>
        <w:t xml:space="preserve">The Staff Report </w:t>
      </w:r>
      <w:r w:rsidR="004E338B">
        <w:rPr>
          <w:rFonts w:cs="Arial"/>
        </w:rPr>
        <w:t xml:space="preserve">calculates labor expense assignable to Ohio Gas in a different manner than proposed by Ohio Gas.  The Staff Report </w:t>
      </w:r>
      <w:r>
        <w:rPr>
          <w:rFonts w:cs="Arial"/>
        </w:rPr>
        <w:t>recommends an adjustment to payroll</w:t>
      </w:r>
      <w:r w:rsidR="001F4A28">
        <w:rPr>
          <w:rFonts w:cs="Arial"/>
        </w:rPr>
        <w:t>-</w:t>
      </w:r>
      <w:r>
        <w:rPr>
          <w:rFonts w:cs="Arial"/>
        </w:rPr>
        <w:t xml:space="preserve">related expenses in Schedule C-3.2.  </w:t>
      </w:r>
      <w:r w:rsidR="004D7D07">
        <w:rPr>
          <w:rFonts w:cs="Arial"/>
        </w:rPr>
        <w:t xml:space="preserve">Workpapers supporting the adjustment to </w:t>
      </w:r>
      <w:r>
        <w:rPr>
          <w:rFonts w:cs="Arial"/>
        </w:rPr>
        <w:t>payroll expense</w:t>
      </w:r>
      <w:r w:rsidR="0059395B">
        <w:rPr>
          <w:rFonts w:cs="Arial"/>
        </w:rPr>
        <w:t>s</w:t>
      </w:r>
      <w:r w:rsidR="004D7D07">
        <w:rPr>
          <w:rFonts w:cs="Arial"/>
        </w:rPr>
        <w:t xml:space="preserve"> demonstrate that the affiliate</w:t>
      </w:r>
      <w:r>
        <w:rPr>
          <w:rFonts w:cs="Arial"/>
        </w:rPr>
        <w:t>-related payroll expense was</w:t>
      </w:r>
      <w:r w:rsidR="004D7D07">
        <w:rPr>
          <w:rFonts w:cs="Arial"/>
        </w:rPr>
        <w:t xml:space="preserve"> removed twice.  As a </w:t>
      </w:r>
      <w:r w:rsidR="00502302">
        <w:rPr>
          <w:rFonts w:cs="Arial"/>
        </w:rPr>
        <w:t>result,</w:t>
      </w:r>
      <w:r w:rsidR="004D7D07">
        <w:rPr>
          <w:rFonts w:cs="Arial"/>
        </w:rPr>
        <w:t xml:space="preserve"> the </w:t>
      </w:r>
      <w:r>
        <w:rPr>
          <w:rFonts w:cs="Arial"/>
        </w:rPr>
        <w:t>payroll expense</w:t>
      </w:r>
      <w:r w:rsidR="004D7D07">
        <w:rPr>
          <w:rFonts w:cs="Arial"/>
        </w:rPr>
        <w:t xml:space="preserve"> adjustment </w:t>
      </w:r>
      <w:r w:rsidR="00496113">
        <w:rPr>
          <w:rFonts w:cs="Arial"/>
        </w:rPr>
        <w:t xml:space="preserve">of $312,320 </w:t>
      </w:r>
      <w:r w:rsidR="004E338B">
        <w:rPr>
          <w:rFonts w:cs="Arial"/>
        </w:rPr>
        <w:t xml:space="preserve">contained in the Staff Report </w:t>
      </w:r>
      <w:r w:rsidR="004D7D07">
        <w:rPr>
          <w:rFonts w:cs="Arial"/>
        </w:rPr>
        <w:t>unreasonably reduces total labor expense</w:t>
      </w:r>
      <w:r w:rsidR="00496113">
        <w:rPr>
          <w:rFonts w:cs="Arial"/>
        </w:rPr>
        <w:t xml:space="preserve"> and should be rejected</w:t>
      </w:r>
      <w:r w:rsidR="00500F6A">
        <w:rPr>
          <w:rFonts w:cs="Arial"/>
        </w:rPr>
        <w:t>.</w:t>
      </w:r>
      <w:r w:rsidR="001122CF">
        <w:rPr>
          <w:rFonts w:cs="Arial"/>
        </w:rPr>
        <w:t xml:space="preserve"> </w:t>
      </w:r>
      <w:r w:rsidR="00500F6A">
        <w:rPr>
          <w:rFonts w:cs="Arial"/>
        </w:rPr>
        <w:t xml:space="preserve"> T</w:t>
      </w:r>
      <w:r w:rsidR="001122CF">
        <w:rPr>
          <w:rFonts w:cs="Arial"/>
        </w:rPr>
        <w:t xml:space="preserve">he labor expense </w:t>
      </w:r>
      <w:r w:rsidR="00500F6A">
        <w:rPr>
          <w:rFonts w:cs="Arial"/>
        </w:rPr>
        <w:t xml:space="preserve">should be </w:t>
      </w:r>
      <w:r w:rsidR="001122CF">
        <w:rPr>
          <w:rFonts w:cs="Arial"/>
        </w:rPr>
        <w:t>recalculated</w:t>
      </w:r>
      <w:r w:rsidR="00500F6A">
        <w:rPr>
          <w:rFonts w:cs="Arial"/>
        </w:rPr>
        <w:t xml:space="preserve"> to remove the error note</w:t>
      </w:r>
      <w:r w:rsidR="006C267D">
        <w:rPr>
          <w:rFonts w:cs="Arial"/>
        </w:rPr>
        <w:t>d</w:t>
      </w:r>
      <w:r w:rsidR="00500F6A">
        <w:rPr>
          <w:rFonts w:cs="Arial"/>
        </w:rPr>
        <w:t xml:space="preserve"> above</w:t>
      </w:r>
      <w:r w:rsidR="00500F6A" w:rsidRPr="00500F6A">
        <w:rPr>
          <w:rFonts w:cs="Arial"/>
        </w:rPr>
        <w:t xml:space="preserve"> </w:t>
      </w:r>
      <w:r w:rsidR="00500F6A">
        <w:rPr>
          <w:rFonts w:cs="Arial"/>
        </w:rPr>
        <w:t>so that the resulting rates conform to the requirements of R.C. 4909.15</w:t>
      </w:r>
      <w:r w:rsidR="00331C14">
        <w:rPr>
          <w:rFonts w:cs="Arial"/>
        </w:rPr>
        <w:t>.</w:t>
      </w:r>
    </w:p>
    <w:p w14:paraId="0141108B" w14:textId="7A979038" w:rsidR="00B23649" w:rsidRDefault="00F865D4" w:rsidP="009A6037">
      <w:pPr>
        <w:spacing w:line="480" w:lineRule="auto"/>
        <w:ind w:firstLine="720"/>
        <w:jc w:val="both"/>
        <w:rPr>
          <w:rFonts w:cs="Arial"/>
        </w:rPr>
      </w:pPr>
      <w:r>
        <w:t xml:space="preserve">Correcting </w:t>
      </w:r>
      <w:r w:rsidR="00FD2513">
        <w:t xml:space="preserve">the </w:t>
      </w:r>
      <w:r w:rsidR="00331C14">
        <w:t>payroll expense</w:t>
      </w:r>
      <w:r>
        <w:t xml:space="preserve"> adjustment in Schedule C-3.2</w:t>
      </w:r>
      <w:r w:rsidR="00331C14">
        <w:t xml:space="preserve"> requires an increase </w:t>
      </w:r>
      <w:r w:rsidR="00FD2513">
        <w:t>in</w:t>
      </w:r>
      <w:r w:rsidR="00331C14">
        <w:t xml:space="preserve"> payroll taxes of $26,253 in Schedule C-3.8.  </w:t>
      </w:r>
      <w:r w:rsidR="00B23649">
        <w:rPr>
          <w:rFonts w:cs="Arial"/>
        </w:rPr>
        <w:t xml:space="preserve">Accordingly, the Commission should </w:t>
      </w:r>
      <w:r w:rsidR="00A45A97">
        <w:rPr>
          <w:rFonts w:cs="Arial"/>
        </w:rPr>
        <w:t xml:space="preserve">account for the </w:t>
      </w:r>
      <w:r w:rsidR="00496113">
        <w:rPr>
          <w:rFonts w:cs="Arial"/>
        </w:rPr>
        <w:t xml:space="preserve">increase </w:t>
      </w:r>
      <w:r w:rsidR="00A45A97">
        <w:rPr>
          <w:rFonts w:cs="Arial"/>
        </w:rPr>
        <w:t xml:space="preserve">in </w:t>
      </w:r>
      <w:r w:rsidR="0084259C">
        <w:rPr>
          <w:rFonts w:cs="Arial"/>
        </w:rPr>
        <w:t>payroll</w:t>
      </w:r>
      <w:r w:rsidR="00A45A97">
        <w:rPr>
          <w:rFonts w:cs="Arial"/>
        </w:rPr>
        <w:t xml:space="preserve"> expense with an increase in related payroll tax expense of $26,253</w:t>
      </w:r>
      <w:r w:rsidR="0084259C">
        <w:rPr>
          <w:rFonts w:cs="Arial"/>
        </w:rPr>
        <w:t xml:space="preserve"> so that the resulting rates conform to the requirements of R.C. 4909.15.</w:t>
      </w:r>
    </w:p>
    <w:p w14:paraId="3F3192BE" w14:textId="61C19C6F" w:rsidR="0084259C" w:rsidRPr="00196AAC" w:rsidRDefault="00196AAC" w:rsidP="00F85EDD">
      <w:pPr>
        <w:pStyle w:val="ListParagraph"/>
        <w:numPr>
          <w:ilvl w:val="0"/>
          <w:numId w:val="6"/>
        </w:numPr>
        <w:spacing w:line="480" w:lineRule="auto"/>
        <w:ind w:left="0" w:firstLine="720"/>
        <w:jc w:val="both"/>
        <w:rPr>
          <w:rFonts w:cs="Arial"/>
          <w:b/>
        </w:rPr>
      </w:pPr>
      <w:r w:rsidRPr="00196AAC">
        <w:rPr>
          <w:b/>
        </w:rPr>
        <w:lastRenderedPageBreak/>
        <w:t>T</w:t>
      </w:r>
      <w:r w:rsidR="00D84338" w:rsidRPr="00196AAC">
        <w:rPr>
          <w:b/>
        </w:rPr>
        <w:t>he</w:t>
      </w:r>
      <w:r w:rsidR="00AB0A37" w:rsidRPr="00196AAC">
        <w:rPr>
          <w:b/>
        </w:rPr>
        <w:t xml:space="preserve"> Staff</w:t>
      </w:r>
      <w:r w:rsidR="00B7391A" w:rsidRPr="00196AAC">
        <w:rPr>
          <w:b/>
        </w:rPr>
        <w:t xml:space="preserve"> Report’s recommendation to </w:t>
      </w:r>
      <w:r w:rsidR="00EB7036" w:rsidRPr="00196AAC">
        <w:rPr>
          <w:b/>
        </w:rPr>
        <w:t>reduce personal property tax</w:t>
      </w:r>
      <w:r w:rsidR="00B7391A" w:rsidRPr="00196AAC">
        <w:rPr>
          <w:b/>
        </w:rPr>
        <w:t xml:space="preserve"> </w:t>
      </w:r>
      <w:r w:rsidR="00B7391A" w:rsidRPr="00196AAC">
        <w:rPr>
          <w:rFonts w:cs="Arial"/>
          <w:b/>
        </w:rPr>
        <w:t>test year</w:t>
      </w:r>
      <w:r w:rsidRPr="00196AAC">
        <w:rPr>
          <w:rFonts w:cs="Arial"/>
          <w:b/>
        </w:rPr>
        <w:t xml:space="preserve"> </w:t>
      </w:r>
      <w:r w:rsidR="00B7391A" w:rsidRPr="00196AAC">
        <w:rPr>
          <w:rFonts w:cs="Arial"/>
          <w:b/>
        </w:rPr>
        <w:t>expenses by $</w:t>
      </w:r>
      <w:r w:rsidR="00EB7036" w:rsidRPr="00196AAC">
        <w:rPr>
          <w:rFonts w:cs="Arial"/>
          <w:b/>
        </w:rPr>
        <w:t>22,185</w:t>
      </w:r>
      <w:r w:rsidR="00B7391A" w:rsidRPr="00196AAC">
        <w:rPr>
          <w:rFonts w:cs="Arial"/>
          <w:b/>
        </w:rPr>
        <w:t>, as shown on</w:t>
      </w:r>
      <w:r w:rsidR="00E47D7C" w:rsidRPr="00196AAC">
        <w:rPr>
          <w:rFonts w:cs="Arial"/>
          <w:b/>
        </w:rPr>
        <w:t xml:space="preserve"> page </w:t>
      </w:r>
      <w:r w:rsidR="00EB7036" w:rsidRPr="00196AAC">
        <w:rPr>
          <w:rFonts w:cs="Arial"/>
          <w:b/>
        </w:rPr>
        <w:t>11</w:t>
      </w:r>
      <w:r w:rsidR="002D5953" w:rsidRPr="00196AAC">
        <w:rPr>
          <w:rFonts w:cs="Arial"/>
          <w:b/>
        </w:rPr>
        <w:t xml:space="preserve"> and Schedule C-3.</w:t>
      </w:r>
      <w:r w:rsidR="00EB7036" w:rsidRPr="00196AAC">
        <w:rPr>
          <w:rFonts w:cs="Arial"/>
          <w:b/>
        </w:rPr>
        <w:t>8b</w:t>
      </w:r>
      <w:r w:rsidR="00E47D7C" w:rsidRPr="00196AAC">
        <w:rPr>
          <w:rFonts w:cs="Arial"/>
          <w:b/>
        </w:rPr>
        <w:t xml:space="preserve"> </w:t>
      </w:r>
      <w:r w:rsidR="002D5953" w:rsidRPr="00196AAC">
        <w:rPr>
          <w:rFonts w:cs="Arial"/>
          <w:b/>
        </w:rPr>
        <w:t>of the Staff Report</w:t>
      </w:r>
      <w:r w:rsidR="00331C14">
        <w:rPr>
          <w:rFonts w:cs="Arial"/>
          <w:b/>
        </w:rPr>
        <w:t>,</w:t>
      </w:r>
      <w:r w:rsidR="00EB7036" w:rsidRPr="00196AAC">
        <w:rPr>
          <w:rFonts w:cs="Arial"/>
          <w:b/>
        </w:rPr>
        <w:t xml:space="preserve"> </w:t>
      </w:r>
      <w:r w:rsidR="00D84338" w:rsidRPr="00196AAC">
        <w:rPr>
          <w:rFonts w:cs="Arial"/>
          <w:b/>
        </w:rPr>
        <w:t>violates Ohio Law and proper ratemaking practices</w:t>
      </w:r>
      <w:r w:rsidR="00A673CC" w:rsidRPr="00196AAC">
        <w:rPr>
          <w:rFonts w:cs="Arial"/>
          <w:b/>
        </w:rPr>
        <w:t xml:space="preserve">.  </w:t>
      </w:r>
    </w:p>
    <w:p w14:paraId="5AA8ACA5" w14:textId="020CBFD4" w:rsidR="003D40E8" w:rsidRPr="0084259C" w:rsidRDefault="00EB7036" w:rsidP="0084259C">
      <w:pPr>
        <w:spacing w:line="480" w:lineRule="auto"/>
        <w:ind w:firstLine="720"/>
        <w:jc w:val="both"/>
        <w:rPr>
          <w:rFonts w:cs="Arial"/>
        </w:rPr>
      </w:pPr>
      <w:r w:rsidRPr="0084259C">
        <w:rPr>
          <w:rFonts w:cs="Arial"/>
        </w:rPr>
        <w:t xml:space="preserve">As provided by R.C. 4909.15, the Commission is to determine the cost to the utility of rendering the public utility service during the test </w:t>
      </w:r>
      <w:r w:rsidR="00331C14">
        <w:rPr>
          <w:rFonts w:cs="Arial"/>
        </w:rPr>
        <w:t>year</w:t>
      </w:r>
      <w:r w:rsidRPr="0084259C">
        <w:rPr>
          <w:rFonts w:cs="Arial"/>
        </w:rPr>
        <w:t xml:space="preserve">.  Under the standard filing requirements set out in Commission rules, taxes </w:t>
      </w:r>
      <w:r w:rsidR="003D40E8" w:rsidRPr="0084259C">
        <w:rPr>
          <w:rFonts w:cs="Arial"/>
        </w:rPr>
        <w:t xml:space="preserve">other than income taxes </w:t>
      </w:r>
      <w:r w:rsidRPr="0084259C">
        <w:rPr>
          <w:rFonts w:cs="Arial"/>
        </w:rPr>
        <w:t>are included in the schedules submitted to determine the cost of providing utility service.  Rule 4901-7-10, Appendix at 7</w:t>
      </w:r>
      <w:r w:rsidR="003D40E8" w:rsidRPr="0084259C">
        <w:rPr>
          <w:rFonts w:cs="Arial"/>
        </w:rPr>
        <w:t>2 and Schedules C-1, C-2, and C-3.13</w:t>
      </w:r>
      <w:r w:rsidR="00E718F2">
        <w:rPr>
          <w:rFonts w:cs="Arial"/>
        </w:rPr>
        <w:t>, OAC</w:t>
      </w:r>
      <w:r w:rsidRPr="0084259C">
        <w:rPr>
          <w:rFonts w:cs="Arial"/>
        </w:rPr>
        <w:t xml:space="preserve">. </w:t>
      </w:r>
    </w:p>
    <w:p w14:paraId="6FB9BC5D" w14:textId="326E8EDF" w:rsidR="006F575F" w:rsidRDefault="002E16AF" w:rsidP="003D40E8">
      <w:pPr>
        <w:spacing w:line="480" w:lineRule="auto"/>
        <w:ind w:firstLine="720"/>
        <w:jc w:val="both"/>
        <w:rPr>
          <w:rFonts w:cs="Arial"/>
        </w:rPr>
      </w:pPr>
      <w:r>
        <w:rPr>
          <w:rFonts w:cs="Arial"/>
        </w:rPr>
        <w:t xml:space="preserve">The Staff Report’s recommendation for an adjustment to personal property taxes is in error in three ways.  First, </w:t>
      </w:r>
      <w:r w:rsidR="006F575F">
        <w:rPr>
          <w:rFonts w:cs="Arial"/>
        </w:rPr>
        <w:t>the</w:t>
      </w:r>
      <w:r w:rsidR="00E718F2">
        <w:rPr>
          <w:rFonts w:cs="Arial"/>
        </w:rPr>
        <w:t xml:space="preserve"> value of the </w:t>
      </w:r>
      <w:r w:rsidR="006F575F">
        <w:rPr>
          <w:rFonts w:cs="Arial"/>
        </w:rPr>
        <w:t xml:space="preserve">property subject to personal property tax does not include $504,287 </w:t>
      </w:r>
      <w:r w:rsidR="006753CE">
        <w:rPr>
          <w:rFonts w:cs="Arial"/>
        </w:rPr>
        <w:t xml:space="preserve">of materials and supplies inventory </w:t>
      </w:r>
      <w:r w:rsidR="006F575F">
        <w:rPr>
          <w:rFonts w:cs="Arial"/>
        </w:rPr>
        <w:t>as of the date certain.  Second, the assessment value</w:t>
      </w:r>
      <w:r w:rsidR="00E15634">
        <w:rPr>
          <w:rFonts w:cs="Arial"/>
        </w:rPr>
        <w:t xml:space="preserve"> for personal property</w:t>
      </w:r>
      <w:r w:rsidR="006F575F">
        <w:rPr>
          <w:rFonts w:cs="Arial"/>
        </w:rPr>
        <w:t xml:space="preserve"> is understated because the assessment rate</w:t>
      </w:r>
      <w:r w:rsidR="00E718F2">
        <w:rPr>
          <w:rFonts w:cs="Arial"/>
        </w:rPr>
        <w:t xml:space="preserve"> applied to the property value in the Staff Report</w:t>
      </w:r>
      <w:r w:rsidR="00E15634">
        <w:rPr>
          <w:rFonts w:cs="Arial"/>
        </w:rPr>
        <w:t>, 11.0369%,</w:t>
      </w:r>
      <w:r w:rsidR="006F575F">
        <w:rPr>
          <w:rFonts w:cs="Arial"/>
        </w:rPr>
        <w:t xml:space="preserve"> is </w:t>
      </w:r>
      <w:r w:rsidR="00E15634">
        <w:rPr>
          <w:rFonts w:cs="Arial"/>
        </w:rPr>
        <w:t xml:space="preserve">incorrectly </w:t>
      </w:r>
      <w:r w:rsidR="006F575F">
        <w:rPr>
          <w:rFonts w:cs="Arial"/>
        </w:rPr>
        <w:t xml:space="preserve">calculated as the tax paid </w:t>
      </w:r>
      <w:r w:rsidR="00E15634">
        <w:rPr>
          <w:rFonts w:cs="Arial"/>
        </w:rPr>
        <w:t xml:space="preserve">divided </w:t>
      </w:r>
      <w:r w:rsidR="006F575F">
        <w:rPr>
          <w:rFonts w:cs="Arial"/>
        </w:rPr>
        <w:t xml:space="preserve">by </w:t>
      </w:r>
      <w:r w:rsidR="00695FFE">
        <w:rPr>
          <w:rFonts w:cs="Arial"/>
        </w:rPr>
        <w:t xml:space="preserve">the </w:t>
      </w:r>
      <w:r w:rsidR="006F575F">
        <w:rPr>
          <w:rFonts w:cs="Arial"/>
        </w:rPr>
        <w:t>sum of both real and personal property</w:t>
      </w:r>
      <w:r w:rsidR="00695FFE">
        <w:rPr>
          <w:rFonts w:cs="Arial"/>
        </w:rPr>
        <w:t xml:space="preserve"> amounts</w:t>
      </w:r>
      <w:r w:rsidR="006F575F">
        <w:rPr>
          <w:rFonts w:cs="Arial"/>
        </w:rPr>
        <w:t>.  The correct rate, 11.5328%, is based on a divisor that includes only personal property.</w:t>
      </w:r>
      <w:r w:rsidR="00EB6BBC">
        <w:rPr>
          <w:rFonts w:cs="Arial"/>
        </w:rPr>
        <w:t xml:space="preserve">  Third, the adjustment</w:t>
      </w:r>
      <w:r w:rsidR="00E718F2">
        <w:rPr>
          <w:rFonts w:cs="Arial"/>
        </w:rPr>
        <w:t xml:space="preserve"> in the Staff Report</w:t>
      </w:r>
      <w:r w:rsidR="00EB6BBC">
        <w:rPr>
          <w:rFonts w:cs="Arial"/>
        </w:rPr>
        <w:t xml:space="preserve"> fails to account for the reclassification of certain property from general plant to distribution plan</w:t>
      </w:r>
      <w:r w:rsidR="00695FFE">
        <w:rPr>
          <w:rFonts w:cs="Arial"/>
        </w:rPr>
        <w:t>t</w:t>
      </w:r>
      <w:r w:rsidR="00EB6BBC">
        <w:rPr>
          <w:rFonts w:cs="Arial"/>
        </w:rPr>
        <w:t xml:space="preserve">.  The reclassification increases the </w:t>
      </w:r>
      <w:r w:rsidR="00E15634">
        <w:rPr>
          <w:rFonts w:cs="Arial"/>
        </w:rPr>
        <w:t>personal</w:t>
      </w:r>
      <w:r w:rsidR="00EB6BBC">
        <w:rPr>
          <w:rFonts w:cs="Arial"/>
        </w:rPr>
        <w:t xml:space="preserve"> property </w:t>
      </w:r>
      <w:r w:rsidR="00721B75">
        <w:rPr>
          <w:rFonts w:cs="Arial"/>
        </w:rPr>
        <w:t xml:space="preserve">tax expense </w:t>
      </w:r>
      <w:r w:rsidR="00EB6BBC">
        <w:rPr>
          <w:rFonts w:cs="Arial"/>
        </w:rPr>
        <w:t xml:space="preserve">from $43,634 to $60,195 </w:t>
      </w:r>
      <w:r w:rsidR="00721B75">
        <w:rPr>
          <w:rFonts w:cs="Arial"/>
        </w:rPr>
        <w:t>thereby</w:t>
      </w:r>
      <w:r w:rsidR="00EB6BBC">
        <w:rPr>
          <w:rFonts w:cs="Arial"/>
        </w:rPr>
        <w:t xml:space="preserve"> increas</w:t>
      </w:r>
      <w:r w:rsidR="00721B75">
        <w:rPr>
          <w:rFonts w:cs="Arial"/>
        </w:rPr>
        <w:t>ing</w:t>
      </w:r>
      <w:r w:rsidR="00EB6BBC">
        <w:rPr>
          <w:rFonts w:cs="Arial"/>
        </w:rPr>
        <w:t xml:space="preserve"> personal property tax by $16,561.  </w:t>
      </w:r>
      <w:r w:rsidR="004833A4">
        <w:rPr>
          <w:rFonts w:cs="Arial"/>
        </w:rPr>
        <w:t xml:space="preserve">Accordingly, the Commission should reject the </w:t>
      </w:r>
      <w:r w:rsidR="0082125D">
        <w:rPr>
          <w:rFonts w:cs="Arial"/>
        </w:rPr>
        <w:t xml:space="preserve">reduction </w:t>
      </w:r>
      <w:r w:rsidR="00B23649">
        <w:rPr>
          <w:rFonts w:cs="Arial"/>
        </w:rPr>
        <w:t xml:space="preserve">of the property tax expense of </w:t>
      </w:r>
      <w:r w:rsidR="00444236">
        <w:rPr>
          <w:rFonts w:cs="Arial"/>
        </w:rPr>
        <w:t>$</w:t>
      </w:r>
      <w:r w:rsidR="00B23649">
        <w:rPr>
          <w:rFonts w:cs="Arial"/>
        </w:rPr>
        <w:t xml:space="preserve">22,185 </w:t>
      </w:r>
      <w:r w:rsidR="00500F6A">
        <w:rPr>
          <w:rFonts w:cs="Arial"/>
        </w:rPr>
        <w:t>recommended</w:t>
      </w:r>
      <w:r w:rsidR="0082125D">
        <w:rPr>
          <w:rFonts w:cs="Arial"/>
        </w:rPr>
        <w:t xml:space="preserve"> in the Staff Report, recalculate the property tax adjustment to account for the errors noted above, and </w:t>
      </w:r>
      <w:r w:rsidR="00B23649">
        <w:rPr>
          <w:rFonts w:cs="Arial"/>
        </w:rPr>
        <w:t xml:space="preserve">account for the known and </w:t>
      </w:r>
      <w:r w:rsidR="000D2257">
        <w:rPr>
          <w:rFonts w:cs="Arial"/>
        </w:rPr>
        <w:t>measurable</w:t>
      </w:r>
      <w:r w:rsidR="00B23649">
        <w:rPr>
          <w:rFonts w:cs="Arial"/>
        </w:rPr>
        <w:t xml:space="preserve"> increase in personal property tax expense of $16,561</w:t>
      </w:r>
      <w:r w:rsidR="006753CE">
        <w:rPr>
          <w:rFonts w:cs="Arial"/>
        </w:rPr>
        <w:t xml:space="preserve"> resulting from the reclassification of property</w:t>
      </w:r>
      <w:r w:rsidR="00B23649">
        <w:rPr>
          <w:rFonts w:cs="Arial"/>
        </w:rPr>
        <w:t>.</w:t>
      </w:r>
    </w:p>
    <w:p w14:paraId="61BA86E4" w14:textId="4C032321" w:rsidR="00BA70C8" w:rsidRDefault="00BA70C8" w:rsidP="00BA70C8">
      <w:pPr>
        <w:spacing w:line="480" w:lineRule="auto"/>
        <w:ind w:firstLine="720"/>
        <w:jc w:val="both"/>
        <w:rPr>
          <w:rFonts w:cs="Arial"/>
          <w:b/>
          <w:u w:val="single"/>
        </w:rPr>
      </w:pPr>
      <w:r>
        <w:rPr>
          <w:rFonts w:cs="Arial"/>
          <w:b/>
          <w:u w:val="single"/>
        </w:rPr>
        <w:lastRenderedPageBreak/>
        <w:t>Rate of Return</w:t>
      </w:r>
    </w:p>
    <w:p w14:paraId="2F678E71" w14:textId="12EC0A7B" w:rsidR="00BA70C8" w:rsidRPr="00092966" w:rsidRDefault="00BA70C8" w:rsidP="007F6686">
      <w:pPr>
        <w:pStyle w:val="ListParagraph"/>
        <w:numPr>
          <w:ilvl w:val="0"/>
          <w:numId w:val="8"/>
        </w:numPr>
        <w:spacing w:line="480" w:lineRule="auto"/>
        <w:ind w:left="0" w:firstLine="720"/>
        <w:jc w:val="both"/>
        <w:rPr>
          <w:rFonts w:cs="Arial"/>
          <w:b/>
        </w:rPr>
      </w:pPr>
      <w:bookmarkStart w:id="2" w:name="_Hlk501630722"/>
      <w:r w:rsidRPr="00092966">
        <w:rPr>
          <w:rFonts w:cs="Arial"/>
          <w:b/>
        </w:rPr>
        <w:t>The Staff Report’s recommend</w:t>
      </w:r>
      <w:r w:rsidR="006F2E26" w:rsidRPr="00092966">
        <w:rPr>
          <w:rFonts w:cs="Arial"/>
          <w:b/>
        </w:rPr>
        <w:t>ation for a</w:t>
      </w:r>
      <w:r w:rsidRPr="00092966">
        <w:rPr>
          <w:rFonts w:cs="Arial"/>
          <w:b/>
        </w:rPr>
        <w:t xml:space="preserve"> range </w:t>
      </w:r>
      <w:r w:rsidR="006F2E26" w:rsidRPr="00092966">
        <w:rPr>
          <w:rFonts w:cs="Arial"/>
          <w:b/>
        </w:rPr>
        <w:t>of the</w:t>
      </w:r>
      <w:r w:rsidRPr="00092966">
        <w:rPr>
          <w:rFonts w:cs="Arial"/>
          <w:b/>
        </w:rPr>
        <w:t xml:space="preserve"> </w:t>
      </w:r>
      <w:r w:rsidR="000E3F9C">
        <w:rPr>
          <w:rFonts w:cs="Arial"/>
          <w:b/>
        </w:rPr>
        <w:t xml:space="preserve">rate of </w:t>
      </w:r>
      <w:r w:rsidR="00EF425F">
        <w:rPr>
          <w:rFonts w:cs="Arial"/>
          <w:b/>
        </w:rPr>
        <w:t>return</w:t>
      </w:r>
      <w:r w:rsidRPr="00092966">
        <w:rPr>
          <w:rFonts w:cs="Arial"/>
          <w:b/>
        </w:rPr>
        <w:t xml:space="preserve"> </w:t>
      </w:r>
      <w:r w:rsidR="005346DD" w:rsidRPr="00092966">
        <w:rPr>
          <w:rFonts w:cs="Arial"/>
          <w:b/>
        </w:rPr>
        <w:t xml:space="preserve">that would go as low as </w:t>
      </w:r>
      <w:r w:rsidRPr="00092966">
        <w:rPr>
          <w:rFonts w:cs="Arial"/>
          <w:b/>
        </w:rPr>
        <w:t>8.5</w:t>
      </w:r>
      <w:r w:rsidR="003868DD" w:rsidRPr="00092966">
        <w:rPr>
          <w:rFonts w:cs="Arial"/>
          <w:b/>
        </w:rPr>
        <w:t>%</w:t>
      </w:r>
      <w:r w:rsidR="006F2E26" w:rsidRPr="00092966">
        <w:rPr>
          <w:rFonts w:cs="Arial"/>
          <w:b/>
        </w:rPr>
        <w:t xml:space="preserve"> violates Ohio law and proper </w:t>
      </w:r>
      <w:r w:rsidR="00377870" w:rsidRPr="00092966">
        <w:rPr>
          <w:rFonts w:cs="Arial"/>
          <w:b/>
        </w:rPr>
        <w:t>ratemaking practices</w:t>
      </w:r>
      <w:r w:rsidR="006F2E26" w:rsidRPr="00092966">
        <w:rPr>
          <w:rFonts w:cs="Arial"/>
          <w:b/>
        </w:rPr>
        <w:t>.</w:t>
      </w:r>
      <w:r w:rsidR="005346DD" w:rsidRPr="00092966">
        <w:rPr>
          <w:rFonts w:cs="Arial"/>
          <w:b/>
        </w:rPr>
        <w:t xml:space="preserve">  </w:t>
      </w:r>
      <w:bookmarkEnd w:id="2"/>
      <w:r w:rsidR="005346DD" w:rsidRPr="00092966">
        <w:rPr>
          <w:rFonts w:cs="Arial"/>
          <w:b/>
        </w:rPr>
        <w:t xml:space="preserve">To the extent that the Commission accepts the recommended </w:t>
      </w:r>
      <w:r w:rsidR="0035691F">
        <w:rPr>
          <w:rFonts w:cs="Arial"/>
          <w:b/>
        </w:rPr>
        <w:t xml:space="preserve">range of the </w:t>
      </w:r>
      <w:r w:rsidR="00EF425F">
        <w:rPr>
          <w:rFonts w:cs="Arial"/>
          <w:b/>
        </w:rPr>
        <w:t>rate</w:t>
      </w:r>
      <w:r w:rsidR="00500F6A">
        <w:rPr>
          <w:rFonts w:cs="Arial"/>
          <w:b/>
        </w:rPr>
        <w:t xml:space="preserve"> </w:t>
      </w:r>
      <w:r w:rsidR="005346DD" w:rsidRPr="00092966">
        <w:rPr>
          <w:rFonts w:cs="Arial"/>
          <w:b/>
        </w:rPr>
        <w:t xml:space="preserve">proposed by the Staff, the Commission should incorporate a </w:t>
      </w:r>
      <w:r w:rsidR="00EF425F">
        <w:rPr>
          <w:rFonts w:cs="Arial"/>
          <w:b/>
        </w:rPr>
        <w:t>rate</w:t>
      </w:r>
      <w:r w:rsidR="005346DD" w:rsidRPr="00092966">
        <w:rPr>
          <w:rFonts w:cs="Arial"/>
          <w:b/>
        </w:rPr>
        <w:t xml:space="preserve"> in the upper quartile of the Staff range.</w:t>
      </w:r>
    </w:p>
    <w:p w14:paraId="0EEBDB98" w14:textId="045AD792" w:rsidR="00352388" w:rsidRDefault="006F2E26" w:rsidP="006F2E26">
      <w:pPr>
        <w:spacing w:line="480" w:lineRule="auto"/>
        <w:ind w:firstLine="720"/>
        <w:jc w:val="both"/>
        <w:rPr>
          <w:rFonts w:cs="Arial"/>
        </w:rPr>
      </w:pPr>
      <w:r>
        <w:rPr>
          <w:rFonts w:cs="Arial"/>
        </w:rPr>
        <w:t xml:space="preserve">R.C. 4909.15(A)(2) requires the Commission to establish a “fair and reasonable rate of return” based on the </w:t>
      </w:r>
      <w:r w:rsidR="00AA346D">
        <w:rPr>
          <w:rFonts w:cs="Arial"/>
        </w:rPr>
        <w:t xml:space="preserve">utility’s </w:t>
      </w:r>
      <w:r>
        <w:rPr>
          <w:rFonts w:cs="Arial"/>
        </w:rPr>
        <w:t>used and useful property as of the date certain.  The Staff Report provides a recommended range of the rate of between 8.5</w:t>
      </w:r>
      <w:r w:rsidR="003868DD">
        <w:rPr>
          <w:rFonts w:cs="Arial"/>
        </w:rPr>
        <w:t>%</w:t>
      </w:r>
      <w:r>
        <w:rPr>
          <w:rFonts w:cs="Arial"/>
        </w:rPr>
        <w:t xml:space="preserve"> and 9.5</w:t>
      </w:r>
      <w:r w:rsidR="003868DD">
        <w:rPr>
          <w:rFonts w:cs="Arial"/>
        </w:rPr>
        <w:t>%</w:t>
      </w:r>
      <w:r>
        <w:rPr>
          <w:rFonts w:cs="Arial"/>
        </w:rPr>
        <w:t>.</w:t>
      </w:r>
      <w:r w:rsidR="007E2AFB">
        <w:rPr>
          <w:rFonts w:cs="Arial"/>
        </w:rPr>
        <w:t xml:space="preserve">  </w:t>
      </w:r>
    </w:p>
    <w:p w14:paraId="21F876E3" w14:textId="77F88163" w:rsidR="00E92AB5" w:rsidRDefault="00E92AB5" w:rsidP="006F2E26">
      <w:pPr>
        <w:spacing w:line="480" w:lineRule="auto"/>
        <w:ind w:firstLine="720"/>
        <w:jc w:val="both"/>
        <w:rPr>
          <w:rFonts w:cs="Arial"/>
        </w:rPr>
      </w:pPr>
      <w:r>
        <w:rPr>
          <w:rFonts w:cs="Arial"/>
        </w:rPr>
        <w:t xml:space="preserve">“To provide the Commission with flexibility to reward [Ohio Gas] for exemplary behavior or offer encouragement to alter behavior that the Commission believes could be improved, Staff believes a recommendation of 8.5 percent to 9.5 percent is appropriate.”  </w:t>
      </w:r>
      <w:r>
        <w:t xml:space="preserve">Staff Report at 13.  </w:t>
      </w:r>
    </w:p>
    <w:p w14:paraId="64F4B242" w14:textId="7CBEF7BE" w:rsidR="00E92AB5" w:rsidRDefault="00E92AB5" w:rsidP="006F2E26">
      <w:pPr>
        <w:spacing w:line="480" w:lineRule="auto"/>
        <w:ind w:firstLine="720"/>
        <w:jc w:val="both"/>
        <w:rPr>
          <w:rFonts w:cs="Arial"/>
        </w:rPr>
      </w:pPr>
      <w:r>
        <w:rPr>
          <w:rFonts w:cs="Arial"/>
        </w:rPr>
        <w:t>The Staff Report’s recommended lower bound of 8.5% for the rate is in error because the lower bound is unfair and unreasonable based on accepted ratemaking principles, as shown by the testimony contained in the Application.</w:t>
      </w:r>
    </w:p>
    <w:p w14:paraId="4D907894" w14:textId="59B4D7D0" w:rsidR="005940D0" w:rsidRDefault="00352388" w:rsidP="006F2E26">
      <w:pPr>
        <w:spacing w:line="480" w:lineRule="auto"/>
        <w:ind w:firstLine="720"/>
        <w:jc w:val="both"/>
        <w:rPr>
          <w:rFonts w:cs="Arial"/>
        </w:rPr>
      </w:pPr>
      <w:r>
        <w:rPr>
          <w:rFonts w:cs="Arial"/>
        </w:rPr>
        <w:t>If the Commission accepts the Staff range,</w:t>
      </w:r>
      <w:r w:rsidR="00E92AB5">
        <w:rPr>
          <w:rFonts w:cs="Arial"/>
        </w:rPr>
        <w:t xml:space="preserve"> however,</w:t>
      </w:r>
      <w:r>
        <w:rPr>
          <w:rFonts w:cs="Arial"/>
        </w:rPr>
        <w:t xml:space="preserve"> then the Commission should adopt a rate in the upper quartile of the range</w:t>
      </w:r>
      <w:r w:rsidR="00E92AB5">
        <w:rPr>
          <w:rFonts w:cs="Arial"/>
        </w:rPr>
        <w:t xml:space="preserve"> of no less than</w:t>
      </w:r>
      <w:r>
        <w:rPr>
          <w:rFonts w:cs="Arial"/>
        </w:rPr>
        <w:t xml:space="preserve"> 9.25%.  </w:t>
      </w:r>
    </w:p>
    <w:p w14:paraId="098F555D" w14:textId="2AA15A73" w:rsidR="00AF19CA" w:rsidRDefault="000E3F9C" w:rsidP="006F2E26">
      <w:pPr>
        <w:spacing w:line="480" w:lineRule="auto"/>
        <w:ind w:firstLine="720"/>
        <w:jc w:val="both"/>
        <w:rPr>
          <w:rFonts w:cs="Arial"/>
        </w:rPr>
      </w:pPr>
      <w:r>
        <w:rPr>
          <w:rFonts w:cs="Arial"/>
        </w:rPr>
        <w:t xml:space="preserve">Several factors support this finding.  Initially, </w:t>
      </w:r>
      <w:r w:rsidR="00352388">
        <w:rPr>
          <w:rFonts w:cs="Arial"/>
        </w:rPr>
        <w:t>Ohio Gas has performed in an exemplary manner, as demonstrated by the findi</w:t>
      </w:r>
      <w:r w:rsidR="00E92AB5">
        <w:rPr>
          <w:rFonts w:cs="Arial"/>
        </w:rPr>
        <w:t>n</w:t>
      </w:r>
      <w:r w:rsidR="00352388">
        <w:rPr>
          <w:rFonts w:cs="Arial"/>
        </w:rPr>
        <w:t>g</w:t>
      </w:r>
      <w:r w:rsidR="00E92AB5">
        <w:rPr>
          <w:rFonts w:cs="Arial"/>
        </w:rPr>
        <w:t>s</w:t>
      </w:r>
      <w:r w:rsidR="00352388">
        <w:rPr>
          <w:rFonts w:cs="Arial"/>
        </w:rPr>
        <w:t xml:space="preserve"> of the Staff regarding </w:t>
      </w:r>
      <w:r w:rsidR="0035691F">
        <w:rPr>
          <w:rFonts w:cs="Arial"/>
        </w:rPr>
        <w:t xml:space="preserve">the </w:t>
      </w:r>
      <w:r w:rsidR="00352388">
        <w:rPr>
          <w:rFonts w:cs="Arial"/>
        </w:rPr>
        <w:t>operational and safety record</w:t>
      </w:r>
      <w:r w:rsidR="00E92AB5">
        <w:rPr>
          <w:rFonts w:cs="Arial"/>
        </w:rPr>
        <w:t xml:space="preserve"> of Ohio Gas</w:t>
      </w:r>
      <w:r w:rsidR="00352388">
        <w:rPr>
          <w:rFonts w:cs="Arial"/>
        </w:rPr>
        <w:t xml:space="preserve">.  </w:t>
      </w:r>
      <w:r w:rsidR="00E92AB5">
        <w:rPr>
          <w:rFonts w:cs="Arial"/>
        </w:rPr>
        <w:t xml:space="preserve">Further, </w:t>
      </w:r>
      <w:r w:rsidR="00E648AE">
        <w:rPr>
          <w:rFonts w:cs="Arial"/>
        </w:rPr>
        <w:t xml:space="preserve">Ohio Gas has managed its business operations </w:t>
      </w:r>
      <w:r>
        <w:rPr>
          <w:rFonts w:cs="Arial"/>
        </w:rPr>
        <w:t>to</w:t>
      </w:r>
      <w:r w:rsidR="00E648AE">
        <w:rPr>
          <w:rFonts w:cs="Arial"/>
        </w:rPr>
        <w:t xml:space="preserve"> minimize the impact on its customers while providing safe and reliable service.  </w:t>
      </w:r>
      <w:r w:rsidR="00E92AB5">
        <w:rPr>
          <w:rFonts w:cs="Arial"/>
        </w:rPr>
        <w:t>For example, t</w:t>
      </w:r>
      <w:r w:rsidR="00AF19CA">
        <w:rPr>
          <w:rFonts w:cs="Arial"/>
        </w:rPr>
        <w:t xml:space="preserve">his case represents the first application to increase rates filed by the Company </w:t>
      </w:r>
      <w:r w:rsidR="00E648AE">
        <w:rPr>
          <w:rFonts w:cs="Arial"/>
        </w:rPr>
        <w:lastRenderedPageBreak/>
        <w:t xml:space="preserve">in over three decades.  Moreover, even at the level of the proposed increase in the Application, Ohio Gas would still have among the lowest </w:t>
      </w:r>
      <w:r w:rsidR="00386ABC">
        <w:rPr>
          <w:rFonts w:cs="Arial"/>
        </w:rPr>
        <w:t xml:space="preserve">distribution </w:t>
      </w:r>
      <w:r w:rsidR="00E648AE">
        <w:rPr>
          <w:rFonts w:cs="Arial"/>
        </w:rPr>
        <w:t>rate</w:t>
      </w:r>
      <w:r w:rsidR="00860432">
        <w:rPr>
          <w:rFonts w:cs="Arial"/>
        </w:rPr>
        <w:t>s</w:t>
      </w:r>
      <w:r w:rsidR="00E648AE">
        <w:rPr>
          <w:rFonts w:cs="Arial"/>
        </w:rPr>
        <w:t xml:space="preserve"> for a natural gas company in the State.  Ohio Gas has further managed its business operations </w:t>
      </w:r>
      <w:r w:rsidR="00386ABC">
        <w:rPr>
          <w:rFonts w:cs="Arial"/>
        </w:rPr>
        <w:t xml:space="preserve">to provide safe and reliable service without seeking authorization </w:t>
      </w:r>
      <w:r>
        <w:rPr>
          <w:rFonts w:cs="Arial"/>
        </w:rPr>
        <w:t>of</w:t>
      </w:r>
      <w:r w:rsidR="00E648AE">
        <w:rPr>
          <w:rFonts w:cs="Arial"/>
        </w:rPr>
        <w:t xml:space="preserve"> </w:t>
      </w:r>
      <w:r w:rsidR="007D6049">
        <w:rPr>
          <w:rFonts w:cs="Arial"/>
        </w:rPr>
        <w:t xml:space="preserve">rate </w:t>
      </w:r>
      <w:r w:rsidR="00E648AE">
        <w:rPr>
          <w:rFonts w:cs="Arial"/>
        </w:rPr>
        <w:t>rider</w:t>
      </w:r>
      <w:r>
        <w:rPr>
          <w:rFonts w:cs="Arial"/>
        </w:rPr>
        <w:t>s</w:t>
      </w:r>
      <w:r w:rsidR="00E648AE">
        <w:rPr>
          <w:rFonts w:cs="Arial"/>
        </w:rPr>
        <w:t>.  In so managing its operations, Ohio Gas has also been able to achieve remarkably low unaccounted-for gas percentages</w:t>
      </w:r>
      <w:r>
        <w:rPr>
          <w:rFonts w:cs="Arial"/>
        </w:rPr>
        <w:t>,</w:t>
      </w:r>
      <w:r w:rsidR="00860432">
        <w:rPr>
          <w:rFonts w:cs="Arial"/>
        </w:rPr>
        <w:t xml:space="preserve"> a</w:t>
      </w:r>
      <w:r w:rsidR="00E648AE">
        <w:rPr>
          <w:rFonts w:cs="Arial"/>
        </w:rPr>
        <w:t>gain, among the lowest in the State.</w:t>
      </w:r>
    </w:p>
    <w:p w14:paraId="0F347D1D" w14:textId="2A1CE71C" w:rsidR="00E648AE" w:rsidRDefault="00E648AE" w:rsidP="006F2E26">
      <w:pPr>
        <w:spacing w:line="480" w:lineRule="auto"/>
        <w:ind w:firstLine="720"/>
        <w:jc w:val="both"/>
        <w:rPr>
          <w:rFonts w:cs="Arial"/>
        </w:rPr>
      </w:pPr>
      <w:r>
        <w:rPr>
          <w:rFonts w:cs="Arial"/>
        </w:rPr>
        <w:t xml:space="preserve">Ohio Gas also has a remarkable appreciation and relationship with its customers.  </w:t>
      </w:r>
      <w:r w:rsidR="003C3B06">
        <w:rPr>
          <w:rFonts w:cs="Arial"/>
        </w:rPr>
        <w:t xml:space="preserve">Ohio Gas’s exemplary relationship with its customers is </w:t>
      </w:r>
      <w:r w:rsidR="00694E79">
        <w:rPr>
          <w:rFonts w:cs="Arial"/>
        </w:rPr>
        <w:t>demonstrate</w:t>
      </w:r>
      <w:r w:rsidR="0035691F">
        <w:rPr>
          <w:rFonts w:cs="Arial"/>
        </w:rPr>
        <w:t>d</w:t>
      </w:r>
      <w:r w:rsidR="003C3B06">
        <w:rPr>
          <w:rFonts w:cs="Arial"/>
        </w:rPr>
        <w:t xml:space="preserve"> by the lack of customer complaint cases filed with the Commission (the Commission’s records indicate </w:t>
      </w:r>
      <w:r w:rsidR="00386ABC">
        <w:rPr>
          <w:rFonts w:cs="Arial"/>
        </w:rPr>
        <w:t>three</w:t>
      </w:r>
      <w:r w:rsidR="003C3B06">
        <w:rPr>
          <w:rFonts w:cs="Arial"/>
        </w:rPr>
        <w:t xml:space="preserve"> complaint cases have been filed with the Commission for as </w:t>
      </w:r>
      <w:r w:rsidR="00860432">
        <w:rPr>
          <w:rFonts w:cs="Arial"/>
        </w:rPr>
        <w:t>far</w:t>
      </w:r>
      <w:r w:rsidR="003C3B06">
        <w:rPr>
          <w:rFonts w:cs="Arial"/>
        </w:rPr>
        <w:t xml:space="preserve"> back as the Commission’s online records exist).  </w:t>
      </w:r>
      <w:r w:rsidR="009C3DE6">
        <w:rPr>
          <w:rFonts w:cs="Arial"/>
        </w:rPr>
        <w:t>Although permitted to</w:t>
      </w:r>
      <w:r w:rsidR="003C3B06">
        <w:rPr>
          <w:rFonts w:cs="Arial"/>
        </w:rPr>
        <w:t xml:space="preserve"> </w:t>
      </w:r>
      <w:r w:rsidR="009C3DE6">
        <w:rPr>
          <w:rFonts w:cs="Arial"/>
        </w:rPr>
        <w:t>impose requirements on its residential and small commercial customer to establish creditworthiness, Ohio Gas has not imposed such requirements on its customers and instead assumes that they are creditworthy until proven otherwise.</w:t>
      </w:r>
    </w:p>
    <w:p w14:paraId="3E9B824A" w14:textId="3FDC8424" w:rsidR="00BA70C8" w:rsidRDefault="00133730" w:rsidP="003D40E8">
      <w:pPr>
        <w:spacing w:line="480" w:lineRule="auto"/>
        <w:ind w:firstLine="720"/>
        <w:jc w:val="both"/>
        <w:rPr>
          <w:rFonts w:cs="Arial"/>
        </w:rPr>
      </w:pPr>
      <w:r>
        <w:rPr>
          <w:rFonts w:cs="Arial"/>
        </w:rPr>
        <w:t>Accordingly, the Commission should adopt a rate of return of 9.25</w:t>
      </w:r>
      <w:r w:rsidR="00260C43">
        <w:rPr>
          <w:rFonts w:cs="Arial"/>
        </w:rPr>
        <w:t>%</w:t>
      </w:r>
      <w:r>
        <w:rPr>
          <w:rFonts w:cs="Arial"/>
        </w:rPr>
        <w:t>.</w:t>
      </w:r>
    </w:p>
    <w:p w14:paraId="72E5928B" w14:textId="67056A56" w:rsidR="006F5B1A" w:rsidRPr="00FA67AC" w:rsidRDefault="006F5B1A" w:rsidP="00FA67AC">
      <w:pPr>
        <w:pStyle w:val="ListParagraph"/>
        <w:numPr>
          <w:ilvl w:val="0"/>
          <w:numId w:val="4"/>
        </w:numPr>
        <w:spacing w:line="480" w:lineRule="auto"/>
        <w:ind w:hanging="720"/>
        <w:rPr>
          <w:rFonts w:cs="Arial"/>
          <w:b/>
          <w:caps/>
        </w:rPr>
      </w:pPr>
      <w:r w:rsidRPr="00FA67AC">
        <w:rPr>
          <w:rFonts w:cs="Arial"/>
          <w:b/>
          <w:caps/>
        </w:rPr>
        <w:t>Statement of Major Issues</w:t>
      </w:r>
    </w:p>
    <w:p w14:paraId="37366B49" w14:textId="09C62223" w:rsidR="00133730" w:rsidRDefault="00E15634" w:rsidP="00FA67AC">
      <w:pPr>
        <w:pStyle w:val="ListParagraph"/>
        <w:numPr>
          <w:ilvl w:val="0"/>
          <w:numId w:val="5"/>
        </w:numPr>
        <w:spacing w:line="480" w:lineRule="auto"/>
        <w:ind w:left="0" w:firstLine="720"/>
        <w:jc w:val="both"/>
        <w:rPr>
          <w:rFonts w:cs="Arial"/>
        </w:rPr>
      </w:pPr>
      <w:r>
        <w:rPr>
          <w:rFonts w:cs="Arial"/>
        </w:rPr>
        <w:t>Based on</w:t>
      </w:r>
      <w:r w:rsidR="002444E2">
        <w:rPr>
          <w:rFonts w:cs="Arial"/>
        </w:rPr>
        <w:t xml:space="preserve"> the objections</w:t>
      </w:r>
      <w:r>
        <w:rPr>
          <w:rFonts w:cs="Arial"/>
        </w:rPr>
        <w:t xml:space="preserve"> of Ohio Gas</w:t>
      </w:r>
      <w:r w:rsidR="002444E2">
        <w:rPr>
          <w:rFonts w:cs="Arial"/>
        </w:rPr>
        <w:t xml:space="preserve"> to the recommendations of the Staff Report concerning the </w:t>
      </w:r>
      <w:r>
        <w:rPr>
          <w:rFonts w:cs="Arial"/>
        </w:rPr>
        <w:t>calculation</w:t>
      </w:r>
      <w:r w:rsidR="002444E2">
        <w:rPr>
          <w:rFonts w:cs="Arial"/>
        </w:rPr>
        <w:t xml:space="preserve"> of </w:t>
      </w:r>
      <w:r w:rsidR="00444236">
        <w:rPr>
          <w:rFonts w:cs="Arial"/>
        </w:rPr>
        <w:t xml:space="preserve">payroll expense and personal property tax expense and the </w:t>
      </w:r>
      <w:r w:rsidR="00E718F2">
        <w:rPr>
          <w:rFonts w:cs="Arial"/>
        </w:rPr>
        <w:t>re</w:t>
      </w:r>
      <w:r w:rsidR="00444236">
        <w:rPr>
          <w:rFonts w:cs="Arial"/>
        </w:rPr>
        <w:t>classification of certain property</w:t>
      </w:r>
      <w:r w:rsidR="002444E2">
        <w:rPr>
          <w:rFonts w:cs="Arial"/>
        </w:rPr>
        <w:t xml:space="preserve">, </w:t>
      </w:r>
      <w:r w:rsidR="009A4287">
        <w:rPr>
          <w:rFonts w:cs="Arial"/>
        </w:rPr>
        <w:t xml:space="preserve">should </w:t>
      </w:r>
      <w:r w:rsidR="002444E2">
        <w:rPr>
          <w:rFonts w:cs="Arial"/>
        </w:rPr>
        <w:t xml:space="preserve">base distribution revenue </w:t>
      </w:r>
      <w:r w:rsidR="009A4287">
        <w:rPr>
          <w:rFonts w:cs="Arial"/>
        </w:rPr>
        <w:t>be increased</w:t>
      </w:r>
      <w:r w:rsidR="00A45A97">
        <w:rPr>
          <w:rFonts w:cs="Arial"/>
        </w:rPr>
        <w:t xml:space="preserve"> $</w:t>
      </w:r>
      <w:r w:rsidR="00860432">
        <w:rPr>
          <w:rFonts w:cs="Arial"/>
        </w:rPr>
        <w:t>390,878</w:t>
      </w:r>
      <w:r w:rsidR="00A45A97">
        <w:rPr>
          <w:rFonts w:cs="Arial"/>
        </w:rPr>
        <w:t xml:space="preserve"> </w:t>
      </w:r>
      <w:r w:rsidR="009A4287">
        <w:rPr>
          <w:rFonts w:cs="Arial"/>
        </w:rPr>
        <w:t>so</w:t>
      </w:r>
      <w:r w:rsidR="00A45A97">
        <w:rPr>
          <w:rFonts w:cs="Arial"/>
        </w:rPr>
        <w:t xml:space="preserve"> that the resulting rates are just and reasonable as required by R.C. 4909.15</w:t>
      </w:r>
      <w:r w:rsidR="00A43903">
        <w:rPr>
          <w:rFonts w:cs="Arial"/>
        </w:rPr>
        <w:t>?</w:t>
      </w:r>
    </w:p>
    <w:p w14:paraId="0F7BBE8B" w14:textId="6CC25EE0" w:rsidR="006F5B1A" w:rsidRDefault="001F331E" w:rsidP="00FA67AC">
      <w:pPr>
        <w:pStyle w:val="ListParagraph"/>
        <w:numPr>
          <w:ilvl w:val="0"/>
          <w:numId w:val="5"/>
        </w:numPr>
        <w:spacing w:line="480" w:lineRule="auto"/>
        <w:ind w:left="0" w:firstLine="720"/>
        <w:jc w:val="both"/>
        <w:rPr>
          <w:rFonts w:cs="Arial"/>
        </w:rPr>
      </w:pPr>
      <w:r>
        <w:rPr>
          <w:rFonts w:cs="Arial"/>
        </w:rPr>
        <w:t>B</w:t>
      </w:r>
      <w:r w:rsidR="00133730">
        <w:rPr>
          <w:rFonts w:cs="Arial"/>
        </w:rPr>
        <w:t xml:space="preserve">ased on the objection of Ohio Gas to the recommended rate of return range in the Staff Report, should the base distribution revenue increase be </w:t>
      </w:r>
      <w:r>
        <w:rPr>
          <w:rFonts w:cs="Arial"/>
        </w:rPr>
        <w:t>established based</w:t>
      </w:r>
      <w:r w:rsidR="00133730">
        <w:rPr>
          <w:rFonts w:cs="Arial"/>
        </w:rPr>
        <w:t xml:space="preserve"> on a rate of return on 9.25</w:t>
      </w:r>
      <w:r w:rsidR="00386ABC">
        <w:rPr>
          <w:rFonts w:cs="Arial"/>
        </w:rPr>
        <w:t>%</w:t>
      </w:r>
      <w:r w:rsidR="00133730">
        <w:rPr>
          <w:rFonts w:cs="Arial"/>
        </w:rPr>
        <w:t>?</w:t>
      </w:r>
      <w:r w:rsidR="00A43903">
        <w:rPr>
          <w:rFonts w:cs="Arial"/>
        </w:rPr>
        <w:t xml:space="preserve"> </w:t>
      </w:r>
    </w:p>
    <w:p w14:paraId="4C59DBAA" w14:textId="34BE8FF9" w:rsidR="002444E2" w:rsidRDefault="002444E2" w:rsidP="00FA67AC">
      <w:pPr>
        <w:pStyle w:val="ListParagraph"/>
        <w:numPr>
          <w:ilvl w:val="0"/>
          <w:numId w:val="5"/>
        </w:numPr>
        <w:spacing w:line="480" w:lineRule="auto"/>
        <w:ind w:left="0" w:firstLine="720"/>
        <w:jc w:val="both"/>
        <w:rPr>
          <w:rFonts w:cs="Arial"/>
        </w:rPr>
      </w:pPr>
      <w:r>
        <w:rPr>
          <w:rFonts w:cs="Arial"/>
        </w:rPr>
        <w:lastRenderedPageBreak/>
        <w:t xml:space="preserve">Is the recommendation of the Staff Report </w:t>
      </w:r>
      <w:r w:rsidR="002E6280">
        <w:rPr>
          <w:rFonts w:cs="Arial"/>
        </w:rPr>
        <w:t xml:space="preserve">that </w:t>
      </w:r>
      <w:r w:rsidR="00C324EF">
        <w:rPr>
          <w:rFonts w:cs="Arial"/>
        </w:rPr>
        <w:t xml:space="preserve">payroll expense </w:t>
      </w:r>
      <w:r w:rsidR="009A4287">
        <w:rPr>
          <w:rFonts w:cs="Arial"/>
        </w:rPr>
        <w:t>be reduced $312,320 just and reasonable as required by R.C. 4909.15</w:t>
      </w:r>
      <w:r>
        <w:rPr>
          <w:rFonts w:cs="Arial"/>
        </w:rPr>
        <w:t>?</w:t>
      </w:r>
      <w:r w:rsidR="00444236" w:rsidRPr="00444236">
        <w:rPr>
          <w:rFonts w:cs="Arial"/>
        </w:rPr>
        <w:t xml:space="preserve"> </w:t>
      </w:r>
      <w:r w:rsidR="00444236">
        <w:rPr>
          <w:rFonts w:cs="Arial"/>
        </w:rPr>
        <w:t xml:space="preserve"> If the Commission rejects the recommendation of the Staff</w:t>
      </w:r>
      <w:r w:rsidR="00CD0BC1">
        <w:rPr>
          <w:rFonts w:cs="Arial"/>
        </w:rPr>
        <w:t xml:space="preserve"> Report</w:t>
      </w:r>
      <w:r w:rsidR="00E15634">
        <w:rPr>
          <w:rFonts w:cs="Arial"/>
        </w:rPr>
        <w:t xml:space="preserve"> to reduce payroll expense $312,320</w:t>
      </w:r>
      <w:r w:rsidR="00444236">
        <w:rPr>
          <w:rFonts w:cs="Arial"/>
        </w:rPr>
        <w:t>, should related payroll tax expenses be increased $26,253?</w:t>
      </w:r>
    </w:p>
    <w:p w14:paraId="2B5B055C" w14:textId="55299612" w:rsidR="004E5D47" w:rsidRDefault="009A4287" w:rsidP="00FA67AC">
      <w:pPr>
        <w:pStyle w:val="ListParagraph"/>
        <w:numPr>
          <w:ilvl w:val="0"/>
          <w:numId w:val="5"/>
        </w:numPr>
        <w:spacing w:line="480" w:lineRule="auto"/>
        <w:ind w:left="0" w:firstLine="720"/>
        <w:jc w:val="both"/>
        <w:rPr>
          <w:rFonts w:cs="Arial"/>
        </w:rPr>
      </w:pPr>
      <w:r>
        <w:rPr>
          <w:rFonts w:cs="Arial"/>
        </w:rPr>
        <w:t xml:space="preserve">Is the recommendation of the Staff Report that personal property tax </w:t>
      </w:r>
      <w:r w:rsidR="00444236">
        <w:rPr>
          <w:rFonts w:cs="Arial"/>
        </w:rPr>
        <w:t>expense</w:t>
      </w:r>
      <w:r>
        <w:rPr>
          <w:rFonts w:cs="Arial"/>
        </w:rPr>
        <w:t xml:space="preserve"> be reduced $22,185 just and reasonable as required by R.C. 4909.15?</w:t>
      </w:r>
    </w:p>
    <w:p w14:paraId="5E8BF2AF" w14:textId="77777777" w:rsidR="00694E79" w:rsidRDefault="009A4287" w:rsidP="007F6BC4">
      <w:pPr>
        <w:pStyle w:val="ListParagraph"/>
        <w:numPr>
          <w:ilvl w:val="0"/>
          <w:numId w:val="5"/>
        </w:numPr>
        <w:spacing w:line="480" w:lineRule="auto"/>
        <w:ind w:left="0" w:firstLine="720"/>
        <w:jc w:val="both"/>
        <w:rPr>
          <w:rFonts w:cs="Arial"/>
        </w:rPr>
      </w:pPr>
      <w:r w:rsidRPr="00092966">
        <w:rPr>
          <w:rFonts w:cs="Arial"/>
        </w:rPr>
        <w:t>Should the Staff Report increase personal property tax expense by $</w:t>
      </w:r>
      <w:r w:rsidR="00444236" w:rsidRPr="00092966">
        <w:rPr>
          <w:rFonts w:cs="Arial"/>
        </w:rPr>
        <w:t xml:space="preserve">16,561 to account for the reclassification of </w:t>
      </w:r>
      <w:r w:rsidR="00E15634" w:rsidRPr="007F6686">
        <w:rPr>
          <w:rFonts w:cs="Arial"/>
        </w:rPr>
        <w:t xml:space="preserve">certain personal </w:t>
      </w:r>
      <w:r w:rsidR="00444236" w:rsidRPr="007F6686">
        <w:rPr>
          <w:rFonts w:cs="Arial"/>
        </w:rPr>
        <w:t>property?</w:t>
      </w:r>
    </w:p>
    <w:p w14:paraId="5C9A8221" w14:textId="77777777" w:rsidR="00BC427B" w:rsidRDefault="00BC427B" w:rsidP="00BC427B">
      <w:pPr>
        <w:keepNext/>
        <w:keepLines/>
        <w:tabs>
          <w:tab w:val="right" w:pos="8640"/>
        </w:tabs>
        <w:ind w:left="810"/>
        <w:rPr>
          <w:rFonts w:cs="Arial"/>
        </w:rPr>
      </w:pPr>
    </w:p>
    <w:p w14:paraId="04619078" w14:textId="2331C3B4" w:rsidR="000722D8" w:rsidRPr="007F6686" w:rsidRDefault="000E4F16" w:rsidP="000E4F16">
      <w:pPr>
        <w:keepNext/>
        <w:keepLines/>
        <w:tabs>
          <w:tab w:val="left" w:pos="4320"/>
          <w:tab w:val="right" w:pos="8640"/>
        </w:tabs>
        <w:ind w:left="810"/>
        <w:rPr>
          <w:rFonts w:cs="Arial"/>
        </w:rPr>
      </w:pPr>
      <w:r>
        <w:rPr>
          <w:rFonts w:cs="Arial"/>
        </w:rPr>
        <w:tab/>
      </w:r>
      <w:r w:rsidR="00BC427B">
        <w:rPr>
          <w:rFonts w:cs="Arial"/>
        </w:rPr>
        <w:t>R</w:t>
      </w:r>
      <w:r w:rsidR="000722D8" w:rsidRPr="007F6686">
        <w:rPr>
          <w:rFonts w:cs="Arial"/>
        </w:rPr>
        <w:t>espectfully submitted,</w:t>
      </w:r>
    </w:p>
    <w:p w14:paraId="2DEFF7E1" w14:textId="77777777" w:rsidR="000722D8" w:rsidRPr="003C3BE9" w:rsidRDefault="000722D8" w:rsidP="00B617A9">
      <w:pPr>
        <w:keepNext/>
        <w:keepLines/>
        <w:tabs>
          <w:tab w:val="right" w:pos="8640"/>
        </w:tabs>
        <w:ind w:left="4320"/>
        <w:rPr>
          <w:rFonts w:cs="Arial"/>
        </w:rPr>
      </w:pPr>
    </w:p>
    <w:p w14:paraId="6A0533A0" w14:textId="16E30CE8" w:rsidR="000722D8" w:rsidRPr="003C3BE9" w:rsidRDefault="000722D8" w:rsidP="00B617A9">
      <w:pPr>
        <w:keepNext/>
        <w:keepLines/>
        <w:tabs>
          <w:tab w:val="right" w:pos="8640"/>
        </w:tabs>
        <w:ind w:left="4320"/>
        <w:rPr>
          <w:rFonts w:cs="Arial"/>
          <w:i/>
        </w:rPr>
      </w:pPr>
      <w:r w:rsidRPr="003C3BE9">
        <w:rPr>
          <w:rFonts w:cs="Arial"/>
          <w:i/>
          <w:u w:val="single"/>
        </w:rPr>
        <w:t xml:space="preserve">/s/ </w:t>
      </w:r>
      <w:r w:rsidR="00DB37C1">
        <w:rPr>
          <w:rFonts w:cs="Arial"/>
          <w:i/>
          <w:u w:val="single"/>
        </w:rPr>
        <w:t>Matthew R. Pritchard</w:t>
      </w:r>
      <w:r w:rsidRPr="003C3BE9">
        <w:rPr>
          <w:rFonts w:cs="Arial"/>
          <w:i/>
          <w:u w:val="single"/>
        </w:rPr>
        <w:tab/>
      </w:r>
    </w:p>
    <w:p w14:paraId="649A6680"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Cs/>
        </w:rPr>
        <w:t>Frank P. Darr</w:t>
      </w:r>
      <w:r w:rsidRPr="003C3BE9">
        <w:rPr>
          <w:rFonts w:ascii="Arial" w:hAnsi="Arial" w:cs="Arial"/>
          <w:b w:val="0"/>
          <w:bCs/>
        </w:rPr>
        <w:t xml:space="preserve"> (Reg. No. 0025469)</w:t>
      </w:r>
    </w:p>
    <w:p w14:paraId="125B337D"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 w:val="0"/>
          <w:bCs/>
        </w:rPr>
        <w:t>(Counsel of Record)</w:t>
      </w:r>
    </w:p>
    <w:p w14:paraId="4FD306F8"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Cs/>
        </w:rPr>
        <w:t>Matthew R. Pritchard</w:t>
      </w:r>
      <w:r w:rsidRPr="003C3BE9">
        <w:rPr>
          <w:rFonts w:ascii="Arial" w:hAnsi="Arial" w:cs="Arial"/>
          <w:b w:val="0"/>
          <w:bCs/>
        </w:rPr>
        <w:t xml:space="preserve"> (Reg. No. 0088070)</w:t>
      </w:r>
    </w:p>
    <w:p w14:paraId="6DBF39A6" w14:textId="77777777" w:rsidR="000722D8" w:rsidRPr="003C3BE9" w:rsidRDefault="000722D8" w:rsidP="00B617A9">
      <w:pPr>
        <w:pStyle w:val="BodyText3"/>
        <w:keepNext/>
        <w:keepLines/>
        <w:widowControl w:val="0"/>
        <w:ind w:left="4320"/>
        <w:rPr>
          <w:rFonts w:ascii="Arial" w:hAnsi="Arial" w:cs="Arial"/>
          <w:b w:val="0"/>
          <w:bCs/>
          <w:smallCaps/>
          <w:szCs w:val="24"/>
        </w:rPr>
      </w:pPr>
      <w:r w:rsidRPr="003C3BE9">
        <w:rPr>
          <w:rFonts w:ascii="Arial" w:hAnsi="Arial" w:cs="Arial"/>
          <w:b w:val="0"/>
          <w:bCs/>
          <w:smallCaps/>
          <w:szCs w:val="24"/>
        </w:rPr>
        <w:t xml:space="preserve">McNees Wallace &amp; </w:t>
      </w:r>
      <w:proofErr w:type="spellStart"/>
      <w:r w:rsidRPr="003C3BE9">
        <w:rPr>
          <w:rFonts w:ascii="Arial" w:hAnsi="Arial" w:cs="Arial"/>
          <w:b w:val="0"/>
          <w:bCs/>
          <w:smallCaps/>
          <w:szCs w:val="24"/>
        </w:rPr>
        <w:t>Nurick</w:t>
      </w:r>
      <w:proofErr w:type="spellEnd"/>
      <w:r w:rsidRPr="003C3BE9">
        <w:rPr>
          <w:rFonts w:ascii="Arial" w:hAnsi="Arial" w:cs="Arial"/>
          <w:b w:val="0"/>
          <w:bCs/>
          <w:smallCaps/>
          <w:szCs w:val="24"/>
        </w:rPr>
        <w:t xml:space="preserve"> LLC</w:t>
      </w:r>
    </w:p>
    <w:p w14:paraId="5C13822D"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 w:val="0"/>
          <w:bCs/>
        </w:rPr>
        <w:t>21 East State Street, 17</w:t>
      </w:r>
      <w:r w:rsidRPr="003C3BE9">
        <w:rPr>
          <w:rFonts w:ascii="Arial" w:hAnsi="Arial" w:cs="Arial"/>
          <w:b w:val="0"/>
          <w:bCs/>
          <w:vertAlign w:val="superscript"/>
        </w:rPr>
        <w:t>TH</w:t>
      </w:r>
      <w:r w:rsidRPr="003C3BE9">
        <w:rPr>
          <w:rFonts w:ascii="Arial" w:hAnsi="Arial" w:cs="Arial"/>
          <w:b w:val="0"/>
          <w:bCs/>
        </w:rPr>
        <w:t xml:space="preserve"> Floor</w:t>
      </w:r>
    </w:p>
    <w:p w14:paraId="7375CF56" w14:textId="77777777" w:rsidR="000722D8" w:rsidRPr="003C3BE9" w:rsidRDefault="000722D8" w:rsidP="00B617A9">
      <w:pPr>
        <w:pStyle w:val="BodyText"/>
        <w:keepNext/>
        <w:keepLines/>
        <w:ind w:left="4320"/>
        <w:jc w:val="left"/>
      </w:pPr>
      <w:r w:rsidRPr="003C3BE9">
        <w:t>Columbus, OH  43215</w:t>
      </w:r>
    </w:p>
    <w:p w14:paraId="09A01207" w14:textId="77777777" w:rsidR="000722D8" w:rsidRPr="003C3BE9" w:rsidRDefault="000722D8" w:rsidP="00B617A9">
      <w:pPr>
        <w:pStyle w:val="BodyText"/>
        <w:keepNext/>
        <w:keepLines/>
        <w:ind w:left="4320"/>
        <w:jc w:val="left"/>
      </w:pPr>
      <w:r w:rsidRPr="003C3BE9">
        <w:t>fdarr@mwncmh.com</w:t>
      </w:r>
    </w:p>
    <w:p w14:paraId="5CE04CB7" w14:textId="77777777" w:rsidR="000722D8" w:rsidRPr="003C3BE9" w:rsidRDefault="000722D8" w:rsidP="000722D8">
      <w:pPr>
        <w:pStyle w:val="BodyText"/>
        <w:ind w:left="4320"/>
        <w:jc w:val="left"/>
      </w:pPr>
      <w:r w:rsidRPr="003C3BE9">
        <w:t>mpritchard@mwncmh.com</w:t>
      </w:r>
    </w:p>
    <w:p w14:paraId="23EBEED6" w14:textId="77777777" w:rsidR="000722D8" w:rsidRPr="003C3BE9" w:rsidRDefault="000722D8" w:rsidP="000722D8">
      <w:pPr>
        <w:tabs>
          <w:tab w:val="right" w:pos="8640"/>
        </w:tabs>
        <w:ind w:left="4320"/>
      </w:pPr>
    </w:p>
    <w:p w14:paraId="2F4EAA38" w14:textId="0E46F155" w:rsidR="00B617A9" w:rsidRDefault="000722D8" w:rsidP="00B617A9">
      <w:pPr>
        <w:ind w:left="4320"/>
        <w:rPr>
          <w:rFonts w:cs="Arial"/>
          <w:b/>
          <w:smallCaps/>
        </w:rPr>
      </w:pPr>
      <w:r w:rsidRPr="003C3BE9">
        <w:rPr>
          <w:rFonts w:cs="Arial"/>
          <w:b/>
          <w:smallCaps/>
        </w:rPr>
        <w:t xml:space="preserve">Counsel for </w:t>
      </w:r>
      <w:r w:rsidR="00444236">
        <w:rPr>
          <w:rFonts w:cs="Arial"/>
          <w:b/>
          <w:smallCaps/>
        </w:rPr>
        <w:t>Ohio Gas Company</w:t>
      </w:r>
    </w:p>
    <w:p w14:paraId="5674242B" w14:textId="77777777" w:rsidR="00B617A9" w:rsidRDefault="00B617A9" w:rsidP="00B617A9">
      <w:pPr>
        <w:ind w:left="4320"/>
        <w:rPr>
          <w:rFonts w:cs="Arial"/>
          <w:b/>
          <w:smallCaps/>
          <w:sz w:val="28"/>
          <w:szCs w:val="28"/>
          <w:u w:val="single"/>
        </w:rPr>
        <w:sectPr w:rsidR="00B617A9" w:rsidSect="004E672A">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titlePg/>
          <w:docGrid w:linePitch="326"/>
        </w:sectPr>
      </w:pPr>
    </w:p>
    <w:p w14:paraId="153CDD00" w14:textId="2E7A9263" w:rsidR="000722D8" w:rsidRPr="003C3BE9" w:rsidRDefault="000722D8" w:rsidP="000722D8">
      <w:pPr>
        <w:tabs>
          <w:tab w:val="left" w:pos="2160"/>
          <w:tab w:val="left" w:pos="2280"/>
        </w:tabs>
        <w:jc w:val="center"/>
        <w:rPr>
          <w:rFonts w:cs="Arial"/>
          <w:b/>
          <w:smallCaps/>
          <w:sz w:val="28"/>
          <w:szCs w:val="28"/>
          <w:u w:val="single"/>
        </w:rPr>
      </w:pPr>
      <w:r w:rsidRPr="003C3BE9">
        <w:rPr>
          <w:rFonts w:cs="Arial"/>
          <w:b/>
          <w:smallCaps/>
          <w:sz w:val="28"/>
          <w:szCs w:val="28"/>
          <w:u w:val="single"/>
        </w:rPr>
        <w:lastRenderedPageBreak/>
        <w:t>Certificate of Service</w:t>
      </w:r>
    </w:p>
    <w:p w14:paraId="5AF70910" w14:textId="77777777" w:rsidR="000722D8" w:rsidRPr="003C3BE9" w:rsidRDefault="000722D8" w:rsidP="000722D8">
      <w:pPr>
        <w:rPr>
          <w:rFonts w:cs="Arial"/>
        </w:rPr>
      </w:pPr>
    </w:p>
    <w:p w14:paraId="52239044" w14:textId="0F398D99" w:rsidR="000722D8" w:rsidRPr="003C3BE9" w:rsidRDefault="000722D8" w:rsidP="000722D8">
      <w:pPr>
        <w:pStyle w:val="BodyText"/>
        <w:spacing w:line="480" w:lineRule="auto"/>
        <w:ind w:firstLine="720"/>
      </w:pPr>
      <w:r w:rsidRPr="003C3BE9">
        <w:t>In accordance with Rule 4901-1-05, Ohi</w:t>
      </w:r>
      <w:r w:rsidR="002D0D4C">
        <w:t>o Administrative Code, the PUCO’</w:t>
      </w:r>
      <w:r w:rsidRPr="003C3BE9">
        <w:t>s e</w:t>
      </w:r>
      <w:r w:rsidRPr="003C3BE9">
        <w:noBreakHyphen/>
        <w:t xml:space="preserve">filing system will electronically serve notice of the filing of this document upon the following parties.  In addition, I hereby certify that a service copy of the foregoing </w:t>
      </w:r>
      <w:r w:rsidR="00265C12">
        <w:rPr>
          <w:i/>
        </w:rPr>
        <w:t xml:space="preserve">Objections to the Staff Report of Investigation and Summary of Major Issues of </w:t>
      </w:r>
      <w:r w:rsidR="00444236">
        <w:rPr>
          <w:i/>
        </w:rPr>
        <w:t>Ohio Gas Company</w:t>
      </w:r>
      <w:r w:rsidRPr="003C3BE9">
        <w:t xml:space="preserve"> was sent by, or on behalf of, the undersigned counsel for </w:t>
      </w:r>
      <w:r w:rsidR="00444236">
        <w:t>Ohio Gas Company</w:t>
      </w:r>
      <w:r w:rsidRPr="003C3BE9">
        <w:t xml:space="preserve">, to the following parties of record this </w:t>
      </w:r>
      <w:r w:rsidR="003338B3">
        <w:t>22</w:t>
      </w:r>
      <w:r w:rsidR="00595AAE">
        <w:t>n</w:t>
      </w:r>
      <w:r w:rsidR="003338B3">
        <w:t>d</w:t>
      </w:r>
      <w:r w:rsidRPr="003C3BE9">
        <w:t xml:space="preserve"> day of </w:t>
      </w:r>
      <w:r w:rsidR="003338B3">
        <w:t>December</w:t>
      </w:r>
      <w:r w:rsidR="00970DB0" w:rsidRPr="003C3BE9">
        <w:t xml:space="preserve"> </w:t>
      </w:r>
      <w:r w:rsidRPr="003C3BE9">
        <w:t xml:space="preserve">2017, </w:t>
      </w:r>
      <w:r w:rsidRPr="003C3BE9">
        <w:rPr>
          <w:i/>
        </w:rPr>
        <w:t>via</w:t>
      </w:r>
      <w:r w:rsidRPr="003C3BE9">
        <w:t xml:space="preserve"> electronic transmission.</w:t>
      </w:r>
    </w:p>
    <w:p w14:paraId="0CE21C0D" w14:textId="6C87B507" w:rsidR="000722D8" w:rsidRPr="003C3BE9" w:rsidRDefault="000722D8" w:rsidP="000722D8">
      <w:pPr>
        <w:tabs>
          <w:tab w:val="left" w:pos="-1440"/>
          <w:tab w:val="left" w:pos="-720"/>
          <w:tab w:val="left" w:pos="5040"/>
          <w:tab w:val="center" w:pos="7200"/>
          <w:tab w:val="right" w:pos="9360"/>
        </w:tabs>
        <w:ind w:firstLine="5040"/>
        <w:jc w:val="both"/>
        <w:rPr>
          <w:rFonts w:cs="Arial"/>
          <w:i/>
          <w:u w:val="single"/>
        </w:rPr>
      </w:pPr>
      <w:r w:rsidRPr="003C3BE9">
        <w:rPr>
          <w:rFonts w:cs="Arial"/>
          <w:i/>
          <w:u w:val="single"/>
        </w:rPr>
        <w:t xml:space="preserve">/s/ </w:t>
      </w:r>
      <w:r w:rsidR="00DB37C1">
        <w:rPr>
          <w:rFonts w:cs="Arial"/>
          <w:i/>
          <w:u w:val="single"/>
        </w:rPr>
        <w:t>Matthew R. Pritchard</w:t>
      </w:r>
      <w:r w:rsidR="00DB37C1">
        <w:rPr>
          <w:rFonts w:cs="Arial"/>
          <w:i/>
          <w:u w:val="single"/>
        </w:rPr>
        <w:tab/>
      </w:r>
    </w:p>
    <w:p w14:paraId="595ADA4A" w14:textId="6BA32322" w:rsidR="000722D8" w:rsidRPr="003C3BE9" w:rsidRDefault="000722D8" w:rsidP="000722D8">
      <w:pPr>
        <w:tabs>
          <w:tab w:val="left" w:pos="-1440"/>
          <w:tab w:val="left" w:pos="-720"/>
          <w:tab w:val="left" w:pos="5040"/>
          <w:tab w:val="center" w:pos="7200"/>
          <w:tab w:val="right" w:pos="9360"/>
        </w:tabs>
        <w:ind w:firstLine="5040"/>
        <w:jc w:val="both"/>
        <w:rPr>
          <w:rFonts w:cs="Arial"/>
        </w:rPr>
      </w:pPr>
      <w:r w:rsidRPr="003C3BE9">
        <w:rPr>
          <w:rFonts w:cs="Arial"/>
        </w:rPr>
        <w:tab/>
      </w:r>
      <w:r w:rsidR="00DB37C1">
        <w:rPr>
          <w:rFonts w:cs="Arial"/>
        </w:rPr>
        <w:t>Matthew R. Pritchard</w:t>
      </w:r>
    </w:p>
    <w:p w14:paraId="0D75323C" w14:textId="77777777" w:rsidR="000722D8" w:rsidRPr="003C3BE9" w:rsidRDefault="000722D8" w:rsidP="000722D8">
      <w:pPr>
        <w:pStyle w:val="BodyText2"/>
        <w:spacing w:after="0" w:line="240" w:lineRule="auto"/>
        <w:rPr>
          <w:rFonts w:cs="Arial"/>
          <w:bCs/>
        </w:rPr>
      </w:pPr>
    </w:p>
    <w:p w14:paraId="30A4E597" w14:textId="77777777" w:rsidR="009709F0" w:rsidRPr="003C3BE9" w:rsidRDefault="009709F0" w:rsidP="000722D8">
      <w:pPr>
        <w:pStyle w:val="BodyText2"/>
        <w:spacing w:after="0" w:line="240" w:lineRule="auto"/>
        <w:rPr>
          <w:rFonts w:cs="Arial"/>
          <w:bCs/>
          <w:sz w:val="20"/>
          <w:szCs w:val="20"/>
        </w:rPr>
      </w:pPr>
    </w:p>
    <w:p w14:paraId="39A88C37" w14:textId="77777777" w:rsidR="00B617A9" w:rsidRDefault="00B617A9" w:rsidP="00B617A9">
      <w:pPr>
        <w:rPr>
          <w:rFonts w:cs="Arial"/>
        </w:rPr>
        <w:sectPr w:rsidR="00B617A9" w:rsidSect="00B617A9">
          <w:footerReference w:type="default" r:id="rId18"/>
          <w:pgSz w:w="12240" w:h="15840"/>
          <w:pgMar w:top="1440" w:right="1440" w:bottom="1440" w:left="1440" w:header="720" w:footer="720" w:gutter="0"/>
          <w:cols w:space="720"/>
          <w:titlePg/>
          <w:docGrid w:linePitch="326"/>
        </w:sectPr>
      </w:pPr>
    </w:p>
    <w:p w14:paraId="1217EE81" w14:textId="77777777" w:rsidR="00B617A9" w:rsidRDefault="00B617A9" w:rsidP="00B617A9">
      <w:pPr>
        <w:tabs>
          <w:tab w:val="left" w:pos="2160"/>
          <w:tab w:val="left" w:pos="2280"/>
        </w:tabs>
        <w:rPr>
          <w:rFonts w:cs="Arial"/>
          <w:sz w:val="22"/>
          <w:szCs w:val="22"/>
        </w:rPr>
      </w:pPr>
      <w:r w:rsidRPr="0044725B">
        <w:rPr>
          <w:rFonts w:cs="Arial"/>
          <w:b/>
          <w:sz w:val="22"/>
          <w:szCs w:val="22"/>
        </w:rPr>
        <w:t>Kevin F. Moore</w:t>
      </w:r>
      <w:r>
        <w:rPr>
          <w:rFonts w:cs="Arial"/>
          <w:sz w:val="22"/>
          <w:szCs w:val="22"/>
        </w:rPr>
        <w:t xml:space="preserve"> (Reg. No. 0089228)</w:t>
      </w:r>
    </w:p>
    <w:p w14:paraId="3B257A25" w14:textId="526D8A4E" w:rsidR="00B617A9" w:rsidRDefault="00B617A9" w:rsidP="00B617A9">
      <w:pPr>
        <w:tabs>
          <w:tab w:val="left" w:pos="2160"/>
          <w:tab w:val="left" w:pos="2280"/>
        </w:tabs>
        <w:rPr>
          <w:rFonts w:cs="Arial"/>
          <w:sz w:val="22"/>
          <w:szCs w:val="22"/>
        </w:rPr>
      </w:pPr>
      <w:r>
        <w:rPr>
          <w:rFonts w:cs="Arial"/>
          <w:sz w:val="22"/>
          <w:szCs w:val="22"/>
        </w:rPr>
        <w:t>(Counsel of Record)</w:t>
      </w:r>
    </w:p>
    <w:p w14:paraId="27CBA885" w14:textId="77777777" w:rsidR="00B617A9" w:rsidRDefault="00B617A9" w:rsidP="00B617A9">
      <w:pPr>
        <w:tabs>
          <w:tab w:val="left" w:pos="2160"/>
          <w:tab w:val="left" w:pos="2280"/>
        </w:tabs>
        <w:rPr>
          <w:rFonts w:cs="Arial"/>
          <w:sz w:val="22"/>
          <w:szCs w:val="22"/>
        </w:rPr>
      </w:pPr>
      <w:r>
        <w:rPr>
          <w:rFonts w:cs="Arial"/>
          <w:sz w:val="22"/>
          <w:szCs w:val="22"/>
        </w:rPr>
        <w:t>Assistant Consumers’ Counsel</w:t>
      </w:r>
    </w:p>
    <w:p w14:paraId="4B0CD04E" w14:textId="77777777" w:rsidR="00B617A9" w:rsidRPr="0044725B" w:rsidRDefault="00B617A9" w:rsidP="00B617A9">
      <w:pPr>
        <w:tabs>
          <w:tab w:val="left" w:pos="2160"/>
          <w:tab w:val="left" w:pos="2280"/>
        </w:tabs>
        <w:rPr>
          <w:rFonts w:cs="Arial"/>
          <w:smallCaps/>
          <w:sz w:val="22"/>
          <w:szCs w:val="22"/>
        </w:rPr>
      </w:pPr>
      <w:r w:rsidRPr="0044725B">
        <w:rPr>
          <w:rFonts w:cs="Arial"/>
          <w:smallCaps/>
          <w:sz w:val="22"/>
          <w:szCs w:val="22"/>
        </w:rPr>
        <w:t>Office of the Ohio Consumers’ Counsel</w:t>
      </w:r>
    </w:p>
    <w:p w14:paraId="45A01FF2" w14:textId="77BEA4C4" w:rsidR="00B617A9" w:rsidRDefault="0018698A" w:rsidP="00B617A9">
      <w:pPr>
        <w:tabs>
          <w:tab w:val="left" w:pos="2160"/>
          <w:tab w:val="left" w:pos="2280"/>
        </w:tabs>
        <w:rPr>
          <w:rFonts w:cs="Arial"/>
          <w:sz w:val="22"/>
          <w:szCs w:val="22"/>
        </w:rPr>
      </w:pPr>
      <w:r>
        <w:rPr>
          <w:rFonts w:cs="Arial"/>
          <w:sz w:val="22"/>
          <w:szCs w:val="22"/>
        </w:rPr>
        <w:t>65 East State Street, 7</w:t>
      </w:r>
      <w:r w:rsidRPr="0044725B">
        <w:rPr>
          <w:rFonts w:cs="Arial"/>
          <w:sz w:val="22"/>
          <w:szCs w:val="22"/>
          <w:vertAlign w:val="superscript"/>
        </w:rPr>
        <w:t>th</w:t>
      </w:r>
      <w:r>
        <w:rPr>
          <w:rFonts w:cs="Arial"/>
          <w:sz w:val="22"/>
          <w:szCs w:val="22"/>
        </w:rPr>
        <w:t xml:space="preserve"> Floor</w:t>
      </w:r>
    </w:p>
    <w:p w14:paraId="2AF65810" w14:textId="7CFA0EEF" w:rsidR="00B617A9" w:rsidRDefault="00B617A9" w:rsidP="00B617A9">
      <w:pPr>
        <w:tabs>
          <w:tab w:val="left" w:pos="2160"/>
          <w:tab w:val="left" w:pos="2280"/>
        </w:tabs>
        <w:rPr>
          <w:rFonts w:cs="Arial"/>
          <w:sz w:val="22"/>
          <w:szCs w:val="22"/>
        </w:rPr>
      </w:pPr>
      <w:r>
        <w:rPr>
          <w:rFonts w:cs="Arial"/>
          <w:sz w:val="22"/>
          <w:szCs w:val="22"/>
        </w:rPr>
        <w:t>Columbus, OH  43215</w:t>
      </w:r>
      <w:r w:rsidR="00A00865">
        <w:rPr>
          <w:rFonts w:cs="Arial"/>
          <w:sz w:val="22"/>
          <w:szCs w:val="22"/>
        </w:rPr>
        <w:t>-4203</w:t>
      </w:r>
    </w:p>
    <w:p w14:paraId="479D2CC9" w14:textId="77777777" w:rsidR="00B617A9" w:rsidRDefault="00B617A9" w:rsidP="00B617A9">
      <w:pPr>
        <w:tabs>
          <w:tab w:val="left" w:pos="2160"/>
          <w:tab w:val="left" w:pos="2280"/>
        </w:tabs>
        <w:rPr>
          <w:rFonts w:cs="Arial"/>
          <w:sz w:val="22"/>
          <w:szCs w:val="22"/>
        </w:rPr>
      </w:pPr>
      <w:r>
        <w:rPr>
          <w:rFonts w:cs="Arial"/>
          <w:sz w:val="22"/>
          <w:szCs w:val="22"/>
        </w:rPr>
        <w:t>Kevin.moore@occ.ohio.gov</w:t>
      </w:r>
    </w:p>
    <w:p w14:paraId="73CC0617" w14:textId="77777777" w:rsidR="00B617A9" w:rsidRDefault="00B617A9" w:rsidP="00B617A9">
      <w:pPr>
        <w:tabs>
          <w:tab w:val="left" w:pos="2160"/>
          <w:tab w:val="left" w:pos="2280"/>
        </w:tabs>
        <w:rPr>
          <w:rFonts w:cs="Arial"/>
          <w:sz w:val="22"/>
          <w:szCs w:val="22"/>
        </w:rPr>
      </w:pPr>
    </w:p>
    <w:p w14:paraId="75128FD9" w14:textId="77777777" w:rsidR="00B617A9" w:rsidRDefault="00B617A9" w:rsidP="00B617A9">
      <w:pPr>
        <w:tabs>
          <w:tab w:val="left" w:pos="2160"/>
          <w:tab w:val="left" w:pos="2280"/>
        </w:tabs>
        <w:rPr>
          <w:rFonts w:ascii="Arial Bold" w:hAnsi="Arial Bold" w:cs="Arial"/>
          <w:b/>
          <w:smallCaps/>
          <w:sz w:val="22"/>
          <w:szCs w:val="22"/>
        </w:rPr>
      </w:pPr>
      <w:r>
        <w:rPr>
          <w:rFonts w:ascii="Arial Bold" w:hAnsi="Arial Bold" w:cs="Arial"/>
          <w:b/>
          <w:smallCaps/>
          <w:sz w:val="22"/>
          <w:szCs w:val="22"/>
        </w:rPr>
        <w:t>On Behalf of the Office of the Ohio Consumers’ Counsel</w:t>
      </w:r>
    </w:p>
    <w:p w14:paraId="64255C75" w14:textId="77777777" w:rsidR="00B617A9" w:rsidRDefault="00B617A9" w:rsidP="00B617A9">
      <w:pPr>
        <w:tabs>
          <w:tab w:val="left" w:pos="2160"/>
          <w:tab w:val="left" w:pos="2280"/>
        </w:tabs>
        <w:rPr>
          <w:rFonts w:cs="Arial"/>
          <w:sz w:val="22"/>
          <w:szCs w:val="22"/>
        </w:rPr>
      </w:pPr>
    </w:p>
    <w:p w14:paraId="0858F29D" w14:textId="77777777" w:rsidR="00B617A9" w:rsidRDefault="00B617A9" w:rsidP="00B617A9">
      <w:pPr>
        <w:tabs>
          <w:tab w:val="left" w:pos="2160"/>
          <w:tab w:val="left" w:pos="2280"/>
        </w:tabs>
        <w:rPr>
          <w:rFonts w:cs="Arial"/>
          <w:sz w:val="22"/>
          <w:szCs w:val="22"/>
        </w:rPr>
      </w:pPr>
      <w:r w:rsidRPr="0044725B">
        <w:rPr>
          <w:rFonts w:cs="Arial"/>
          <w:b/>
          <w:sz w:val="22"/>
          <w:szCs w:val="22"/>
        </w:rPr>
        <w:t>Steven Beeler</w:t>
      </w:r>
      <w:r>
        <w:rPr>
          <w:rFonts w:cs="Arial"/>
          <w:sz w:val="22"/>
          <w:szCs w:val="22"/>
        </w:rPr>
        <w:t xml:space="preserve"> (Reg. No. 0078076)</w:t>
      </w:r>
    </w:p>
    <w:p w14:paraId="5760190C" w14:textId="77777777" w:rsidR="00B617A9" w:rsidRDefault="00B617A9" w:rsidP="00B617A9">
      <w:pPr>
        <w:tabs>
          <w:tab w:val="left" w:pos="2160"/>
          <w:tab w:val="left" w:pos="2280"/>
        </w:tabs>
        <w:rPr>
          <w:rFonts w:cs="Arial"/>
          <w:sz w:val="22"/>
          <w:szCs w:val="22"/>
        </w:rPr>
      </w:pPr>
      <w:r w:rsidRPr="0044725B">
        <w:rPr>
          <w:rFonts w:cs="Arial"/>
          <w:b/>
          <w:sz w:val="22"/>
          <w:szCs w:val="22"/>
        </w:rPr>
        <w:t>Robert Eubanks</w:t>
      </w:r>
      <w:r>
        <w:rPr>
          <w:rFonts w:cs="Arial"/>
          <w:sz w:val="22"/>
          <w:szCs w:val="22"/>
        </w:rPr>
        <w:t xml:space="preserve"> (Reg. No. 0073386)</w:t>
      </w:r>
    </w:p>
    <w:p w14:paraId="1CADBB0D" w14:textId="77777777" w:rsidR="00B617A9" w:rsidRDefault="00B617A9" w:rsidP="00B617A9">
      <w:pPr>
        <w:tabs>
          <w:tab w:val="left" w:pos="2160"/>
          <w:tab w:val="left" w:pos="2280"/>
        </w:tabs>
        <w:rPr>
          <w:rFonts w:cs="Arial"/>
          <w:sz w:val="22"/>
          <w:szCs w:val="22"/>
        </w:rPr>
      </w:pPr>
      <w:r>
        <w:rPr>
          <w:rFonts w:cs="Arial"/>
          <w:sz w:val="22"/>
          <w:szCs w:val="22"/>
        </w:rPr>
        <w:t>Assistant Attorneys General</w:t>
      </w:r>
    </w:p>
    <w:p w14:paraId="4FEDA575" w14:textId="77777777" w:rsidR="00B617A9" w:rsidRPr="0044725B" w:rsidRDefault="00B617A9" w:rsidP="00B617A9">
      <w:pPr>
        <w:tabs>
          <w:tab w:val="left" w:pos="2160"/>
          <w:tab w:val="left" w:pos="2280"/>
        </w:tabs>
        <w:rPr>
          <w:rFonts w:cs="Arial"/>
          <w:smallCaps/>
          <w:sz w:val="22"/>
          <w:szCs w:val="22"/>
        </w:rPr>
      </w:pPr>
      <w:r w:rsidRPr="0044725B">
        <w:rPr>
          <w:rFonts w:cs="Arial"/>
          <w:smallCaps/>
          <w:sz w:val="22"/>
          <w:szCs w:val="22"/>
        </w:rPr>
        <w:t>Office of the Ohio Attorney General</w:t>
      </w:r>
    </w:p>
    <w:p w14:paraId="6AF15B22" w14:textId="77777777" w:rsidR="00B617A9" w:rsidRDefault="00B617A9" w:rsidP="00B617A9">
      <w:pPr>
        <w:tabs>
          <w:tab w:val="left" w:pos="2160"/>
          <w:tab w:val="left" w:pos="2280"/>
        </w:tabs>
        <w:rPr>
          <w:rFonts w:cs="Arial"/>
          <w:sz w:val="22"/>
          <w:szCs w:val="22"/>
        </w:rPr>
      </w:pPr>
      <w:r>
        <w:rPr>
          <w:rFonts w:cs="Arial"/>
          <w:sz w:val="22"/>
          <w:szCs w:val="22"/>
        </w:rPr>
        <w:t>30 East Broad Street, 16</w:t>
      </w:r>
      <w:r>
        <w:rPr>
          <w:rFonts w:cs="Arial"/>
          <w:sz w:val="22"/>
          <w:szCs w:val="22"/>
          <w:vertAlign w:val="superscript"/>
        </w:rPr>
        <w:t>th</w:t>
      </w:r>
      <w:r>
        <w:rPr>
          <w:rFonts w:cs="Arial"/>
          <w:sz w:val="22"/>
          <w:szCs w:val="22"/>
        </w:rPr>
        <w:t xml:space="preserve"> Floor</w:t>
      </w:r>
    </w:p>
    <w:p w14:paraId="48421B31" w14:textId="77777777" w:rsidR="00B617A9" w:rsidRDefault="00B617A9" w:rsidP="00B617A9">
      <w:pPr>
        <w:tabs>
          <w:tab w:val="left" w:pos="2160"/>
          <w:tab w:val="left" w:pos="2280"/>
        </w:tabs>
        <w:rPr>
          <w:rFonts w:cs="Arial"/>
          <w:sz w:val="22"/>
          <w:szCs w:val="22"/>
        </w:rPr>
      </w:pPr>
      <w:r>
        <w:rPr>
          <w:rFonts w:cs="Arial"/>
          <w:sz w:val="22"/>
          <w:szCs w:val="22"/>
        </w:rPr>
        <w:t>Columbus, OH  43215</w:t>
      </w:r>
    </w:p>
    <w:p w14:paraId="2B19F9BF" w14:textId="77777777" w:rsidR="00B617A9" w:rsidRDefault="00B617A9" w:rsidP="00B617A9">
      <w:pPr>
        <w:tabs>
          <w:tab w:val="left" w:pos="2160"/>
          <w:tab w:val="left" w:pos="2280"/>
        </w:tabs>
        <w:rPr>
          <w:rFonts w:cs="Arial"/>
          <w:sz w:val="22"/>
          <w:szCs w:val="22"/>
        </w:rPr>
      </w:pPr>
      <w:r>
        <w:rPr>
          <w:rFonts w:cs="Arial"/>
          <w:sz w:val="22"/>
          <w:szCs w:val="22"/>
        </w:rPr>
        <w:t>Steven.beeler@ohioattorneygeneral.gov</w:t>
      </w:r>
    </w:p>
    <w:p w14:paraId="1E8EF126" w14:textId="77777777" w:rsidR="00B617A9" w:rsidRDefault="00B617A9" w:rsidP="00B617A9">
      <w:pPr>
        <w:tabs>
          <w:tab w:val="left" w:pos="2160"/>
          <w:tab w:val="left" w:pos="2280"/>
        </w:tabs>
        <w:rPr>
          <w:rFonts w:cs="Arial"/>
          <w:sz w:val="22"/>
          <w:szCs w:val="22"/>
        </w:rPr>
      </w:pPr>
      <w:r>
        <w:rPr>
          <w:rFonts w:cs="Arial"/>
          <w:sz w:val="22"/>
          <w:szCs w:val="22"/>
        </w:rPr>
        <w:t>Robert.eubanks@ohioattorneygeneral.gov</w:t>
      </w:r>
    </w:p>
    <w:p w14:paraId="6CC613B2" w14:textId="77777777" w:rsidR="00B617A9" w:rsidRDefault="00B617A9" w:rsidP="00B617A9">
      <w:pPr>
        <w:tabs>
          <w:tab w:val="left" w:pos="2160"/>
          <w:tab w:val="left" w:pos="2280"/>
        </w:tabs>
        <w:rPr>
          <w:rFonts w:cs="Arial"/>
          <w:sz w:val="22"/>
          <w:szCs w:val="22"/>
        </w:rPr>
      </w:pPr>
    </w:p>
    <w:p w14:paraId="05EE8C27" w14:textId="77777777" w:rsidR="00B617A9" w:rsidRDefault="00B617A9" w:rsidP="00B617A9">
      <w:pPr>
        <w:tabs>
          <w:tab w:val="left" w:pos="2160"/>
          <w:tab w:val="left" w:pos="2280"/>
        </w:tabs>
        <w:rPr>
          <w:rFonts w:ascii="Arial Bold" w:hAnsi="Arial Bold" w:cs="Arial"/>
          <w:b/>
          <w:smallCaps/>
          <w:sz w:val="22"/>
          <w:szCs w:val="22"/>
        </w:rPr>
      </w:pPr>
      <w:r>
        <w:rPr>
          <w:rFonts w:ascii="Arial Bold" w:hAnsi="Arial Bold" w:cs="Arial"/>
          <w:b/>
          <w:smallCaps/>
          <w:sz w:val="22"/>
          <w:szCs w:val="22"/>
        </w:rPr>
        <w:t>On Behalf of the Staff of the Public Utilities Commission of Ohio</w:t>
      </w:r>
    </w:p>
    <w:p w14:paraId="2B836AA4" w14:textId="77777777" w:rsidR="00B617A9" w:rsidRPr="0044725B" w:rsidRDefault="00B617A9" w:rsidP="00B617A9">
      <w:pPr>
        <w:tabs>
          <w:tab w:val="left" w:pos="2160"/>
          <w:tab w:val="left" w:pos="2280"/>
        </w:tabs>
        <w:rPr>
          <w:rFonts w:cs="Arial"/>
          <w:b/>
          <w:sz w:val="22"/>
          <w:szCs w:val="22"/>
        </w:rPr>
      </w:pPr>
      <w:r>
        <w:rPr>
          <w:rFonts w:cs="Arial"/>
          <w:sz w:val="22"/>
          <w:szCs w:val="22"/>
        </w:rPr>
        <w:br w:type="column"/>
      </w:r>
      <w:r w:rsidRPr="0044725B">
        <w:rPr>
          <w:rFonts w:cs="Arial"/>
          <w:b/>
          <w:sz w:val="22"/>
          <w:szCs w:val="22"/>
        </w:rPr>
        <w:t>Sarah Parrot</w:t>
      </w:r>
    </w:p>
    <w:p w14:paraId="6B9EF170" w14:textId="77777777" w:rsidR="00B617A9" w:rsidRPr="0044725B" w:rsidRDefault="00B617A9" w:rsidP="00B617A9">
      <w:pPr>
        <w:tabs>
          <w:tab w:val="left" w:pos="2160"/>
          <w:tab w:val="left" w:pos="2280"/>
        </w:tabs>
        <w:rPr>
          <w:rFonts w:cs="Arial"/>
          <w:b/>
          <w:sz w:val="22"/>
          <w:szCs w:val="22"/>
        </w:rPr>
      </w:pPr>
      <w:r w:rsidRPr="0044725B">
        <w:rPr>
          <w:rFonts w:cs="Arial"/>
          <w:b/>
          <w:sz w:val="22"/>
          <w:szCs w:val="22"/>
        </w:rPr>
        <w:t xml:space="preserve">Patricia </w:t>
      </w:r>
      <w:proofErr w:type="spellStart"/>
      <w:r w:rsidRPr="0044725B">
        <w:rPr>
          <w:rFonts w:cs="Arial"/>
          <w:b/>
          <w:sz w:val="22"/>
          <w:szCs w:val="22"/>
        </w:rPr>
        <w:t>Schabo</w:t>
      </w:r>
      <w:proofErr w:type="spellEnd"/>
    </w:p>
    <w:p w14:paraId="4BA14A0D" w14:textId="77777777" w:rsidR="00B617A9" w:rsidRDefault="00B617A9" w:rsidP="00B617A9">
      <w:pPr>
        <w:tabs>
          <w:tab w:val="left" w:pos="2160"/>
          <w:tab w:val="left" w:pos="2280"/>
        </w:tabs>
        <w:rPr>
          <w:rFonts w:cs="Arial"/>
          <w:sz w:val="22"/>
          <w:szCs w:val="22"/>
        </w:rPr>
      </w:pPr>
      <w:r>
        <w:rPr>
          <w:rFonts w:cs="Arial"/>
          <w:sz w:val="22"/>
          <w:szCs w:val="22"/>
        </w:rPr>
        <w:t>Legal Department</w:t>
      </w:r>
    </w:p>
    <w:p w14:paraId="05A2B203" w14:textId="77777777" w:rsidR="00B617A9" w:rsidRPr="0044725B" w:rsidRDefault="00B617A9" w:rsidP="00B617A9">
      <w:pPr>
        <w:tabs>
          <w:tab w:val="left" w:pos="2160"/>
          <w:tab w:val="left" w:pos="2280"/>
        </w:tabs>
        <w:rPr>
          <w:rFonts w:cs="Arial"/>
          <w:smallCaps/>
          <w:sz w:val="22"/>
          <w:szCs w:val="22"/>
        </w:rPr>
      </w:pPr>
      <w:r w:rsidRPr="0044725B">
        <w:rPr>
          <w:rFonts w:cs="Arial"/>
          <w:smallCaps/>
          <w:sz w:val="22"/>
          <w:szCs w:val="22"/>
        </w:rPr>
        <w:t>Public Utilities Commission of Ohio</w:t>
      </w:r>
    </w:p>
    <w:p w14:paraId="4D93D609" w14:textId="77777777" w:rsidR="00B617A9" w:rsidRDefault="00B617A9" w:rsidP="00B617A9">
      <w:pPr>
        <w:tabs>
          <w:tab w:val="left" w:pos="2160"/>
          <w:tab w:val="left" w:pos="2280"/>
        </w:tabs>
        <w:rPr>
          <w:rFonts w:cs="Arial"/>
          <w:sz w:val="22"/>
          <w:szCs w:val="22"/>
        </w:rPr>
      </w:pPr>
      <w:r>
        <w:rPr>
          <w:rFonts w:cs="Arial"/>
          <w:sz w:val="22"/>
          <w:szCs w:val="22"/>
        </w:rPr>
        <w:t>180 East Broad Street, 12</w:t>
      </w:r>
      <w:r>
        <w:rPr>
          <w:rFonts w:cs="Arial"/>
          <w:sz w:val="22"/>
          <w:szCs w:val="22"/>
          <w:vertAlign w:val="superscript"/>
        </w:rPr>
        <w:t>th</w:t>
      </w:r>
      <w:r>
        <w:rPr>
          <w:rFonts w:cs="Arial"/>
          <w:sz w:val="22"/>
          <w:szCs w:val="22"/>
        </w:rPr>
        <w:t xml:space="preserve"> Floor</w:t>
      </w:r>
    </w:p>
    <w:p w14:paraId="3B86F2E8" w14:textId="77777777" w:rsidR="00B617A9" w:rsidRDefault="00B617A9" w:rsidP="00B617A9">
      <w:pPr>
        <w:tabs>
          <w:tab w:val="left" w:pos="2160"/>
          <w:tab w:val="left" w:pos="2280"/>
        </w:tabs>
        <w:rPr>
          <w:rFonts w:cs="Arial"/>
          <w:sz w:val="22"/>
          <w:szCs w:val="22"/>
        </w:rPr>
      </w:pPr>
      <w:r>
        <w:rPr>
          <w:rFonts w:cs="Arial"/>
          <w:sz w:val="22"/>
          <w:szCs w:val="22"/>
        </w:rPr>
        <w:t>Columbus, OH  43215</w:t>
      </w:r>
    </w:p>
    <w:p w14:paraId="43218DBD" w14:textId="77777777" w:rsidR="00B617A9" w:rsidRDefault="00B617A9" w:rsidP="00B617A9">
      <w:pPr>
        <w:tabs>
          <w:tab w:val="left" w:pos="2160"/>
          <w:tab w:val="left" w:pos="2280"/>
        </w:tabs>
        <w:rPr>
          <w:rFonts w:cs="Arial"/>
          <w:sz w:val="22"/>
          <w:szCs w:val="22"/>
        </w:rPr>
      </w:pPr>
      <w:r>
        <w:rPr>
          <w:rFonts w:cs="Arial"/>
          <w:sz w:val="22"/>
          <w:szCs w:val="22"/>
        </w:rPr>
        <w:t>sarah.parrot@puc.state.oh.us</w:t>
      </w:r>
    </w:p>
    <w:p w14:paraId="7947753B" w14:textId="3F75D3C6" w:rsidR="00B617A9" w:rsidRDefault="00B617A9" w:rsidP="00B617A9">
      <w:pPr>
        <w:rPr>
          <w:rFonts w:cs="Arial"/>
          <w:color w:val="000000"/>
          <w:sz w:val="22"/>
          <w:szCs w:val="22"/>
        </w:rPr>
      </w:pPr>
      <w:r>
        <w:rPr>
          <w:rFonts w:cs="Arial"/>
          <w:color w:val="000000"/>
          <w:sz w:val="22"/>
          <w:szCs w:val="22"/>
        </w:rPr>
        <w:t>Patricia.schabo@puc.state.oh.us</w:t>
      </w:r>
    </w:p>
    <w:p w14:paraId="45695603" w14:textId="77777777" w:rsidR="00B617A9" w:rsidRDefault="00B617A9" w:rsidP="00B617A9">
      <w:pPr>
        <w:tabs>
          <w:tab w:val="left" w:pos="2160"/>
          <w:tab w:val="left" w:pos="2280"/>
        </w:tabs>
        <w:rPr>
          <w:rFonts w:ascii="Arial Bold" w:hAnsi="Arial Bold" w:cs="Arial"/>
          <w:b/>
          <w:smallCaps/>
          <w:sz w:val="22"/>
          <w:szCs w:val="22"/>
        </w:rPr>
      </w:pPr>
    </w:p>
    <w:p w14:paraId="75159B69" w14:textId="77777777" w:rsidR="00B617A9" w:rsidRDefault="00B617A9" w:rsidP="00B617A9">
      <w:pPr>
        <w:tabs>
          <w:tab w:val="left" w:pos="2160"/>
          <w:tab w:val="left" w:pos="2280"/>
        </w:tabs>
        <w:rPr>
          <w:rFonts w:ascii="Arial Bold" w:hAnsi="Arial Bold" w:cs="Arial"/>
          <w:b/>
          <w:smallCaps/>
          <w:sz w:val="22"/>
          <w:szCs w:val="22"/>
        </w:rPr>
      </w:pPr>
      <w:r>
        <w:rPr>
          <w:rFonts w:ascii="Arial Bold" w:hAnsi="Arial Bold" w:cs="Arial"/>
          <w:b/>
          <w:smallCaps/>
          <w:sz w:val="22"/>
          <w:szCs w:val="22"/>
        </w:rPr>
        <w:t>Attorney Examiners</w:t>
      </w:r>
    </w:p>
    <w:p w14:paraId="20B7EDF0" w14:textId="77777777" w:rsidR="000D6E1D" w:rsidRPr="003C3BE9" w:rsidRDefault="000D6E1D" w:rsidP="00711C8F">
      <w:pPr>
        <w:pStyle w:val="BodyText2"/>
        <w:spacing w:after="0" w:line="240" w:lineRule="auto"/>
        <w:rPr>
          <w:rFonts w:cs="Arial"/>
          <w:b/>
          <w:bCs/>
          <w:caps/>
          <w:sz w:val="20"/>
          <w:szCs w:val="20"/>
        </w:rPr>
      </w:pPr>
    </w:p>
    <w:sectPr w:rsidR="000D6E1D" w:rsidRPr="003C3BE9" w:rsidSect="002933C0">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A2F5" w14:textId="77777777" w:rsidR="00352388" w:rsidRDefault="00352388" w:rsidP="000D6E1D">
      <w:r>
        <w:separator/>
      </w:r>
    </w:p>
  </w:endnote>
  <w:endnote w:type="continuationSeparator" w:id="0">
    <w:p w14:paraId="33CFEC14" w14:textId="77777777" w:rsidR="00352388" w:rsidRDefault="00352388"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9AEC" w14:textId="77777777" w:rsidR="00570E3D" w:rsidRDefault="00570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EB3C" w14:textId="3C910E7F" w:rsidR="00352388" w:rsidRPr="00660247" w:rsidRDefault="007F6BC4" w:rsidP="00660247">
    <w:pPr>
      <w:pStyle w:val="Footer"/>
      <w:rPr>
        <w:rFonts w:ascii="Arial" w:hAnsi="Arial" w:cs="Arial"/>
      </w:rPr>
    </w:pPr>
    <w:r w:rsidRPr="007F6BC4">
      <w:rPr>
        <w:rFonts w:ascii="Arial" w:hAnsi="Arial" w:cs="Arial"/>
        <w:noProof/>
        <w:sz w:val="16"/>
      </w:rPr>
      <w:t>C0107179:2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1193" w14:textId="77777777" w:rsidR="00570E3D" w:rsidRDefault="00570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9F74" w14:textId="5BAA3E19" w:rsidR="00352388" w:rsidRPr="00660247" w:rsidRDefault="007F6BC4" w:rsidP="00660247">
    <w:pPr>
      <w:pStyle w:val="Footer"/>
      <w:tabs>
        <w:tab w:val="clear" w:pos="4320"/>
        <w:tab w:val="center" w:pos="4680"/>
      </w:tabs>
      <w:rPr>
        <w:rFonts w:ascii="Arial" w:hAnsi="Arial" w:cs="Arial"/>
      </w:rPr>
    </w:pPr>
    <w:r w:rsidRPr="007F6BC4">
      <w:rPr>
        <w:rFonts w:ascii="Arial" w:hAnsi="Arial" w:cs="Arial"/>
        <w:noProof/>
        <w:sz w:val="16"/>
      </w:rPr>
      <w:t>C0107179:2</w:t>
    </w:r>
    <w:r w:rsidR="00352388" w:rsidRPr="00660247">
      <w:rPr>
        <w:rFonts w:ascii="Arial" w:hAnsi="Arial" w:cs="Arial"/>
        <w:noProof/>
        <w:sz w:val="16"/>
      </w:rPr>
      <w:tab/>
    </w:r>
    <w:r w:rsidR="00352388" w:rsidRPr="00660247">
      <w:rPr>
        <w:rFonts w:ascii="Arial" w:hAnsi="Arial" w:cs="Arial"/>
        <w:noProof/>
        <w:sz w:val="22"/>
        <w:szCs w:val="22"/>
      </w:rPr>
      <w:fldChar w:fldCharType="begin"/>
    </w:r>
    <w:r w:rsidR="00352388" w:rsidRPr="00660247">
      <w:rPr>
        <w:rFonts w:ascii="Arial" w:hAnsi="Arial" w:cs="Arial"/>
        <w:noProof/>
        <w:sz w:val="22"/>
        <w:szCs w:val="22"/>
      </w:rPr>
      <w:instrText xml:space="preserve"> PAGE   \* MERGEFORMAT </w:instrText>
    </w:r>
    <w:r w:rsidR="00352388" w:rsidRPr="00660247">
      <w:rPr>
        <w:rFonts w:ascii="Arial" w:hAnsi="Arial" w:cs="Arial"/>
        <w:noProof/>
        <w:sz w:val="22"/>
        <w:szCs w:val="22"/>
      </w:rPr>
      <w:fldChar w:fldCharType="separate"/>
    </w:r>
    <w:r w:rsidR="00570E3D">
      <w:rPr>
        <w:rFonts w:ascii="Arial" w:hAnsi="Arial" w:cs="Arial"/>
        <w:noProof/>
        <w:sz w:val="22"/>
        <w:szCs w:val="22"/>
      </w:rPr>
      <w:t>4</w:t>
    </w:r>
    <w:r w:rsidR="00352388" w:rsidRPr="00660247">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AFD4" w14:textId="29D34D7E" w:rsidR="00352388" w:rsidRPr="00660247" w:rsidRDefault="007F6BC4" w:rsidP="00B67DC8">
    <w:pPr>
      <w:pStyle w:val="Footer"/>
      <w:tabs>
        <w:tab w:val="clear" w:pos="4320"/>
        <w:tab w:val="center" w:pos="4680"/>
      </w:tabs>
      <w:rPr>
        <w:rFonts w:ascii="Arial" w:hAnsi="Arial" w:cs="Arial"/>
      </w:rPr>
    </w:pPr>
    <w:r w:rsidRPr="007F6BC4">
      <w:rPr>
        <w:rFonts w:ascii="Arial" w:hAnsi="Arial" w:cs="Arial"/>
        <w:noProof/>
        <w:sz w:val="16"/>
      </w:rPr>
      <w:t>C0107179:2</w:t>
    </w:r>
    <w:r w:rsidR="00352388">
      <w:rPr>
        <w:rFonts w:ascii="Arial" w:hAnsi="Arial" w:cs="Arial"/>
        <w:noProof/>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A94E" w14:textId="0FF842D3" w:rsidR="00352388" w:rsidRPr="00660247" w:rsidRDefault="007F6BC4" w:rsidP="00660247">
    <w:pPr>
      <w:pStyle w:val="Footer"/>
      <w:tabs>
        <w:tab w:val="clear" w:pos="4320"/>
        <w:tab w:val="center" w:pos="4680"/>
      </w:tabs>
      <w:rPr>
        <w:rFonts w:ascii="Arial" w:hAnsi="Arial" w:cs="Arial"/>
      </w:rPr>
    </w:pPr>
    <w:r w:rsidRPr="007F6BC4">
      <w:rPr>
        <w:rFonts w:ascii="Arial" w:hAnsi="Arial" w:cs="Arial"/>
        <w:noProof/>
        <w:sz w:val="16"/>
      </w:rPr>
      <w:t>C0107179:2</w:t>
    </w:r>
    <w:r w:rsidR="00352388" w:rsidRPr="00660247">
      <w:rPr>
        <w:rFonts w:ascii="Arial" w:hAnsi="Arial" w:cs="Arial"/>
        <w:noProof/>
        <w:sz w:val="16"/>
      </w:rPr>
      <w:tab/>
    </w:r>
    <w:r w:rsidR="00352388" w:rsidRPr="00660247">
      <w:rPr>
        <w:rFonts w:ascii="Arial" w:hAnsi="Arial" w:cs="Arial"/>
        <w:noProof/>
        <w:sz w:val="22"/>
        <w:szCs w:val="22"/>
      </w:rPr>
      <w:fldChar w:fldCharType="begin"/>
    </w:r>
    <w:r w:rsidR="00352388" w:rsidRPr="00660247">
      <w:rPr>
        <w:rFonts w:ascii="Arial" w:hAnsi="Arial" w:cs="Arial"/>
        <w:noProof/>
        <w:sz w:val="22"/>
        <w:szCs w:val="22"/>
      </w:rPr>
      <w:instrText xml:space="preserve"> PAGE   \* MERGEFORMAT </w:instrText>
    </w:r>
    <w:r w:rsidR="00352388" w:rsidRPr="00660247">
      <w:rPr>
        <w:rFonts w:ascii="Arial" w:hAnsi="Arial" w:cs="Arial"/>
        <w:noProof/>
        <w:sz w:val="22"/>
        <w:szCs w:val="22"/>
      </w:rPr>
      <w:fldChar w:fldCharType="separate"/>
    </w:r>
    <w:r w:rsidR="00570E3D">
      <w:rPr>
        <w:rFonts w:ascii="Arial" w:hAnsi="Arial" w:cs="Arial"/>
        <w:noProof/>
        <w:sz w:val="22"/>
        <w:szCs w:val="22"/>
      </w:rPr>
      <w:t>8</w:t>
    </w:r>
    <w:r w:rsidR="00352388" w:rsidRPr="00660247">
      <w:rPr>
        <w:rFonts w:ascii="Arial" w:hAnsi="Arial" w:cs="Arial"/>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31F9" w14:textId="75259C02" w:rsidR="00352388" w:rsidRPr="00660247" w:rsidRDefault="007F6BC4" w:rsidP="00660247">
    <w:pPr>
      <w:pStyle w:val="Footer"/>
      <w:rPr>
        <w:rFonts w:ascii="Arial" w:hAnsi="Arial" w:cs="Arial"/>
      </w:rPr>
    </w:pPr>
    <w:r w:rsidRPr="007F6BC4">
      <w:rPr>
        <w:rFonts w:ascii="Arial" w:hAnsi="Arial" w:cs="Arial"/>
        <w:noProof/>
        <w:sz w:val="16"/>
      </w:rPr>
      <w:t>C0107179:2</w:t>
    </w:r>
    <w:r w:rsidR="00352388" w:rsidRPr="00660247">
      <w:rPr>
        <w:rFonts w:ascii="Arial" w:hAnsi="Arial" w:cs="Arial"/>
        <w:noProof/>
        <w:sz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6F1" w14:textId="41FF0B98" w:rsidR="00352388" w:rsidRPr="00660247" w:rsidRDefault="007F6BC4" w:rsidP="00660247">
    <w:pPr>
      <w:pStyle w:val="Footer"/>
      <w:rPr>
        <w:rFonts w:ascii="Arial" w:hAnsi="Arial" w:cs="Arial"/>
      </w:rPr>
    </w:pPr>
    <w:r w:rsidRPr="007F6BC4">
      <w:rPr>
        <w:rFonts w:ascii="Arial" w:hAnsi="Arial" w:cs="Arial"/>
        <w:noProof/>
        <w:sz w:val="16"/>
      </w:rPr>
      <w:t>C0107179:2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CE6E" w14:textId="77777777" w:rsidR="00352388" w:rsidRDefault="00352388" w:rsidP="000D6E1D">
      <w:pPr>
        <w:rPr>
          <w:noProof/>
        </w:rPr>
      </w:pPr>
      <w:r>
        <w:rPr>
          <w:noProof/>
        </w:rPr>
        <w:separator/>
      </w:r>
    </w:p>
  </w:footnote>
  <w:footnote w:type="continuationSeparator" w:id="0">
    <w:p w14:paraId="0E92E39A" w14:textId="77777777" w:rsidR="00352388" w:rsidRDefault="00352388" w:rsidP="000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B7B6" w14:textId="77777777" w:rsidR="00570E3D" w:rsidRDefault="00570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C327" w14:textId="77777777" w:rsidR="00570E3D" w:rsidRDefault="00570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881B" w14:textId="77777777" w:rsidR="00570E3D" w:rsidRDefault="00570E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1C3C" w14:textId="77777777" w:rsidR="00352388" w:rsidRDefault="003523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76C8" w14:textId="77777777" w:rsidR="00352388" w:rsidRDefault="003523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CA8B" w14:textId="77777777" w:rsidR="00352388" w:rsidRDefault="00352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18CD" w14:textId="77777777" w:rsidR="00352388" w:rsidRDefault="0035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D33F9"/>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327C7"/>
    <w:multiLevelType w:val="hybridMultilevel"/>
    <w:tmpl w:val="8BEA046E"/>
    <w:lvl w:ilvl="0" w:tplc="067E4D50">
      <w:start w:val="1"/>
      <w:numFmt w:val="decimal"/>
      <w:lvlText w:val="%1."/>
      <w:lvlJc w:val="left"/>
      <w:pPr>
        <w:tabs>
          <w:tab w:val="num" w:pos="2520"/>
        </w:tabs>
        <w:ind w:left="25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F5F44"/>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BF2DE7"/>
    <w:multiLevelType w:val="hybridMultilevel"/>
    <w:tmpl w:val="023ABCC6"/>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86EEA"/>
    <w:multiLevelType w:val="hybridMultilevel"/>
    <w:tmpl w:val="395C0E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67E4D50">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68E90137"/>
    <w:multiLevelType w:val="hybridMultilevel"/>
    <w:tmpl w:val="717C22D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17D9"/>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C"/>
    <w:rsid w:val="0003248C"/>
    <w:rsid w:val="000447DA"/>
    <w:rsid w:val="00047F74"/>
    <w:rsid w:val="00050D53"/>
    <w:rsid w:val="000722D8"/>
    <w:rsid w:val="000732BD"/>
    <w:rsid w:val="000732D0"/>
    <w:rsid w:val="00092966"/>
    <w:rsid w:val="0009372E"/>
    <w:rsid w:val="00096C98"/>
    <w:rsid w:val="000A333C"/>
    <w:rsid w:val="000A4B61"/>
    <w:rsid w:val="000A75AF"/>
    <w:rsid w:val="000B0D4A"/>
    <w:rsid w:val="000C297B"/>
    <w:rsid w:val="000D2257"/>
    <w:rsid w:val="000D2AC3"/>
    <w:rsid w:val="000D6E1D"/>
    <w:rsid w:val="000E3F9C"/>
    <w:rsid w:val="000E4F16"/>
    <w:rsid w:val="000F0195"/>
    <w:rsid w:val="00101531"/>
    <w:rsid w:val="001122CF"/>
    <w:rsid w:val="00133730"/>
    <w:rsid w:val="00155D31"/>
    <w:rsid w:val="00181094"/>
    <w:rsid w:val="0018698A"/>
    <w:rsid w:val="00196AAC"/>
    <w:rsid w:val="001A01EB"/>
    <w:rsid w:val="001A5BB0"/>
    <w:rsid w:val="001C1CD0"/>
    <w:rsid w:val="001C3DFC"/>
    <w:rsid w:val="001C6846"/>
    <w:rsid w:val="001D1417"/>
    <w:rsid w:val="001E58AB"/>
    <w:rsid w:val="001F0832"/>
    <w:rsid w:val="001F331E"/>
    <w:rsid w:val="001F4A28"/>
    <w:rsid w:val="001F7EEC"/>
    <w:rsid w:val="00204DD4"/>
    <w:rsid w:val="00205FDC"/>
    <w:rsid w:val="00212345"/>
    <w:rsid w:val="00224618"/>
    <w:rsid w:val="0022702F"/>
    <w:rsid w:val="00241898"/>
    <w:rsid w:val="00243EA0"/>
    <w:rsid w:val="002444E2"/>
    <w:rsid w:val="00260C43"/>
    <w:rsid w:val="00265C12"/>
    <w:rsid w:val="00267467"/>
    <w:rsid w:val="002933C0"/>
    <w:rsid w:val="002B7035"/>
    <w:rsid w:val="002C4958"/>
    <w:rsid w:val="002C6265"/>
    <w:rsid w:val="002C7254"/>
    <w:rsid w:val="002D0D4C"/>
    <w:rsid w:val="002D3723"/>
    <w:rsid w:val="002D5953"/>
    <w:rsid w:val="002E16AF"/>
    <w:rsid w:val="002E6280"/>
    <w:rsid w:val="0030601B"/>
    <w:rsid w:val="0032382B"/>
    <w:rsid w:val="00331C14"/>
    <w:rsid w:val="003338B3"/>
    <w:rsid w:val="00335DD3"/>
    <w:rsid w:val="00337A22"/>
    <w:rsid w:val="00352388"/>
    <w:rsid w:val="00353BA5"/>
    <w:rsid w:val="0035691F"/>
    <w:rsid w:val="003605C5"/>
    <w:rsid w:val="00377870"/>
    <w:rsid w:val="003778F1"/>
    <w:rsid w:val="003868DD"/>
    <w:rsid w:val="00386ABC"/>
    <w:rsid w:val="003A36F1"/>
    <w:rsid w:val="003A3FC1"/>
    <w:rsid w:val="003C3B06"/>
    <w:rsid w:val="003C3BE9"/>
    <w:rsid w:val="003C5705"/>
    <w:rsid w:val="003C7ACF"/>
    <w:rsid w:val="003D3CF8"/>
    <w:rsid w:val="003D40E8"/>
    <w:rsid w:val="003D6C2E"/>
    <w:rsid w:val="003E053E"/>
    <w:rsid w:val="00401EC0"/>
    <w:rsid w:val="00406B79"/>
    <w:rsid w:val="00426568"/>
    <w:rsid w:val="00434A41"/>
    <w:rsid w:val="00440E83"/>
    <w:rsid w:val="00444236"/>
    <w:rsid w:val="0044725B"/>
    <w:rsid w:val="00467D19"/>
    <w:rsid w:val="00472368"/>
    <w:rsid w:val="00476404"/>
    <w:rsid w:val="00476EC6"/>
    <w:rsid w:val="004820C1"/>
    <w:rsid w:val="004833A4"/>
    <w:rsid w:val="00496113"/>
    <w:rsid w:val="004A77E4"/>
    <w:rsid w:val="004A7A1D"/>
    <w:rsid w:val="004C711D"/>
    <w:rsid w:val="004D55B9"/>
    <w:rsid w:val="004D7D07"/>
    <w:rsid w:val="004E338B"/>
    <w:rsid w:val="004E5D47"/>
    <w:rsid w:val="004E672A"/>
    <w:rsid w:val="004F2472"/>
    <w:rsid w:val="004F4CC3"/>
    <w:rsid w:val="004F7ECD"/>
    <w:rsid w:val="00500F6A"/>
    <w:rsid w:val="00502302"/>
    <w:rsid w:val="005138A0"/>
    <w:rsid w:val="0052412D"/>
    <w:rsid w:val="005273D5"/>
    <w:rsid w:val="00530185"/>
    <w:rsid w:val="00532C61"/>
    <w:rsid w:val="005346DD"/>
    <w:rsid w:val="00543BBC"/>
    <w:rsid w:val="00560C21"/>
    <w:rsid w:val="00570E3D"/>
    <w:rsid w:val="0059395B"/>
    <w:rsid w:val="005940D0"/>
    <w:rsid w:val="00595AAE"/>
    <w:rsid w:val="005A64CA"/>
    <w:rsid w:val="005E78D6"/>
    <w:rsid w:val="005F0B77"/>
    <w:rsid w:val="005F5193"/>
    <w:rsid w:val="006125C7"/>
    <w:rsid w:val="00655C8F"/>
    <w:rsid w:val="00656422"/>
    <w:rsid w:val="00660247"/>
    <w:rsid w:val="0066164A"/>
    <w:rsid w:val="006753CE"/>
    <w:rsid w:val="006839B3"/>
    <w:rsid w:val="00694305"/>
    <w:rsid w:val="0069440F"/>
    <w:rsid w:val="00694E79"/>
    <w:rsid w:val="00695FFE"/>
    <w:rsid w:val="006C267D"/>
    <w:rsid w:val="006E2397"/>
    <w:rsid w:val="006F2E26"/>
    <w:rsid w:val="006F575F"/>
    <w:rsid w:val="006F5B1A"/>
    <w:rsid w:val="00711C8F"/>
    <w:rsid w:val="00712C1F"/>
    <w:rsid w:val="00713728"/>
    <w:rsid w:val="00721B75"/>
    <w:rsid w:val="00727BCC"/>
    <w:rsid w:val="0073030E"/>
    <w:rsid w:val="00730965"/>
    <w:rsid w:val="007447F2"/>
    <w:rsid w:val="00792D95"/>
    <w:rsid w:val="00795913"/>
    <w:rsid w:val="00795E8B"/>
    <w:rsid w:val="00796293"/>
    <w:rsid w:val="007963C2"/>
    <w:rsid w:val="007B695F"/>
    <w:rsid w:val="007C74C3"/>
    <w:rsid w:val="007D6049"/>
    <w:rsid w:val="007E2AFB"/>
    <w:rsid w:val="007F2934"/>
    <w:rsid w:val="007F42EB"/>
    <w:rsid w:val="007F6686"/>
    <w:rsid w:val="007F6BC4"/>
    <w:rsid w:val="007F7176"/>
    <w:rsid w:val="00815160"/>
    <w:rsid w:val="0082125D"/>
    <w:rsid w:val="00832B49"/>
    <w:rsid w:val="0084227E"/>
    <w:rsid w:val="0084259C"/>
    <w:rsid w:val="00860432"/>
    <w:rsid w:val="00865C0B"/>
    <w:rsid w:val="00870E79"/>
    <w:rsid w:val="0089088D"/>
    <w:rsid w:val="008A1E0D"/>
    <w:rsid w:val="008A47BA"/>
    <w:rsid w:val="008B2F32"/>
    <w:rsid w:val="008B61AC"/>
    <w:rsid w:val="008B649D"/>
    <w:rsid w:val="008B6D2D"/>
    <w:rsid w:val="008E10E1"/>
    <w:rsid w:val="008E2E24"/>
    <w:rsid w:val="008E3BF4"/>
    <w:rsid w:val="008E6B48"/>
    <w:rsid w:val="00901277"/>
    <w:rsid w:val="00904B28"/>
    <w:rsid w:val="009068FB"/>
    <w:rsid w:val="009218F2"/>
    <w:rsid w:val="00936141"/>
    <w:rsid w:val="009503E1"/>
    <w:rsid w:val="009709F0"/>
    <w:rsid w:val="00970DB0"/>
    <w:rsid w:val="00984FEF"/>
    <w:rsid w:val="009A4287"/>
    <w:rsid w:val="009A6037"/>
    <w:rsid w:val="009B4B1D"/>
    <w:rsid w:val="009C1AC7"/>
    <w:rsid w:val="009C3DE6"/>
    <w:rsid w:val="009C616E"/>
    <w:rsid w:val="009E5E1B"/>
    <w:rsid w:val="00A00865"/>
    <w:rsid w:val="00A0250D"/>
    <w:rsid w:val="00A05765"/>
    <w:rsid w:val="00A123E0"/>
    <w:rsid w:val="00A22608"/>
    <w:rsid w:val="00A43903"/>
    <w:rsid w:val="00A45A97"/>
    <w:rsid w:val="00A47E3E"/>
    <w:rsid w:val="00A56158"/>
    <w:rsid w:val="00A62DF6"/>
    <w:rsid w:val="00A67088"/>
    <w:rsid w:val="00A673CC"/>
    <w:rsid w:val="00A74273"/>
    <w:rsid w:val="00A76DA9"/>
    <w:rsid w:val="00A821D6"/>
    <w:rsid w:val="00A85132"/>
    <w:rsid w:val="00A9231D"/>
    <w:rsid w:val="00A950C7"/>
    <w:rsid w:val="00AA346D"/>
    <w:rsid w:val="00AB0A37"/>
    <w:rsid w:val="00AC1C6F"/>
    <w:rsid w:val="00AD74D5"/>
    <w:rsid w:val="00AD7E7D"/>
    <w:rsid w:val="00AE01C7"/>
    <w:rsid w:val="00AE3179"/>
    <w:rsid w:val="00AF19CA"/>
    <w:rsid w:val="00B05DA2"/>
    <w:rsid w:val="00B23649"/>
    <w:rsid w:val="00B617A9"/>
    <w:rsid w:val="00B67DC8"/>
    <w:rsid w:val="00B7391A"/>
    <w:rsid w:val="00B74D0D"/>
    <w:rsid w:val="00B82CBD"/>
    <w:rsid w:val="00B94F10"/>
    <w:rsid w:val="00BA70C8"/>
    <w:rsid w:val="00BB1143"/>
    <w:rsid w:val="00BC427B"/>
    <w:rsid w:val="00BD0A87"/>
    <w:rsid w:val="00BE35FF"/>
    <w:rsid w:val="00BF2E11"/>
    <w:rsid w:val="00C0405A"/>
    <w:rsid w:val="00C1733E"/>
    <w:rsid w:val="00C17F73"/>
    <w:rsid w:val="00C26883"/>
    <w:rsid w:val="00C30E93"/>
    <w:rsid w:val="00C30FF9"/>
    <w:rsid w:val="00C324EF"/>
    <w:rsid w:val="00C3316D"/>
    <w:rsid w:val="00C33BF4"/>
    <w:rsid w:val="00C5452C"/>
    <w:rsid w:val="00C611C4"/>
    <w:rsid w:val="00C64A6F"/>
    <w:rsid w:val="00CD0BC1"/>
    <w:rsid w:val="00CD3298"/>
    <w:rsid w:val="00CD49F9"/>
    <w:rsid w:val="00CD6B87"/>
    <w:rsid w:val="00CE09BD"/>
    <w:rsid w:val="00CE2D74"/>
    <w:rsid w:val="00CF2D48"/>
    <w:rsid w:val="00CF6EAA"/>
    <w:rsid w:val="00D06351"/>
    <w:rsid w:val="00D15E0F"/>
    <w:rsid w:val="00D31F6A"/>
    <w:rsid w:val="00D4048A"/>
    <w:rsid w:val="00D4757C"/>
    <w:rsid w:val="00D47624"/>
    <w:rsid w:val="00D525B3"/>
    <w:rsid w:val="00D60CD7"/>
    <w:rsid w:val="00D84338"/>
    <w:rsid w:val="00D85C04"/>
    <w:rsid w:val="00D86A9B"/>
    <w:rsid w:val="00D94A43"/>
    <w:rsid w:val="00DA2B5B"/>
    <w:rsid w:val="00DA6824"/>
    <w:rsid w:val="00DB37C1"/>
    <w:rsid w:val="00DB46B4"/>
    <w:rsid w:val="00DE2897"/>
    <w:rsid w:val="00DE335A"/>
    <w:rsid w:val="00DE388A"/>
    <w:rsid w:val="00DE6F9F"/>
    <w:rsid w:val="00E074B6"/>
    <w:rsid w:val="00E100A0"/>
    <w:rsid w:val="00E15634"/>
    <w:rsid w:val="00E22FCF"/>
    <w:rsid w:val="00E47D7C"/>
    <w:rsid w:val="00E50130"/>
    <w:rsid w:val="00E50775"/>
    <w:rsid w:val="00E52D1C"/>
    <w:rsid w:val="00E62518"/>
    <w:rsid w:val="00E648AE"/>
    <w:rsid w:val="00E64E89"/>
    <w:rsid w:val="00E70DE1"/>
    <w:rsid w:val="00E718F2"/>
    <w:rsid w:val="00E90BEB"/>
    <w:rsid w:val="00E92AB5"/>
    <w:rsid w:val="00EB480F"/>
    <w:rsid w:val="00EB58FF"/>
    <w:rsid w:val="00EB6BBC"/>
    <w:rsid w:val="00EB7036"/>
    <w:rsid w:val="00EC4606"/>
    <w:rsid w:val="00ED5068"/>
    <w:rsid w:val="00ED6199"/>
    <w:rsid w:val="00EE3FE8"/>
    <w:rsid w:val="00EE63F6"/>
    <w:rsid w:val="00EF19AF"/>
    <w:rsid w:val="00EF39DC"/>
    <w:rsid w:val="00EF425F"/>
    <w:rsid w:val="00F006F4"/>
    <w:rsid w:val="00F049F6"/>
    <w:rsid w:val="00F13B17"/>
    <w:rsid w:val="00F20495"/>
    <w:rsid w:val="00F2217B"/>
    <w:rsid w:val="00F26CDE"/>
    <w:rsid w:val="00F3186D"/>
    <w:rsid w:val="00F44696"/>
    <w:rsid w:val="00F5550A"/>
    <w:rsid w:val="00F6472B"/>
    <w:rsid w:val="00F85890"/>
    <w:rsid w:val="00F85EDD"/>
    <w:rsid w:val="00F865D4"/>
    <w:rsid w:val="00F97855"/>
    <w:rsid w:val="00FA67AC"/>
    <w:rsid w:val="00FA7F36"/>
    <w:rsid w:val="00FC49E2"/>
    <w:rsid w:val="00FD2513"/>
    <w:rsid w:val="00FE115C"/>
    <w:rsid w:val="00FE4A4A"/>
    <w:rsid w:val="00FF147C"/>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CBD125B"/>
  <w15:docId w15:val="{976AE7B5-6F9D-4411-BF30-D08C47F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C1F"/>
  </w:style>
  <w:style w:type="paragraph" w:styleId="Heading1">
    <w:name w:val="heading 1"/>
    <w:basedOn w:val="Normal"/>
    <w:next w:val="Normal"/>
    <w:link w:val="Heading1Char"/>
    <w:uiPriority w:val="9"/>
    <w:qFormat/>
    <w:rsid w:val="008B2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 w:type="character" w:styleId="FollowedHyperlink">
    <w:name w:val="FollowedHyperlink"/>
    <w:basedOn w:val="DefaultParagraphFont"/>
    <w:uiPriority w:val="99"/>
    <w:semiHidden/>
    <w:unhideWhenUsed/>
    <w:rsid w:val="000722D8"/>
    <w:rPr>
      <w:color w:val="800080" w:themeColor="followedHyperlink"/>
      <w:u w:val="single"/>
    </w:rPr>
  </w:style>
  <w:style w:type="paragraph" w:styleId="CommentText">
    <w:name w:val="annotation text"/>
    <w:basedOn w:val="Normal"/>
    <w:link w:val="CommentTextChar"/>
    <w:semiHidden/>
    <w:unhideWhenUsed/>
    <w:rsid w:val="003C3BE9"/>
    <w:rPr>
      <w:rFonts w:eastAsia="Times New Roman" w:cs="Times New Roman"/>
      <w:b/>
      <w:sz w:val="20"/>
      <w:szCs w:val="20"/>
    </w:rPr>
  </w:style>
  <w:style w:type="character" w:customStyle="1" w:styleId="CommentTextChar">
    <w:name w:val="Comment Text Char"/>
    <w:basedOn w:val="DefaultParagraphFont"/>
    <w:link w:val="CommentText"/>
    <w:semiHidden/>
    <w:rsid w:val="003C3BE9"/>
    <w:rPr>
      <w:rFonts w:eastAsia="Times New Roman" w:cs="Times New Roman"/>
      <w:b/>
      <w:sz w:val="20"/>
      <w:szCs w:val="20"/>
    </w:rPr>
  </w:style>
  <w:style w:type="paragraph" w:styleId="BodyTextIndent2">
    <w:name w:val="Body Text Indent 2"/>
    <w:basedOn w:val="Normal"/>
    <w:link w:val="BodyTextIndent2Char"/>
    <w:semiHidden/>
    <w:unhideWhenUsed/>
    <w:rsid w:val="003C3BE9"/>
    <w:pPr>
      <w:spacing w:after="120" w:line="480" w:lineRule="auto"/>
      <w:ind w:left="360"/>
    </w:pPr>
    <w:rPr>
      <w:rFonts w:eastAsia="Times New Roman" w:cs="Times New Roman"/>
      <w:b/>
    </w:rPr>
  </w:style>
  <w:style w:type="character" w:customStyle="1" w:styleId="BodyTextIndent2Char">
    <w:name w:val="Body Text Indent 2 Char"/>
    <w:basedOn w:val="DefaultParagraphFont"/>
    <w:link w:val="BodyTextIndent2"/>
    <w:semiHidden/>
    <w:rsid w:val="003C3BE9"/>
    <w:rPr>
      <w:rFonts w:eastAsia="Times New Roman" w:cs="Times New Roman"/>
      <w:b/>
    </w:rPr>
  </w:style>
  <w:style w:type="character" w:styleId="CommentReference">
    <w:name w:val="annotation reference"/>
    <w:basedOn w:val="DefaultParagraphFont"/>
    <w:semiHidden/>
    <w:unhideWhenUsed/>
    <w:rsid w:val="003C3BE9"/>
    <w:rPr>
      <w:sz w:val="16"/>
      <w:szCs w:val="16"/>
    </w:rPr>
  </w:style>
  <w:style w:type="character" w:customStyle="1" w:styleId="Heading1Char">
    <w:name w:val="Heading 1 Char"/>
    <w:basedOn w:val="DefaultParagraphFont"/>
    <w:link w:val="Heading1"/>
    <w:uiPriority w:val="9"/>
    <w:rsid w:val="008B2F32"/>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01277"/>
    <w:rPr>
      <w:rFonts w:eastAsiaTheme="minorHAnsi" w:cstheme="minorBidi"/>
      <w:bCs/>
    </w:rPr>
  </w:style>
  <w:style w:type="character" w:customStyle="1" w:styleId="CommentSubjectChar">
    <w:name w:val="Comment Subject Char"/>
    <w:basedOn w:val="CommentTextChar"/>
    <w:link w:val="CommentSubject"/>
    <w:uiPriority w:val="99"/>
    <w:semiHidden/>
    <w:rsid w:val="00901277"/>
    <w:rPr>
      <w:rFonts w:eastAsia="Times New Roman" w:cs="Times New Roman"/>
      <w:b/>
      <w:bCs/>
      <w:sz w:val="20"/>
      <w:szCs w:val="20"/>
    </w:rPr>
  </w:style>
  <w:style w:type="paragraph" w:styleId="ListParagraph">
    <w:name w:val="List Paragraph"/>
    <w:basedOn w:val="Normal"/>
    <w:uiPriority w:val="34"/>
    <w:qFormat/>
    <w:rsid w:val="00C30FF9"/>
    <w:pPr>
      <w:ind w:left="720"/>
      <w:contextualSpacing/>
    </w:pPr>
  </w:style>
  <w:style w:type="paragraph" w:styleId="FootnoteText">
    <w:name w:val="footnote text"/>
    <w:basedOn w:val="Normal"/>
    <w:link w:val="FootnoteTextChar"/>
    <w:uiPriority w:val="99"/>
    <w:semiHidden/>
    <w:unhideWhenUsed/>
    <w:rsid w:val="00EB58FF"/>
    <w:rPr>
      <w:sz w:val="20"/>
      <w:szCs w:val="20"/>
    </w:rPr>
  </w:style>
  <w:style w:type="character" w:customStyle="1" w:styleId="FootnoteTextChar">
    <w:name w:val="Footnote Text Char"/>
    <w:basedOn w:val="DefaultParagraphFont"/>
    <w:link w:val="FootnoteText"/>
    <w:uiPriority w:val="99"/>
    <w:semiHidden/>
    <w:rsid w:val="00EB58FF"/>
    <w:rPr>
      <w:sz w:val="20"/>
      <w:szCs w:val="20"/>
    </w:rPr>
  </w:style>
  <w:style w:type="character" w:styleId="FootnoteReference">
    <w:name w:val="footnote reference"/>
    <w:basedOn w:val="DefaultParagraphFont"/>
    <w:uiPriority w:val="99"/>
    <w:semiHidden/>
    <w:unhideWhenUsed/>
    <w:rsid w:val="00EB5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sChild>
        <w:div w:id="670988373">
          <w:marLeft w:val="0"/>
          <w:marRight w:val="0"/>
          <w:marTop w:val="0"/>
          <w:marBottom w:val="0"/>
          <w:divBdr>
            <w:top w:val="none" w:sz="0" w:space="0" w:color="auto"/>
            <w:left w:val="none" w:sz="0" w:space="0" w:color="auto"/>
            <w:bottom w:val="none" w:sz="0" w:space="0" w:color="auto"/>
            <w:right w:val="none" w:sz="0" w:space="0" w:color="auto"/>
          </w:divBdr>
          <w:divsChild>
            <w:div w:id="545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2806">
      <w:bodyDiv w:val="1"/>
      <w:marLeft w:val="0"/>
      <w:marRight w:val="0"/>
      <w:marTop w:val="0"/>
      <w:marBottom w:val="0"/>
      <w:divBdr>
        <w:top w:val="none" w:sz="0" w:space="0" w:color="auto"/>
        <w:left w:val="none" w:sz="0" w:space="0" w:color="auto"/>
        <w:bottom w:val="none" w:sz="0" w:space="0" w:color="auto"/>
        <w:right w:val="none" w:sz="0" w:space="0" w:color="auto"/>
      </w:divBdr>
    </w:div>
    <w:div w:id="321009209">
      <w:bodyDiv w:val="1"/>
      <w:marLeft w:val="0"/>
      <w:marRight w:val="0"/>
      <w:marTop w:val="0"/>
      <w:marBottom w:val="0"/>
      <w:divBdr>
        <w:top w:val="none" w:sz="0" w:space="0" w:color="auto"/>
        <w:left w:val="none" w:sz="0" w:space="0" w:color="auto"/>
        <w:bottom w:val="none" w:sz="0" w:space="0" w:color="auto"/>
        <w:right w:val="none" w:sz="0" w:space="0" w:color="auto"/>
      </w:divBdr>
    </w:div>
    <w:div w:id="809442136">
      <w:bodyDiv w:val="1"/>
      <w:marLeft w:val="0"/>
      <w:marRight w:val="0"/>
      <w:marTop w:val="0"/>
      <w:marBottom w:val="0"/>
      <w:divBdr>
        <w:top w:val="none" w:sz="0" w:space="0" w:color="auto"/>
        <w:left w:val="none" w:sz="0" w:space="0" w:color="auto"/>
        <w:bottom w:val="none" w:sz="0" w:space="0" w:color="auto"/>
        <w:right w:val="none" w:sz="0" w:space="0" w:color="auto"/>
      </w:divBdr>
    </w:div>
    <w:div w:id="1213495195">
      <w:bodyDiv w:val="1"/>
      <w:marLeft w:val="0"/>
      <w:marRight w:val="0"/>
      <w:marTop w:val="0"/>
      <w:marBottom w:val="0"/>
      <w:divBdr>
        <w:top w:val="none" w:sz="0" w:space="0" w:color="auto"/>
        <w:left w:val="none" w:sz="0" w:space="0" w:color="auto"/>
        <w:bottom w:val="none" w:sz="0" w:space="0" w:color="auto"/>
        <w:right w:val="none" w:sz="0" w:space="0" w:color="auto"/>
      </w:divBdr>
    </w:div>
    <w:div w:id="1538664262">
      <w:bodyDiv w:val="1"/>
      <w:marLeft w:val="0"/>
      <w:marRight w:val="0"/>
      <w:marTop w:val="0"/>
      <w:marBottom w:val="0"/>
      <w:divBdr>
        <w:top w:val="none" w:sz="0" w:space="0" w:color="auto"/>
        <w:left w:val="none" w:sz="0" w:space="0" w:color="auto"/>
        <w:bottom w:val="none" w:sz="0" w:space="0" w:color="auto"/>
        <w:right w:val="none" w:sz="0" w:space="0" w:color="auto"/>
      </w:divBdr>
    </w:div>
    <w:div w:id="1789395288">
      <w:bodyDiv w:val="1"/>
      <w:marLeft w:val="0"/>
      <w:marRight w:val="0"/>
      <w:marTop w:val="0"/>
      <w:marBottom w:val="0"/>
      <w:divBdr>
        <w:top w:val="none" w:sz="0" w:space="0" w:color="auto"/>
        <w:left w:val="none" w:sz="0" w:space="0" w:color="auto"/>
        <w:bottom w:val="none" w:sz="0" w:space="0" w:color="auto"/>
        <w:right w:val="none" w:sz="0" w:space="0" w:color="auto"/>
      </w:divBdr>
    </w:div>
    <w:div w:id="2046714076">
      <w:bodyDiv w:val="1"/>
      <w:marLeft w:val="0"/>
      <w:marRight w:val="0"/>
      <w:marTop w:val="0"/>
      <w:marBottom w:val="0"/>
      <w:divBdr>
        <w:top w:val="none" w:sz="0" w:space="0" w:color="auto"/>
        <w:left w:val="none" w:sz="0" w:space="0" w:color="auto"/>
        <w:bottom w:val="none" w:sz="0" w:space="0" w:color="auto"/>
        <w:right w:val="none" w:sz="0" w:space="0" w:color="auto"/>
      </w:divBdr>
      <w:divsChild>
        <w:div w:id="287321925">
          <w:marLeft w:val="0"/>
          <w:marRight w:val="-5040"/>
          <w:marTop w:val="0"/>
          <w:marBottom w:val="0"/>
          <w:divBdr>
            <w:top w:val="none" w:sz="0" w:space="0" w:color="auto"/>
            <w:left w:val="none" w:sz="0" w:space="0" w:color="auto"/>
            <w:bottom w:val="none" w:sz="0" w:space="0" w:color="auto"/>
            <w:right w:val="none" w:sz="0" w:space="0" w:color="auto"/>
          </w:divBdr>
          <w:divsChild>
            <w:div w:id="1276474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7E94-2A36-4FF3-9F3B-7217AF1B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2047</Words>
  <Characters>11179</Characters>
  <Application>Microsoft Office Word</Application>
  <DocSecurity>0</DocSecurity>
  <PresentationFormat>15|.DOCX</PresentationFormat>
  <Lines>296</Lines>
  <Paragraphs>122</Paragraphs>
  <ScaleCrop>false</ScaleCrop>
  <HeadingPairs>
    <vt:vector size="2" baseType="variant">
      <vt:variant>
        <vt:lpstr>Title</vt:lpstr>
      </vt:variant>
      <vt:variant>
        <vt:i4>1</vt:i4>
      </vt:variant>
    </vt:vector>
  </HeadingPairs>
  <TitlesOfParts>
    <vt:vector size="1" baseType="lpstr">
      <vt:lpstr>Ohio Gas rate case objections (C0107179-2).DOCX</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17-1139-GA-AIR; Objections to Staff Report 12-22-17.docx</dc:title>
  <dc:subject/>
  <dc:creator/>
  <cp:keywords/>
  <dc:description/>
  <cp:lastModifiedBy>McDaniel, Jessica</cp:lastModifiedBy>
  <cp:revision>4</cp:revision>
  <cp:lastPrinted>2017-12-22T14:23:00Z</cp:lastPrinted>
  <dcterms:created xsi:type="dcterms:W3CDTF">2017-12-22T17:49:00Z</dcterms:created>
  <dcterms:modified xsi:type="dcterms:W3CDTF">2017-12-22T17:50:00Z</dcterms:modified>
</cp:coreProperties>
</file>