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1F" w:rsidRPr="00A35DB3" w:rsidRDefault="0042171F" w:rsidP="0042171F">
      <w:pPr>
        <w:jc w:val="center"/>
      </w:pPr>
      <w:r w:rsidRPr="00A35DB3">
        <w:t>BEFO</w:t>
      </w:r>
      <w:r>
        <w:t>R</w:t>
      </w:r>
      <w:r w:rsidRPr="00A35DB3">
        <w:t xml:space="preserve">E </w:t>
      </w:r>
    </w:p>
    <w:p w:rsidR="0042171F" w:rsidRPr="00A35DB3" w:rsidRDefault="0042171F" w:rsidP="0042171F">
      <w:pPr>
        <w:jc w:val="center"/>
      </w:pPr>
      <w:r w:rsidRPr="00A35DB3">
        <w:t>THE PUBLIC UTILITIES COMMISSION OF OHIO</w:t>
      </w:r>
    </w:p>
    <w:p w:rsidR="0042171F" w:rsidRPr="00A35DB3" w:rsidRDefault="0042171F" w:rsidP="0042171F"/>
    <w:p w:rsidR="0042171F" w:rsidRDefault="0042171F" w:rsidP="0042171F">
      <w:r>
        <w:t xml:space="preserve">In the Matter of the Complaint of </w:t>
      </w:r>
      <w:r>
        <w:tab/>
      </w:r>
      <w:r>
        <w:tab/>
        <w:t>)</w:t>
      </w:r>
    </w:p>
    <w:p w:rsidR="0042171F" w:rsidRDefault="0042171F" w:rsidP="0042171F">
      <w:r>
        <w:t>Jeffrey Pitzer</w:t>
      </w:r>
      <w:r>
        <w:tab/>
      </w:r>
      <w:r>
        <w:tab/>
      </w:r>
      <w:r>
        <w:tab/>
      </w:r>
      <w:r>
        <w:tab/>
      </w:r>
      <w:r>
        <w:tab/>
        <w:t>)</w:t>
      </w:r>
    </w:p>
    <w:p w:rsidR="0042171F" w:rsidRPr="00A35DB3" w:rsidRDefault="0042171F" w:rsidP="0042171F">
      <w:r>
        <w:tab/>
      </w:r>
      <w:r w:rsidRPr="00A35DB3">
        <w:tab/>
      </w:r>
      <w:r w:rsidRPr="00A35DB3">
        <w:tab/>
      </w:r>
      <w:r>
        <w:tab/>
      </w:r>
      <w:r>
        <w:tab/>
      </w:r>
      <w:r>
        <w:tab/>
      </w:r>
      <w:r w:rsidRPr="00A35DB3">
        <w:t>)</w:t>
      </w:r>
    </w:p>
    <w:p w:rsidR="0042171F" w:rsidRPr="00A35DB3" w:rsidRDefault="0042171F" w:rsidP="0042171F">
      <w:r w:rsidRPr="00A35DB3">
        <w:t xml:space="preserve">           Complainant,</w:t>
      </w:r>
      <w:r w:rsidRPr="00A35DB3">
        <w:tab/>
      </w:r>
      <w:r w:rsidRPr="00A35DB3">
        <w:tab/>
      </w:r>
      <w:r w:rsidRPr="00A35DB3">
        <w:tab/>
      </w:r>
      <w:r w:rsidRPr="00A35DB3">
        <w:tab/>
        <w:t>)</w:t>
      </w:r>
      <w:r w:rsidRPr="00A35DB3">
        <w:tab/>
        <w:t xml:space="preserve">Case No. </w:t>
      </w:r>
      <w:r>
        <w:t>15-298-GE-CSS</w:t>
      </w:r>
    </w:p>
    <w:p w:rsidR="0042171F" w:rsidRPr="00A35DB3" w:rsidRDefault="0042171F" w:rsidP="0042171F">
      <w:r w:rsidRPr="00A35DB3">
        <w:tab/>
      </w:r>
      <w:r w:rsidRPr="00A35DB3">
        <w:tab/>
      </w:r>
      <w:r w:rsidRPr="00A35DB3">
        <w:tab/>
      </w:r>
      <w:r w:rsidRPr="00A35DB3">
        <w:tab/>
      </w:r>
      <w:r w:rsidRPr="00A35DB3">
        <w:tab/>
      </w:r>
      <w:r w:rsidRPr="00A35DB3">
        <w:tab/>
        <w:t>)</w:t>
      </w:r>
    </w:p>
    <w:p w:rsidR="0042171F" w:rsidRPr="00A35DB3" w:rsidRDefault="0042171F" w:rsidP="0042171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42171F" w:rsidRPr="00A35DB3" w:rsidRDefault="0042171F" w:rsidP="0042171F">
      <w:r w:rsidRPr="00A35DB3">
        <w:t>Duke Energy Ohio</w:t>
      </w:r>
      <w:r>
        <w:t>, Inc.</w:t>
      </w:r>
      <w:r w:rsidRPr="00A35DB3">
        <w:tab/>
      </w:r>
      <w:r w:rsidRPr="00A35DB3">
        <w:tab/>
      </w:r>
      <w:r w:rsidRPr="00A35DB3">
        <w:tab/>
        <w:t>)</w:t>
      </w:r>
    </w:p>
    <w:p w:rsidR="0042171F" w:rsidRPr="00A35DB3" w:rsidRDefault="0042171F" w:rsidP="0042171F">
      <w:r w:rsidRPr="00A35DB3">
        <w:tab/>
      </w:r>
      <w:r w:rsidRPr="00A35DB3">
        <w:tab/>
      </w:r>
      <w:r w:rsidRPr="00A35DB3">
        <w:tab/>
      </w:r>
      <w:r w:rsidRPr="00A35DB3">
        <w:tab/>
      </w:r>
      <w:r w:rsidRPr="00A35DB3">
        <w:tab/>
      </w:r>
      <w:r w:rsidRPr="00A35DB3">
        <w:tab/>
        <w:t>)</w:t>
      </w:r>
    </w:p>
    <w:p w:rsidR="0042171F" w:rsidRPr="00A35DB3" w:rsidRDefault="0042171F" w:rsidP="0042171F">
      <w:r w:rsidRPr="00A35DB3">
        <w:tab/>
        <w:t>Respondent</w:t>
      </w:r>
      <w:r>
        <w:t>.</w:t>
      </w:r>
      <w:r w:rsidRPr="00A35DB3">
        <w:tab/>
      </w:r>
      <w:r w:rsidRPr="00A35DB3">
        <w:tab/>
      </w:r>
      <w:r w:rsidRPr="00A35DB3">
        <w:tab/>
      </w:r>
      <w:r w:rsidRPr="00A35DB3">
        <w:tab/>
        <w:t>)</w:t>
      </w:r>
    </w:p>
    <w:p w:rsidR="0042171F" w:rsidRPr="00A35DB3" w:rsidRDefault="0042171F" w:rsidP="0042171F">
      <w:pPr>
        <w:pBdr>
          <w:bottom w:val="single" w:sz="12" w:space="1" w:color="auto"/>
        </w:pBdr>
      </w:pPr>
    </w:p>
    <w:p w:rsidR="0042171F" w:rsidRDefault="0042171F" w:rsidP="0042171F"/>
    <w:p w:rsidR="00A91DAE" w:rsidRDefault="0042171F" w:rsidP="0042171F">
      <w:pPr>
        <w:pBdr>
          <w:bottom w:val="single" w:sz="12" w:space="1" w:color="auto"/>
        </w:pBdr>
        <w:jc w:val="center"/>
        <w:rPr>
          <w:b/>
        </w:rPr>
      </w:pPr>
      <w:r>
        <w:rPr>
          <w:b/>
        </w:rPr>
        <w:t xml:space="preserve">AFFIDAVIT OF ROBERT A. MCMAHON </w:t>
      </w:r>
      <w:r w:rsidR="00DF0001">
        <w:rPr>
          <w:b/>
        </w:rPr>
        <w:t>IN SUPPORT OF</w:t>
      </w:r>
    </w:p>
    <w:p w:rsidR="0042171F" w:rsidRDefault="00DF0001" w:rsidP="0042171F">
      <w:pPr>
        <w:pBdr>
          <w:bottom w:val="single" w:sz="12" w:space="1" w:color="auto"/>
        </w:pBdr>
        <w:jc w:val="center"/>
        <w:rPr>
          <w:b/>
        </w:rPr>
      </w:pPr>
      <w:r>
        <w:rPr>
          <w:b/>
        </w:rPr>
        <w:t>DUKE ENERGY OHIO, INC.’S MOTION TO COMPEL</w:t>
      </w:r>
      <w:r w:rsidR="005D0E88">
        <w:rPr>
          <w:b/>
        </w:rPr>
        <w:t xml:space="preserve"> </w:t>
      </w:r>
    </w:p>
    <w:p w:rsidR="00DF0001" w:rsidRPr="003E6FFE" w:rsidRDefault="00DF0001" w:rsidP="0042171F">
      <w:pPr>
        <w:pBdr>
          <w:bottom w:val="single" w:sz="12" w:space="1" w:color="auto"/>
        </w:pBdr>
        <w:jc w:val="center"/>
        <w:rPr>
          <w:b/>
        </w:rPr>
      </w:pPr>
    </w:p>
    <w:p w:rsidR="008C374D" w:rsidRDefault="008C374D"/>
    <w:p w:rsidR="00DF0001" w:rsidRDefault="00DF0001" w:rsidP="00DF0001">
      <w:pPr>
        <w:pStyle w:val="THBODY2IND1F"/>
        <w:spacing w:line="240" w:lineRule="auto"/>
        <w:ind w:firstLine="0"/>
        <w:jc w:val="both"/>
      </w:pPr>
      <w:r>
        <w:t>STATE OF OHIO</w:t>
      </w:r>
      <w:r>
        <w:tab/>
      </w:r>
      <w:r>
        <w:tab/>
      </w:r>
      <w:r>
        <w:tab/>
        <w:t>)</w:t>
      </w:r>
    </w:p>
    <w:p w:rsidR="00DF0001" w:rsidRDefault="00DF0001" w:rsidP="00DF0001">
      <w:pPr>
        <w:pStyle w:val="THBODY2IND1F"/>
        <w:spacing w:line="240" w:lineRule="auto"/>
        <w:ind w:firstLine="0"/>
        <w:jc w:val="both"/>
      </w:pPr>
      <w:r>
        <w:tab/>
      </w:r>
      <w:r>
        <w:tab/>
      </w:r>
      <w:r>
        <w:tab/>
      </w:r>
      <w:r>
        <w:tab/>
      </w:r>
      <w:r>
        <w:tab/>
        <w:t>)  SS</w:t>
      </w:r>
    </w:p>
    <w:p w:rsidR="00DF0001" w:rsidRDefault="00DF0001" w:rsidP="00DF0001">
      <w:pPr>
        <w:pStyle w:val="THBODY2IND1F"/>
        <w:ind w:firstLine="0"/>
        <w:jc w:val="both"/>
      </w:pPr>
      <w:r>
        <w:t>COUNTY OF HAMILTON</w:t>
      </w:r>
      <w:r>
        <w:tab/>
      </w:r>
      <w:r>
        <w:tab/>
        <w:t>)</w:t>
      </w:r>
    </w:p>
    <w:p w:rsidR="00DF0001" w:rsidRDefault="00DF0001" w:rsidP="00DF0001">
      <w:pPr>
        <w:pStyle w:val="THBODY2IND1F"/>
        <w:ind w:firstLine="748"/>
        <w:jc w:val="both"/>
      </w:pPr>
      <w:r>
        <w:t>Robert A. McMahon, being first duly sworn and under oath, deposes and states as follows:</w:t>
      </w:r>
    </w:p>
    <w:p w:rsidR="00DF0001" w:rsidRDefault="00A91DAE" w:rsidP="00DF0001">
      <w:pPr>
        <w:pStyle w:val="THBODY2IND1F"/>
        <w:numPr>
          <w:ilvl w:val="0"/>
          <w:numId w:val="1"/>
        </w:numPr>
        <w:tabs>
          <w:tab w:val="clear" w:pos="720"/>
          <w:tab w:val="num" w:pos="1440"/>
        </w:tabs>
        <w:jc w:val="both"/>
      </w:pPr>
      <w:r>
        <w:t xml:space="preserve">I am one of the attorneys of record in this case for </w:t>
      </w:r>
      <w:r w:rsidR="00DF0001">
        <w:t xml:space="preserve">Respondent Duke Energy Ohio, Inc. </w:t>
      </w:r>
      <w:r>
        <w:t xml:space="preserve">(“Duke </w:t>
      </w:r>
      <w:r w:rsidR="00DF0001">
        <w:t xml:space="preserve">Energy </w:t>
      </w:r>
      <w:r>
        <w:t xml:space="preserve">Ohio”).  </w:t>
      </w:r>
      <w:r w:rsidR="00DF0001">
        <w:t>I have personal knowledge of all facts set forth in this affidavit</w:t>
      </w:r>
      <w:r w:rsidR="00DF0001" w:rsidRPr="00DD3620">
        <w:t>.</w:t>
      </w:r>
    </w:p>
    <w:p w:rsidR="00DF0001" w:rsidRDefault="005D0E88" w:rsidP="00DF0001">
      <w:pPr>
        <w:pStyle w:val="THBODY2IND1F"/>
        <w:numPr>
          <w:ilvl w:val="0"/>
          <w:numId w:val="1"/>
        </w:numPr>
        <w:tabs>
          <w:tab w:val="clear" w:pos="720"/>
          <w:tab w:val="num" w:pos="1440"/>
        </w:tabs>
        <w:jc w:val="both"/>
      </w:pPr>
      <w:r>
        <w:t xml:space="preserve">On September 30, 2015, </w:t>
      </w:r>
      <w:r w:rsidR="00A91DAE">
        <w:t xml:space="preserve">Duke Energy Ohio served </w:t>
      </w:r>
      <w:r>
        <w:t xml:space="preserve">Requests for Admission, Interrogatories, and Requests for Production of Documents </w:t>
      </w:r>
      <w:r w:rsidR="00A91DAE">
        <w:t xml:space="preserve">on </w:t>
      </w:r>
      <w:r>
        <w:t>the Office of the Ohio Consumers’ Counsel (the “OCC”).</w:t>
      </w:r>
    </w:p>
    <w:p w:rsidR="005D0E88" w:rsidRDefault="005D0E88" w:rsidP="00DF0001">
      <w:pPr>
        <w:pStyle w:val="THBODY2IND1F"/>
        <w:numPr>
          <w:ilvl w:val="0"/>
          <w:numId w:val="1"/>
        </w:numPr>
        <w:tabs>
          <w:tab w:val="clear" w:pos="720"/>
          <w:tab w:val="num" w:pos="1440"/>
        </w:tabs>
        <w:jc w:val="both"/>
      </w:pPr>
      <w:r>
        <w:t xml:space="preserve">On October 20, 2015, the OCC served its responses and objections to </w:t>
      </w:r>
      <w:r w:rsidR="00A91DAE">
        <w:t>Duke Energy Ohio’s d</w:t>
      </w:r>
      <w:r>
        <w:t>iscovery</w:t>
      </w:r>
      <w:r w:rsidR="00A91DAE">
        <w:t xml:space="preserve"> requests</w:t>
      </w:r>
      <w:r>
        <w:t xml:space="preserve">.  </w:t>
      </w:r>
      <w:r w:rsidR="003370AD">
        <w:t xml:space="preserve">A true and accurate copy of </w:t>
      </w:r>
      <w:r w:rsidR="005314F2">
        <w:t>that</w:t>
      </w:r>
      <w:r>
        <w:t xml:space="preserve"> </w:t>
      </w:r>
      <w:r w:rsidR="005314F2">
        <w:t>document</w:t>
      </w:r>
      <w:r>
        <w:t xml:space="preserve"> </w:t>
      </w:r>
      <w:r w:rsidR="00FE74E1">
        <w:t>is</w:t>
      </w:r>
      <w:r>
        <w:t xml:space="preserve"> attached hereto as Exhibit A.</w:t>
      </w:r>
    </w:p>
    <w:p w:rsidR="005D0E88" w:rsidRDefault="005D0E88" w:rsidP="00DF0001">
      <w:pPr>
        <w:pStyle w:val="THBODY2IND1F"/>
        <w:numPr>
          <w:ilvl w:val="0"/>
          <w:numId w:val="1"/>
        </w:numPr>
        <w:tabs>
          <w:tab w:val="clear" w:pos="720"/>
          <w:tab w:val="num" w:pos="1440"/>
        </w:tabs>
        <w:jc w:val="both"/>
      </w:pPr>
      <w:r>
        <w:t xml:space="preserve">On October 22, 2015, </w:t>
      </w:r>
      <w:r w:rsidR="00A91DAE">
        <w:t xml:space="preserve">I </w:t>
      </w:r>
      <w:r>
        <w:t>sent a letter to</w:t>
      </w:r>
      <w:r w:rsidR="00AD7DA3">
        <w:t xml:space="preserve"> the </w:t>
      </w:r>
      <w:r>
        <w:t>OCC</w:t>
      </w:r>
      <w:r w:rsidR="00A91DAE">
        <w:t xml:space="preserve">’s attorney to address the OCC’s </w:t>
      </w:r>
      <w:r w:rsidR="003370AD">
        <w:t xml:space="preserve">deficient </w:t>
      </w:r>
      <w:r w:rsidR="00A91DAE">
        <w:t xml:space="preserve">discovery </w:t>
      </w:r>
      <w:r w:rsidR="003370AD">
        <w:t xml:space="preserve">responses and objections.  A true and accurate copy of that letter is attached </w:t>
      </w:r>
      <w:r w:rsidR="003370AD">
        <w:lastRenderedPageBreak/>
        <w:t>hereto as Exhibit B.</w:t>
      </w:r>
      <w:r w:rsidR="00AD7DA3">
        <w:t xml:space="preserve">  In that letter, </w:t>
      </w:r>
      <w:r w:rsidR="005314F2">
        <w:t>I</w:t>
      </w:r>
      <w:r w:rsidR="00AD7DA3">
        <w:t xml:space="preserve"> requested a written reply from OCC by the end of the business day on Monday, October 26, 2015.</w:t>
      </w:r>
    </w:p>
    <w:p w:rsidR="00AD7DA3" w:rsidRDefault="00AD7DA3" w:rsidP="00DF0001">
      <w:pPr>
        <w:pStyle w:val="THBODY2IND1F"/>
        <w:numPr>
          <w:ilvl w:val="0"/>
          <w:numId w:val="1"/>
        </w:numPr>
        <w:tabs>
          <w:tab w:val="clear" w:pos="720"/>
          <w:tab w:val="num" w:pos="1440"/>
        </w:tabs>
        <w:jc w:val="both"/>
      </w:pPr>
      <w:r>
        <w:t>On October 26,</w:t>
      </w:r>
      <w:r w:rsidR="00A91DAE">
        <w:t xml:space="preserve"> 2015, the OCC’s attorney sent a letter to me and indicated, among other things, that the OCC would be able to respond substantively to my letter by the end of the week.  </w:t>
      </w:r>
      <w:r>
        <w:t xml:space="preserve">A true and accurate copy of </w:t>
      </w:r>
      <w:r w:rsidR="005314F2">
        <w:t>that</w:t>
      </w:r>
      <w:r>
        <w:t xml:space="preserve"> letter is attached hereto as Exhibit C.</w:t>
      </w:r>
    </w:p>
    <w:p w:rsidR="003370AD" w:rsidRDefault="00AD7DA3" w:rsidP="00DF0001">
      <w:pPr>
        <w:pStyle w:val="THBODY2IND1F"/>
        <w:numPr>
          <w:ilvl w:val="0"/>
          <w:numId w:val="1"/>
        </w:numPr>
        <w:tabs>
          <w:tab w:val="clear" w:pos="720"/>
          <w:tab w:val="num" w:pos="1440"/>
        </w:tabs>
        <w:jc w:val="both"/>
      </w:pPr>
      <w:r>
        <w:t xml:space="preserve">On October 29, 2015, </w:t>
      </w:r>
      <w:r w:rsidR="00A91DAE">
        <w:t xml:space="preserve">in an effort to resolve any discovery disputes, </w:t>
      </w:r>
      <w:r>
        <w:t xml:space="preserve">I </w:t>
      </w:r>
      <w:r w:rsidR="00A91DAE">
        <w:t xml:space="preserve">sent the letter attached hereto as Exhibit D </w:t>
      </w:r>
      <w:r w:rsidR="00FE74E1">
        <w:t xml:space="preserve">to the OCC’s </w:t>
      </w:r>
      <w:r w:rsidR="00A91DAE">
        <w:t xml:space="preserve">attorney and indicated that Duke Energy Ohio expected the OCC’s substantive response by </w:t>
      </w:r>
      <w:r w:rsidR="00FE74E1">
        <w:t xml:space="preserve">October 30.  </w:t>
      </w:r>
    </w:p>
    <w:p w:rsidR="00B87720" w:rsidRDefault="00B87720" w:rsidP="00DF0001">
      <w:pPr>
        <w:pStyle w:val="THBODY2IND1F"/>
        <w:numPr>
          <w:ilvl w:val="0"/>
          <w:numId w:val="1"/>
        </w:numPr>
        <w:tabs>
          <w:tab w:val="clear" w:pos="720"/>
          <w:tab w:val="num" w:pos="1440"/>
        </w:tabs>
        <w:jc w:val="both"/>
      </w:pPr>
      <w:r>
        <w:t xml:space="preserve">The OCC did not provide a substantive response to my letters or any supplemental or modified discovery responses by the agreed deadline of October 30.  </w:t>
      </w:r>
    </w:p>
    <w:p w:rsidR="00DF0001" w:rsidRDefault="00B87720" w:rsidP="00077D4F">
      <w:pPr>
        <w:pStyle w:val="THBODY2IND1F"/>
        <w:numPr>
          <w:ilvl w:val="0"/>
          <w:numId w:val="1"/>
        </w:numPr>
        <w:tabs>
          <w:tab w:val="clear" w:pos="720"/>
          <w:tab w:val="num" w:pos="1440"/>
        </w:tabs>
        <w:jc w:val="both"/>
      </w:pPr>
      <w:r>
        <w:t xml:space="preserve">At 5:18 pm on </w:t>
      </w:r>
      <w:r w:rsidR="00452C1C">
        <w:t xml:space="preserve">November 2, 2015, </w:t>
      </w:r>
      <w:r>
        <w:t xml:space="preserve">the OCC </w:t>
      </w:r>
      <w:r w:rsidR="00791F2A">
        <w:t xml:space="preserve">emailed </w:t>
      </w:r>
      <w:r>
        <w:t>supplemental responses to certain of Duke Ener</w:t>
      </w:r>
      <w:r w:rsidR="00791F2A">
        <w:t xml:space="preserve">gy Ohio’s discovery requests.  True and accurate copies of counsel’s email and the OCC supplemental discovery responses are </w:t>
      </w:r>
      <w:r>
        <w:t xml:space="preserve">attached as Exhibit E.  </w:t>
      </w:r>
      <w:r w:rsidR="00791F2A">
        <w:t xml:space="preserve">Between counsel’s email and the OCC’s still deficient supplemental responses, it is clear that further discussions between the parties will not prompt the OCC’s compliance with and complete response to Duke Energy Ohio’s reasonable discovery requests.  </w:t>
      </w:r>
    </w:p>
    <w:p w:rsidR="00DF0001" w:rsidRDefault="00DF0001" w:rsidP="00DF0001">
      <w:pPr>
        <w:pStyle w:val="THBODY2IND1F"/>
        <w:spacing w:line="240" w:lineRule="auto"/>
        <w:ind w:left="720" w:firstLine="0"/>
        <w:jc w:val="both"/>
      </w:pPr>
      <w:r>
        <w:t>FURTHER AFFIANT SAYETH NAUGHT.</w:t>
      </w:r>
    </w:p>
    <w:p w:rsidR="00DF0001" w:rsidRDefault="00DF0001" w:rsidP="00DF0001">
      <w:pPr>
        <w:pStyle w:val="THBODY2IND1F"/>
        <w:spacing w:line="240" w:lineRule="auto"/>
        <w:ind w:left="720" w:firstLine="0"/>
        <w:jc w:val="both"/>
      </w:pPr>
    </w:p>
    <w:p w:rsidR="00DF0001" w:rsidRDefault="00DF0001" w:rsidP="00DF0001">
      <w:pPr>
        <w:pStyle w:val="THBODY2IND1F"/>
        <w:spacing w:line="240" w:lineRule="auto"/>
        <w:ind w:left="720" w:firstLine="0"/>
        <w:jc w:val="both"/>
      </w:pPr>
    </w:p>
    <w:p w:rsidR="00DF0001" w:rsidRDefault="00DF0001" w:rsidP="00DF0001">
      <w:pPr>
        <w:pStyle w:val="THBODY2IND1F"/>
        <w:spacing w:line="240" w:lineRule="auto"/>
        <w:ind w:left="720" w:firstLine="0"/>
        <w:jc w:val="both"/>
      </w:pPr>
    </w:p>
    <w:p w:rsidR="00DF0001" w:rsidRDefault="00DF0001" w:rsidP="00DF0001">
      <w:pPr>
        <w:pStyle w:val="THBODY2IND1F"/>
        <w:spacing w:line="240" w:lineRule="auto"/>
        <w:ind w:left="720" w:firstLine="0"/>
        <w:jc w:val="both"/>
      </w:pPr>
      <w:r>
        <w:tab/>
      </w:r>
      <w:r>
        <w:tab/>
      </w:r>
      <w:r>
        <w:tab/>
      </w:r>
      <w:r>
        <w:tab/>
      </w:r>
      <w:r>
        <w:tab/>
        <w:t>_________________________________________</w:t>
      </w:r>
    </w:p>
    <w:p w:rsidR="00DF0001" w:rsidRDefault="00DF0001" w:rsidP="00DF0001">
      <w:pPr>
        <w:pStyle w:val="THBODY2IND1F"/>
        <w:spacing w:line="240" w:lineRule="auto"/>
        <w:ind w:left="720" w:firstLine="0"/>
        <w:jc w:val="both"/>
      </w:pPr>
      <w:r>
        <w:tab/>
      </w:r>
      <w:r>
        <w:tab/>
      </w:r>
      <w:r>
        <w:tab/>
      </w:r>
      <w:r>
        <w:tab/>
      </w:r>
      <w:r>
        <w:tab/>
        <w:t xml:space="preserve"> Robert A. McMahon</w:t>
      </w:r>
    </w:p>
    <w:p w:rsidR="00DF0001" w:rsidRDefault="00DF0001" w:rsidP="00DF0001">
      <w:pPr>
        <w:pStyle w:val="THBODY2IND1F"/>
        <w:spacing w:line="240" w:lineRule="auto"/>
        <w:ind w:firstLine="0"/>
        <w:jc w:val="both"/>
      </w:pPr>
      <w:r>
        <w:t>Sworn to and subscribed to before me</w:t>
      </w:r>
    </w:p>
    <w:p w:rsidR="00DF0001" w:rsidRDefault="00DF0001" w:rsidP="00DF0001">
      <w:pPr>
        <w:pStyle w:val="THBODY2IND1F"/>
        <w:spacing w:line="240" w:lineRule="auto"/>
        <w:ind w:firstLine="0"/>
        <w:jc w:val="both"/>
      </w:pPr>
      <w:r>
        <w:t>this ______ day of November, 2015:</w:t>
      </w:r>
    </w:p>
    <w:p w:rsidR="00DF0001" w:rsidRDefault="00DF0001" w:rsidP="00DF0001">
      <w:pPr>
        <w:pStyle w:val="THBODY2IND1F"/>
        <w:spacing w:line="240" w:lineRule="auto"/>
        <w:ind w:firstLine="0"/>
        <w:jc w:val="both"/>
      </w:pPr>
    </w:p>
    <w:p w:rsidR="00DF0001" w:rsidRDefault="00DF0001" w:rsidP="00DF0001">
      <w:pPr>
        <w:pStyle w:val="THBODY2IND1F"/>
        <w:spacing w:line="240" w:lineRule="auto"/>
        <w:ind w:firstLine="0"/>
        <w:jc w:val="both"/>
      </w:pPr>
    </w:p>
    <w:p w:rsidR="00DF0001" w:rsidRDefault="00DF0001" w:rsidP="00DF0001">
      <w:pPr>
        <w:pStyle w:val="THBODY2IND1F"/>
        <w:spacing w:line="240" w:lineRule="auto"/>
        <w:ind w:firstLine="0"/>
        <w:jc w:val="both"/>
      </w:pPr>
      <w:r>
        <w:t>_____________________________________</w:t>
      </w:r>
    </w:p>
    <w:p w:rsidR="00DF0001" w:rsidRDefault="00DF0001" w:rsidP="00DF0001">
      <w:pPr>
        <w:pStyle w:val="THBODY2IND1F"/>
        <w:spacing w:line="240" w:lineRule="auto"/>
        <w:ind w:firstLine="0"/>
        <w:jc w:val="both"/>
      </w:pPr>
      <w:r>
        <w:t>Notary Public</w:t>
      </w:r>
    </w:p>
    <w:p w:rsidR="00DF0001" w:rsidRDefault="00DF0001" w:rsidP="004D3E86">
      <w:pPr>
        <w:pStyle w:val="THBODY2IND1FJ"/>
        <w:ind w:firstLine="0"/>
      </w:pPr>
      <w:r>
        <w:t>My commission expires:  _______________</w:t>
      </w:r>
      <w:bookmarkStart w:id="0" w:name="_GoBack"/>
      <w:bookmarkEnd w:id="0"/>
    </w:p>
    <w:sectPr w:rsidR="00DF0001" w:rsidSect="005D0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88" w:rsidRDefault="005D0E88" w:rsidP="005D0E88">
      <w:r>
        <w:separator/>
      </w:r>
    </w:p>
  </w:endnote>
  <w:endnote w:type="continuationSeparator" w:id="0">
    <w:p w:rsidR="005D0E88" w:rsidRDefault="005D0E88" w:rsidP="005D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2A" w:rsidRDefault="00E51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60398"/>
      <w:docPartObj>
        <w:docPartGallery w:val="Page Numbers (Bottom of Page)"/>
        <w:docPartUnique/>
      </w:docPartObj>
    </w:sdtPr>
    <w:sdtEndPr>
      <w:rPr>
        <w:noProof/>
      </w:rPr>
    </w:sdtEndPr>
    <w:sdtContent>
      <w:p w:rsidR="005D0E88" w:rsidRDefault="005D0E88">
        <w:pPr>
          <w:pStyle w:val="Footer"/>
          <w:jc w:val="center"/>
        </w:pPr>
        <w:r>
          <w:fldChar w:fldCharType="begin"/>
        </w:r>
        <w:r>
          <w:instrText xml:space="preserve"> PAGE   \* MERGEFORMAT </w:instrText>
        </w:r>
        <w:r>
          <w:fldChar w:fldCharType="separate"/>
        </w:r>
        <w:r w:rsidR="004D3E86">
          <w:rPr>
            <w:noProof/>
          </w:rPr>
          <w:t>2</w:t>
        </w:r>
        <w:r>
          <w:rPr>
            <w:noProof/>
          </w:rPr>
          <w:fldChar w:fldCharType="end"/>
        </w:r>
      </w:p>
    </w:sdtContent>
  </w:sdt>
  <w:p w:rsidR="005D0E88" w:rsidRDefault="005D0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2A" w:rsidRDefault="00E5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88" w:rsidRDefault="005D0E88" w:rsidP="005D0E88">
      <w:r>
        <w:separator/>
      </w:r>
    </w:p>
  </w:footnote>
  <w:footnote w:type="continuationSeparator" w:id="0">
    <w:p w:rsidR="005D0E88" w:rsidRDefault="005D0E88" w:rsidP="005D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2A" w:rsidRDefault="00E51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2A" w:rsidRDefault="00E51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2A" w:rsidRDefault="00E51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63EA3"/>
    <w:multiLevelType w:val="hybridMultilevel"/>
    <w:tmpl w:val="5DC25B34"/>
    <w:lvl w:ilvl="0" w:tplc="3910704C">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1F"/>
    <w:rsid w:val="00003391"/>
    <w:rsid w:val="000050E4"/>
    <w:rsid w:val="000232DB"/>
    <w:rsid w:val="00030C79"/>
    <w:rsid w:val="00042ACD"/>
    <w:rsid w:val="000574B7"/>
    <w:rsid w:val="00077D4F"/>
    <w:rsid w:val="0009419F"/>
    <w:rsid w:val="000A4364"/>
    <w:rsid w:val="000B147E"/>
    <w:rsid w:val="000B43D7"/>
    <w:rsid w:val="000B6613"/>
    <w:rsid w:val="000C20CE"/>
    <w:rsid w:val="000D3C70"/>
    <w:rsid w:val="000E45A1"/>
    <w:rsid w:val="000F2226"/>
    <w:rsid w:val="001043BB"/>
    <w:rsid w:val="00150AD5"/>
    <w:rsid w:val="00156A21"/>
    <w:rsid w:val="0015735F"/>
    <w:rsid w:val="00160CE7"/>
    <w:rsid w:val="0016300E"/>
    <w:rsid w:val="001A0718"/>
    <w:rsid w:val="001C3584"/>
    <w:rsid w:val="001E4C4F"/>
    <w:rsid w:val="0020214F"/>
    <w:rsid w:val="00214A7C"/>
    <w:rsid w:val="0022375B"/>
    <w:rsid w:val="00236C3D"/>
    <w:rsid w:val="00237EE9"/>
    <w:rsid w:val="00241EFB"/>
    <w:rsid w:val="00244179"/>
    <w:rsid w:val="00254D66"/>
    <w:rsid w:val="00257D62"/>
    <w:rsid w:val="00277D1D"/>
    <w:rsid w:val="00283DD7"/>
    <w:rsid w:val="00296560"/>
    <w:rsid w:val="002A209F"/>
    <w:rsid w:val="002A42FE"/>
    <w:rsid w:val="002D4AF4"/>
    <w:rsid w:val="002D79D5"/>
    <w:rsid w:val="0031270B"/>
    <w:rsid w:val="00326AF9"/>
    <w:rsid w:val="00326B27"/>
    <w:rsid w:val="00335608"/>
    <w:rsid w:val="003370AD"/>
    <w:rsid w:val="00343ED6"/>
    <w:rsid w:val="003507E9"/>
    <w:rsid w:val="00356C1E"/>
    <w:rsid w:val="003634D3"/>
    <w:rsid w:val="003702A1"/>
    <w:rsid w:val="0037449F"/>
    <w:rsid w:val="003C43FF"/>
    <w:rsid w:val="003D0CFC"/>
    <w:rsid w:val="003D5954"/>
    <w:rsid w:val="003E405A"/>
    <w:rsid w:val="0042171F"/>
    <w:rsid w:val="00422E75"/>
    <w:rsid w:val="00451877"/>
    <w:rsid w:val="00452C1C"/>
    <w:rsid w:val="0046414F"/>
    <w:rsid w:val="0046543D"/>
    <w:rsid w:val="00470589"/>
    <w:rsid w:val="004D3E86"/>
    <w:rsid w:val="004F22B1"/>
    <w:rsid w:val="004F7CF3"/>
    <w:rsid w:val="00504399"/>
    <w:rsid w:val="005314F2"/>
    <w:rsid w:val="00535727"/>
    <w:rsid w:val="005502CF"/>
    <w:rsid w:val="00555153"/>
    <w:rsid w:val="00561E2B"/>
    <w:rsid w:val="005624AF"/>
    <w:rsid w:val="00570EF7"/>
    <w:rsid w:val="00574F3F"/>
    <w:rsid w:val="0057629A"/>
    <w:rsid w:val="005A0085"/>
    <w:rsid w:val="005A7924"/>
    <w:rsid w:val="005B1CD2"/>
    <w:rsid w:val="005C3EE8"/>
    <w:rsid w:val="005C4DDC"/>
    <w:rsid w:val="005D0E88"/>
    <w:rsid w:val="005E0CDF"/>
    <w:rsid w:val="005E754D"/>
    <w:rsid w:val="006172E6"/>
    <w:rsid w:val="00620D77"/>
    <w:rsid w:val="006224DE"/>
    <w:rsid w:val="0064506E"/>
    <w:rsid w:val="00654A94"/>
    <w:rsid w:val="006721BB"/>
    <w:rsid w:val="00682692"/>
    <w:rsid w:val="006A6D20"/>
    <w:rsid w:val="006B6F65"/>
    <w:rsid w:val="006F1AFC"/>
    <w:rsid w:val="0070712A"/>
    <w:rsid w:val="00716F96"/>
    <w:rsid w:val="00720514"/>
    <w:rsid w:val="00726263"/>
    <w:rsid w:val="007733B8"/>
    <w:rsid w:val="00787F86"/>
    <w:rsid w:val="00791F2A"/>
    <w:rsid w:val="007A2D7E"/>
    <w:rsid w:val="007A4A70"/>
    <w:rsid w:val="007B4F08"/>
    <w:rsid w:val="007C501F"/>
    <w:rsid w:val="007D7011"/>
    <w:rsid w:val="007E4B3F"/>
    <w:rsid w:val="007E76C0"/>
    <w:rsid w:val="0080537B"/>
    <w:rsid w:val="00807503"/>
    <w:rsid w:val="008570F7"/>
    <w:rsid w:val="00872CC3"/>
    <w:rsid w:val="00897640"/>
    <w:rsid w:val="008C374D"/>
    <w:rsid w:val="009029B4"/>
    <w:rsid w:val="00927A63"/>
    <w:rsid w:val="00953D88"/>
    <w:rsid w:val="009A4EFB"/>
    <w:rsid w:val="009E7EDC"/>
    <w:rsid w:val="00A04DA3"/>
    <w:rsid w:val="00A20CCF"/>
    <w:rsid w:val="00A235C6"/>
    <w:rsid w:val="00A6751F"/>
    <w:rsid w:val="00A90A57"/>
    <w:rsid w:val="00A91DAE"/>
    <w:rsid w:val="00A92F49"/>
    <w:rsid w:val="00A94986"/>
    <w:rsid w:val="00A96DAA"/>
    <w:rsid w:val="00AA008D"/>
    <w:rsid w:val="00AA7854"/>
    <w:rsid w:val="00AC014E"/>
    <w:rsid w:val="00AC091F"/>
    <w:rsid w:val="00AD7DA3"/>
    <w:rsid w:val="00AF4216"/>
    <w:rsid w:val="00B01DE9"/>
    <w:rsid w:val="00B41899"/>
    <w:rsid w:val="00B53412"/>
    <w:rsid w:val="00B60FE4"/>
    <w:rsid w:val="00B87720"/>
    <w:rsid w:val="00B937B8"/>
    <w:rsid w:val="00BD3537"/>
    <w:rsid w:val="00BF4C56"/>
    <w:rsid w:val="00C03B85"/>
    <w:rsid w:val="00C05F4C"/>
    <w:rsid w:val="00C10867"/>
    <w:rsid w:val="00C234FD"/>
    <w:rsid w:val="00C32463"/>
    <w:rsid w:val="00C359B8"/>
    <w:rsid w:val="00C67424"/>
    <w:rsid w:val="00C678A6"/>
    <w:rsid w:val="00C72694"/>
    <w:rsid w:val="00CF6991"/>
    <w:rsid w:val="00D4109F"/>
    <w:rsid w:val="00D51D7C"/>
    <w:rsid w:val="00D6111B"/>
    <w:rsid w:val="00D6295D"/>
    <w:rsid w:val="00D84FD5"/>
    <w:rsid w:val="00D860D1"/>
    <w:rsid w:val="00DB3E7D"/>
    <w:rsid w:val="00DC6D4E"/>
    <w:rsid w:val="00DD6BE4"/>
    <w:rsid w:val="00DD742F"/>
    <w:rsid w:val="00DE1AAD"/>
    <w:rsid w:val="00DF0001"/>
    <w:rsid w:val="00E32908"/>
    <w:rsid w:val="00E42AB4"/>
    <w:rsid w:val="00E446D4"/>
    <w:rsid w:val="00E5132A"/>
    <w:rsid w:val="00E53B68"/>
    <w:rsid w:val="00E6446E"/>
    <w:rsid w:val="00E8765F"/>
    <w:rsid w:val="00E9243D"/>
    <w:rsid w:val="00E92BE1"/>
    <w:rsid w:val="00EB4E7F"/>
    <w:rsid w:val="00F12ACC"/>
    <w:rsid w:val="00F15F32"/>
    <w:rsid w:val="00F27440"/>
    <w:rsid w:val="00F459DF"/>
    <w:rsid w:val="00F60134"/>
    <w:rsid w:val="00F73123"/>
    <w:rsid w:val="00F73C13"/>
    <w:rsid w:val="00F8197B"/>
    <w:rsid w:val="00FB3363"/>
    <w:rsid w:val="00FE3BD2"/>
    <w:rsid w:val="00FE5ED5"/>
    <w:rsid w:val="00FE6AB1"/>
    <w:rsid w:val="00FE74E1"/>
    <w:rsid w:val="00FF076C"/>
    <w:rsid w:val="00FF262F"/>
    <w:rsid w:val="00F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2IND1F">
    <w:name w:val="*TH BODY 2 IND 1: F"/>
    <w:basedOn w:val="Normal"/>
    <w:rsid w:val="00DF0001"/>
    <w:pPr>
      <w:spacing w:line="480" w:lineRule="auto"/>
      <w:ind w:firstLine="720"/>
    </w:pPr>
    <w:rPr>
      <w:bCs/>
      <w:color w:val="000000"/>
    </w:rPr>
  </w:style>
  <w:style w:type="paragraph" w:customStyle="1" w:styleId="THBODY2IND1FJ">
    <w:name w:val="*TH BODY 2 IND 1: F J"/>
    <w:basedOn w:val="Normal"/>
    <w:rsid w:val="00DF0001"/>
    <w:pPr>
      <w:spacing w:line="480" w:lineRule="auto"/>
      <w:ind w:firstLine="720"/>
      <w:jc w:val="both"/>
    </w:pPr>
    <w:rPr>
      <w:bCs/>
      <w:color w:val="000000"/>
      <w:szCs w:val="20"/>
    </w:rPr>
  </w:style>
  <w:style w:type="paragraph" w:styleId="Header">
    <w:name w:val="header"/>
    <w:basedOn w:val="Normal"/>
    <w:link w:val="HeaderChar"/>
    <w:uiPriority w:val="99"/>
    <w:unhideWhenUsed/>
    <w:rsid w:val="005D0E88"/>
    <w:pPr>
      <w:tabs>
        <w:tab w:val="center" w:pos="4680"/>
        <w:tab w:val="right" w:pos="9360"/>
      </w:tabs>
    </w:pPr>
  </w:style>
  <w:style w:type="character" w:customStyle="1" w:styleId="HeaderChar">
    <w:name w:val="Header Char"/>
    <w:basedOn w:val="DefaultParagraphFont"/>
    <w:link w:val="Header"/>
    <w:uiPriority w:val="99"/>
    <w:rsid w:val="005D0E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E88"/>
    <w:pPr>
      <w:tabs>
        <w:tab w:val="center" w:pos="4680"/>
        <w:tab w:val="right" w:pos="9360"/>
      </w:tabs>
    </w:pPr>
  </w:style>
  <w:style w:type="character" w:customStyle="1" w:styleId="FooterChar">
    <w:name w:val="Footer Char"/>
    <w:basedOn w:val="DefaultParagraphFont"/>
    <w:link w:val="Footer"/>
    <w:uiPriority w:val="99"/>
    <w:rsid w:val="005D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2015-11-03T12:49:00Z</dcterms:created>
  <dcterms:modified xsi:type="dcterms:W3CDTF">2015-11-03T13:24:00Z</dcterms:modified>
</cp:coreProperties>
</file>