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5768D7" w14:textId="77777777" w:rsidR="00A45E23" w:rsidRPr="0093110F" w:rsidRDefault="00A45E23" w:rsidP="00A45E23">
      <w:pPr>
        <w:jc w:val="center"/>
        <w:rPr>
          <w:rFonts w:eastAsia="Times New Roman" w:cs="Arial"/>
          <w:b/>
          <w:color w:val="000000"/>
        </w:rPr>
      </w:pPr>
      <w:r w:rsidRPr="0093110F">
        <w:rPr>
          <w:rFonts w:eastAsia="Times New Roman" w:cs="Arial"/>
          <w:b/>
          <w:color w:val="000000"/>
        </w:rPr>
        <w:t>BEFORE</w:t>
      </w:r>
    </w:p>
    <w:p w14:paraId="235DDB25" w14:textId="77777777" w:rsidR="00A45E23" w:rsidRPr="0093110F" w:rsidRDefault="00A45E23" w:rsidP="00A45E23">
      <w:pPr>
        <w:jc w:val="center"/>
        <w:rPr>
          <w:rFonts w:eastAsia="Times New Roman" w:cs="Arial"/>
          <w:b/>
          <w:color w:val="000000"/>
        </w:rPr>
      </w:pPr>
      <w:r w:rsidRPr="0093110F">
        <w:rPr>
          <w:rFonts w:eastAsia="Times New Roman" w:cs="Arial"/>
          <w:b/>
          <w:color w:val="000000"/>
        </w:rPr>
        <w:t>THE PUBLIC UTILITIES COMMISSION OF OHIO</w:t>
      </w:r>
    </w:p>
    <w:p w14:paraId="62ACE884" w14:textId="77777777" w:rsidR="00A45E23" w:rsidRPr="0093110F" w:rsidRDefault="00A45E23" w:rsidP="00A45E23">
      <w:pPr>
        <w:rPr>
          <w:rFonts w:eastAsia="Times New Roman" w:cs="Arial"/>
        </w:rPr>
      </w:pPr>
    </w:p>
    <w:p w14:paraId="1E60F422" w14:textId="77777777" w:rsidR="00A45E23" w:rsidRPr="0093110F" w:rsidRDefault="00A45E23" w:rsidP="00A45E23">
      <w:pPr>
        <w:rPr>
          <w:rFonts w:eastAsia="Times New Roman"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66"/>
        <w:gridCol w:w="4298"/>
      </w:tblGrid>
      <w:tr w:rsidR="00A45E23" w:rsidRPr="0093110F" w14:paraId="2517F35A" w14:textId="77777777" w:rsidTr="00973895">
        <w:trPr>
          <w:trHeight w:val="277"/>
        </w:trPr>
        <w:tc>
          <w:tcPr>
            <w:tcW w:w="4549" w:type="dxa"/>
            <w:vMerge w:val="restart"/>
          </w:tcPr>
          <w:p w14:paraId="08829093" w14:textId="77777777" w:rsidR="00A45E23" w:rsidRPr="0093110F" w:rsidRDefault="00A45E23" w:rsidP="00973895">
            <w:pPr>
              <w:rPr>
                <w:rFonts w:eastAsia="Times New Roman" w:cs="Arial"/>
              </w:rPr>
            </w:pPr>
            <w:r>
              <w:rPr>
                <w:rFonts w:eastAsia="Times New Roman" w:cs="Arial"/>
              </w:rPr>
              <w:t>In the Matter of the Commission’s Investigation of Submetering in the State of Ohio</w:t>
            </w:r>
          </w:p>
        </w:tc>
        <w:tc>
          <w:tcPr>
            <w:tcW w:w="466" w:type="dxa"/>
          </w:tcPr>
          <w:p w14:paraId="13F1112D" w14:textId="77777777" w:rsidR="00A45E23" w:rsidRPr="0093110F" w:rsidRDefault="00A45E23" w:rsidP="00973895">
            <w:pPr>
              <w:rPr>
                <w:rFonts w:eastAsia="Times New Roman" w:cs="Arial"/>
              </w:rPr>
            </w:pPr>
            <w:r>
              <w:rPr>
                <w:rFonts w:eastAsia="Times New Roman" w:cs="Arial"/>
              </w:rPr>
              <w:t>)</w:t>
            </w:r>
          </w:p>
        </w:tc>
        <w:tc>
          <w:tcPr>
            <w:tcW w:w="4298" w:type="dxa"/>
          </w:tcPr>
          <w:p w14:paraId="222CA08D" w14:textId="77777777" w:rsidR="00A45E23" w:rsidRPr="0093110F" w:rsidRDefault="00A45E23" w:rsidP="00973895">
            <w:pPr>
              <w:rPr>
                <w:rFonts w:eastAsia="Times New Roman" w:cs="Arial"/>
              </w:rPr>
            </w:pPr>
          </w:p>
        </w:tc>
      </w:tr>
      <w:tr w:rsidR="00A45E23" w:rsidRPr="0093110F" w14:paraId="4CE7F558" w14:textId="77777777" w:rsidTr="00973895">
        <w:trPr>
          <w:trHeight w:val="269"/>
        </w:trPr>
        <w:tc>
          <w:tcPr>
            <w:tcW w:w="4549" w:type="dxa"/>
            <w:vMerge/>
          </w:tcPr>
          <w:p w14:paraId="22DF8B07" w14:textId="77777777" w:rsidR="00A45E23" w:rsidRPr="0093110F" w:rsidRDefault="00A45E23" w:rsidP="00973895">
            <w:pPr>
              <w:rPr>
                <w:rFonts w:eastAsia="Times New Roman" w:cs="Arial"/>
              </w:rPr>
            </w:pPr>
          </w:p>
        </w:tc>
        <w:tc>
          <w:tcPr>
            <w:tcW w:w="466" w:type="dxa"/>
          </w:tcPr>
          <w:p w14:paraId="74E56262" w14:textId="77777777" w:rsidR="00A45E23" w:rsidRPr="0093110F" w:rsidRDefault="00A45E23" w:rsidP="00973895">
            <w:pPr>
              <w:rPr>
                <w:rFonts w:eastAsia="Times New Roman" w:cs="Arial"/>
              </w:rPr>
            </w:pPr>
            <w:r>
              <w:rPr>
                <w:rFonts w:eastAsia="Times New Roman" w:cs="Arial"/>
              </w:rPr>
              <w:t>)</w:t>
            </w:r>
          </w:p>
        </w:tc>
        <w:tc>
          <w:tcPr>
            <w:tcW w:w="4298" w:type="dxa"/>
          </w:tcPr>
          <w:p w14:paraId="1EFC3773" w14:textId="77777777" w:rsidR="00A45E23" w:rsidRPr="0093110F" w:rsidRDefault="00A45E23" w:rsidP="00973895">
            <w:pPr>
              <w:rPr>
                <w:rFonts w:eastAsia="Times New Roman" w:cs="Arial"/>
              </w:rPr>
            </w:pPr>
            <w:r>
              <w:rPr>
                <w:rFonts w:eastAsia="Times New Roman" w:cs="Arial"/>
              </w:rPr>
              <w:t>Case No. 15-1594-AU-COI</w:t>
            </w:r>
          </w:p>
        </w:tc>
      </w:tr>
      <w:tr w:rsidR="00A45E23" w:rsidRPr="0093110F" w14:paraId="0E8A1740" w14:textId="77777777" w:rsidTr="00973895">
        <w:trPr>
          <w:trHeight w:val="277"/>
        </w:trPr>
        <w:tc>
          <w:tcPr>
            <w:tcW w:w="4549" w:type="dxa"/>
            <w:vMerge/>
          </w:tcPr>
          <w:p w14:paraId="79BBFE24" w14:textId="77777777" w:rsidR="00A45E23" w:rsidRPr="0093110F" w:rsidRDefault="00A45E23" w:rsidP="00973895">
            <w:pPr>
              <w:rPr>
                <w:rFonts w:eastAsia="Times New Roman" w:cs="Arial"/>
              </w:rPr>
            </w:pPr>
          </w:p>
        </w:tc>
        <w:tc>
          <w:tcPr>
            <w:tcW w:w="466" w:type="dxa"/>
          </w:tcPr>
          <w:p w14:paraId="3C11AEBA" w14:textId="77777777" w:rsidR="00A45E23" w:rsidRPr="0093110F" w:rsidRDefault="00A45E23" w:rsidP="00973895">
            <w:pPr>
              <w:rPr>
                <w:rFonts w:eastAsia="Times New Roman" w:cs="Arial"/>
              </w:rPr>
            </w:pPr>
            <w:r>
              <w:rPr>
                <w:rFonts w:eastAsia="Times New Roman" w:cs="Arial"/>
              </w:rPr>
              <w:t>)</w:t>
            </w:r>
          </w:p>
        </w:tc>
        <w:tc>
          <w:tcPr>
            <w:tcW w:w="4298" w:type="dxa"/>
          </w:tcPr>
          <w:p w14:paraId="0D68F4F5" w14:textId="77777777" w:rsidR="00A45E23" w:rsidRPr="0093110F" w:rsidRDefault="00A45E23" w:rsidP="00973895">
            <w:pPr>
              <w:rPr>
                <w:rFonts w:eastAsia="Times New Roman" w:cs="Arial"/>
              </w:rPr>
            </w:pPr>
          </w:p>
        </w:tc>
      </w:tr>
    </w:tbl>
    <w:p w14:paraId="62AAA739" w14:textId="77777777" w:rsidR="00A45E23" w:rsidRDefault="00A45E23" w:rsidP="00A45E23">
      <w:pPr>
        <w:spacing w:line="276" w:lineRule="auto"/>
        <w:rPr>
          <w:rFonts w:eastAsia="Calibri" w:cs="Arial"/>
        </w:rPr>
      </w:pPr>
    </w:p>
    <w:p w14:paraId="47DE1FA8" w14:textId="77777777" w:rsidR="00A45E23" w:rsidRPr="0093110F" w:rsidRDefault="00A45E23" w:rsidP="00A45E23">
      <w:pPr>
        <w:spacing w:line="276" w:lineRule="auto"/>
        <w:rPr>
          <w:rFonts w:eastAsia="Calibri" w:cs="Arial"/>
        </w:rPr>
      </w:pPr>
    </w:p>
    <w:p w14:paraId="2F7143BA" w14:textId="77777777" w:rsidR="00A45E23" w:rsidRPr="0093110F" w:rsidRDefault="00A45E23" w:rsidP="00A45E23">
      <w:pPr>
        <w:pBdr>
          <w:top w:val="single" w:sz="12" w:space="1" w:color="auto"/>
        </w:pBdr>
        <w:jc w:val="center"/>
        <w:rPr>
          <w:rFonts w:eastAsia="Calibri" w:cs="Arial"/>
          <w:b/>
          <w:szCs w:val="22"/>
        </w:rPr>
      </w:pPr>
    </w:p>
    <w:p w14:paraId="27400C4A" w14:textId="77777777" w:rsidR="00A45E23" w:rsidRPr="00973895" w:rsidRDefault="00A45E23" w:rsidP="00A45E23">
      <w:pPr>
        <w:jc w:val="center"/>
        <w:rPr>
          <w:b/>
        </w:rPr>
      </w:pPr>
      <w:r w:rsidRPr="00973895">
        <w:rPr>
          <w:b/>
        </w:rPr>
        <w:t>APPLICATION FOR REHEARING AND MEMORANDUM IN SUPPORT OF</w:t>
      </w:r>
    </w:p>
    <w:p w14:paraId="5F2444ED" w14:textId="5B4B1E73" w:rsidR="00A45E23" w:rsidRPr="00973895" w:rsidRDefault="00A45E23" w:rsidP="00A45E23">
      <w:pPr>
        <w:jc w:val="center"/>
        <w:rPr>
          <w:b/>
        </w:rPr>
      </w:pPr>
      <w:r w:rsidRPr="00973895">
        <w:rPr>
          <w:b/>
        </w:rPr>
        <w:t>INDUSTRIAL ENERGY USERS-OHIO</w:t>
      </w:r>
      <w:r w:rsidR="004C7642">
        <w:rPr>
          <w:b/>
        </w:rPr>
        <w:t xml:space="preserve">, OHIO HOSPITAL </w:t>
      </w:r>
      <w:r w:rsidR="00C516D6">
        <w:rPr>
          <w:b/>
        </w:rPr>
        <w:t>ASSOCIATION</w:t>
      </w:r>
      <w:r w:rsidR="004C7642">
        <w:rPr>
          <w:b/>
        </w:rPr>
        <w:t xml:space="preserve"> AND OHIO MANUFACTURERS’ ASSOCIATION</w:t>
      </w:r>
    </w:p>
    <w:p w14:paraId="0D753455" w14:textId="77777777" w:rsidR="00A45E23" w:rsidRPr="0093110F" w:rsidRDefault="00A45E23" w:rsidP="00A45E23">
      <w:pPr>
        <w:pBdr>
          <w:bottom w:val="single" w:sz="12" w:space="1" w:color="auto"/>
        </w:pBdr>
        <w:jc w:val="center"/>
        <w:rPr>
          <w:rFonts w:eastAsia="Calibri" w:cs="Arial"/>
          <w:b/>
          <w:szCs w:val="22"/>
        </w:rPr>
      </w:pPr>
    </w:p>
    <w:p w14:paraId="79F4BFDF" w14:textId="77777777" w:rsidR="00A45E23" w:rsidRDefault="00A45E23" w:rsidP="00A45E23"/>
    <w:p w14:paraId="3D71BBC8" w14:textId="77777777" w:rsidR="00A45E23" w:rsidRDefault="00A45E23" w:rsidP="00A45E23"/>
    <w:p w14:paraId="43532608" w14:textId="77777777" w:rsidR="00A45E23" w:rsidRDefault="00A45E23" w:rsidP="00A45E23"/>
    <w:p w14:paraId="67E6CE4E" w14:textId="77777777" w:rsidR="00A45E23" w:rsidRDefault="00A45E23" w:rsidP="00A45E23"/>
    <w:p w14:paraId="5FDD01D1" w14:textId="77777777" w:rsidR="00A45E23" w:rsidRDefault="00A45E23" w:rsidP="00A45E23">
      <w:pPr>
        <w:widowControl w:val="0"/>
        <w:ind w:left="4320"/>
        <w:rPr>
          <w:rFonts w:eastAsia="Calibri" w:cs="Arial"/>
          <w:bCs/>
        </w:rPr>
      </w:pPr>
      <w:r>
        <w:rPr>
          <w:rFonts w:eastAsia="Calibri" w:cs="Arial"/>
          <w:bCs/>
        </w:rPr>
        <w:t>Frank P. Darr (Reg. No. 0025469)</w:t>
      </w:r>
    </w:p>
    <w:p w14:paraId="3C9B8684" w14:textId="77777777" w:rsidR="00A45E23" w:rsidRDefault="00A45E23" w:rsidP="00A45E23">
      <w:pPr>
        <w:widowControl w:val="0"/>
        <w:ind w:left="4320"/>
        <w:rPr>
          <w:rFonts w:eastAsia="Calibri" w:cs="Arial"/>
          <w:bCs/>
        </w:rPr>
      </w:pPr>
      <w:r>
        <w:rPr>
          <w:rFonts w:eastAsia="Calibri" w:cs="Arial"/>
          <w:bCs/>
        </w:rPr>
        <w:t>(Counsel of Record)</w:t>
      </w:r>
    </w:p>
    <w:p w14:paraId="35845CC1" w14:textId="77777777" w:rsidR="00A45E23" w:rsidRDefault="00A45E23" w:rsidP="00A45E23">
      <w:pPr>
        <w:widowControl w:val="0"/>
        <w:ind w:left="4320"/>
        <w:rPr>
          <w:rFonts w:eastAsia="Calibri" w:cs="Arial"/>
          <w:b/>
          <w:bCs/>
        </w:rPr>
      </w:pPr>
      <w:r>
        <w:rPr>
          <w:rFonts w:eastAsia="Calibri" w:cs="Arial"/>
          <w:bCs/>
        </w:rPr>
        <w:t>Matthew R. Pritchard (Reg. No. 0088070)</w:t>
      </w:r>
    </w:p>
    <w:p w14:paraId="31E73A0C" w14:textId="77777777" w:rsidR="00A45E23" w:rsidRDefault="00A45E23" w:rsidP="00A45E23">
      <w:pPr>
        <w:widowControl w:val="0"/>
        <w:ind w:left="4320"/>
        <w:rPr>
          <w:rFonts w:eastAsia="Calibri" w:cs="Arial"/>
          <w:b/>
          <w:bCs/>
          <w:smallCaps/>
        </w:rPr>
      </w:pPr>
      <w:r>
        <w:rPr>
          <w:rFonts w:eastAsia="Calibri" w:cs="Arial"/>
          <w:bCs/>
          <w:smallCaps/>
        </w:rPr>
        <w:t>McNees Wallace &amp; Nurick LLC</w:t>
      </w:r>
    </w:p>
    <w:p w14:paraId="0EAAA159" w14:textId="77777777" w:rsidR="00A45E23" w:rsidRDefault="00A45E23" w:rsidP="00A45E23">
      <w:pPr>
        <w:widowControl w:val="0"/>
        <w:ind w:left="4320"/>
        <w:rPr>
          <w:rFonts w:eastAsia="Calibri" w:cs="Arial"/>
          <w:b/>
          <w:bCs/>
        </w:rPr>
      </w:pPr>
      <w:r>
        <w:rPr>
          <w:rFonts w:eastAsia="Calibri" w:cs="Arial"/>
          <w:bCs/>
        </w:rPr>
        <w:t>21 East State Street, 17</w:t>
      </w:r>
      <w:r>
        <w:rPr>
          <w:rFonts w:eastAsia="Calibri" w:cs="Arial"/>
          <w:bCs/>
          <w:vertAlign w:val="superscript"/>
        </w:rPr>
        <w:t>TH</w:t>
      </w:r>
      <w:r>
        <w:rPr>
          <w:rFonts w:eastAsia="Calibri" w:cs="Arial"/>
          <w:bCs/>
        </w:rPr>
        <w:t xml:space="preserve"> Floor</w:t>
      </w:r>
    </w:p>
    <w:p w14:paraId="42FC95A5" w14:textId="77777777" w:rsidR="00A45E23" w:rsidRDefault="00A45E23" w:rsidP="00A45E23">
      <w:pPr>
        <w:tabs>
          <w:tab w:val="left" w:pos="-1440"/>
          <w:tab w:val="left" w:pos="-720"/>
          <w:tab w:val="left" w:pos="5040"/>
          <w:tab w:val="center" w:pos="7200"/>
        </w:tabs>
        <w:overflowPunct w:val="0"/>
        <w:autoSpaceDE w:val="0"/>
        <w:autoSpaceDN w:val="0"/>
        <w:adjustRightInd w:val="0"/>
        <w:ind w:left="4320"/>
        <w:rPr>
          <w:rFonts w:eastAsia="Calibri" w:cs="Arial"/>
        </w:rPr>
      </w:pPr>
      <w:r>
        <w:rPr>
          <w:rFonts w:eastAsia="Calibri" w:cs="Arial"/>
        </w:rPr>
        <w:t>Columbus, OH  43215</w:t>
      </w:r>
    </w:p>
    <w:p w14:paraId="6F05AB43" w14:textId="77777777" w:rsidR="00A45E23" w:rsidRDefault="00A45E23" w:rsidP="00A45E23">
      <w:pPr>
        <w:tabs>
          <w:tab w:val="left" w:pos="-1440"/>
          <w:tab w:val="left" w:pos="-720"/>
          <w:tab w:val="left" w:pos="5040"/>
          <w:tab w:val="center" w:pos="7200"/>
        </w:tabs>
        <w:overflowPunct w:val="0"/>
        <w:autoSpaceDE w:val="0"/>
        <w:autoSpaceDN w:val="0"/>
        <w:adjustRightInd w:val="0"/>
        <w:ind w:left="4320"/>
        <w:rPr>
          <w:rFonts w:eastAsia="Calibri" w:cs="Arial"/>
        </w:rPr>
      </w:pPr>
      <w:r>
        <w:rPr>
          <w:rFonts w:eastAsia="Calibri" w:cs="Arial"/>
        </w:rPr>
        <w:t>Telephone:  (614) 469-8000</w:t>
      </w:r>
    </w:p>
    <w:p w14:paraId="47881EC1" w14:textId="77777777" w:rsidR="00A45E23" w:rsidRDefault="00A45E23" w:rsidP="00A45E23">
      <w:pPr>
        <w:tabs>
          <w:tab w:val="left" w:pos="-1440"/>
          <w:tab w:val="left" w:pos="-720"/>
          <w:tab w:val="left" w:pos="5040"/>
          <w:tab w:val="center" w:pos="7200"/>
        </w:tabs>
        <w:overflowPunct w:val="0"/>
        <w:autoSpaceDE w:val="0"/>
        <w:autoSpaceDN w:val="0"/>
        <w:adjustRightInd w:val="0"/>
        <w:ind w:left="4320"/>
        <w:rPr>
          <w:rFonts w:eastAsia="Calibri" w:cs="Arial"/>
          <w:color w:val="000000"/>
        </w:rPr>
      </w:pPr>
      <w:r>
        <w:rPr>
          <w:rFonts w:eastAsia="Calibri" w:cs="Arial"/>
          <w:color w:val="000000"/>
        </w:rPr>
        <w:t>Telecopier:  (614) 469-4653</w:t>
      </w:r>
    </w:p>
    <w:p w14:paraId="4C109DDE" w14:textId="77777777" w:rsidR="00A45E23" w:rsidRDefault="00A45E23" w:rsidP="00A45E23">
      <w:pPr>
        <w:tabs>
          <w:tab w:val="left" w:pos="-1440"/>
          <w:tab w:val="left" w:pos="-720"/>
          <w:tab w:val="left" w:pos="5040"/>
          <w:tab w:val="center" w:pos="7200"/>
        </w:tabs>
        <w:overflowPunct w:val="0"/>
        <w:autoSpaceDE w:val="0"/>
        <w:autoSpaceDN w:val="0"/>
        <w:adjustRightInd w:val="0"/>
        <w:ind w:left="4320"/>
        <w:rPr>
          <w:rFonts w:eastAsia="Calibri" w:cs="Arial"/>
          <w:color w:val="000000"/>
        </w:rPr>
      </w:pPr>
      <w:r>
        <w:rPr>
          <w:rFonts w:eastAsia="Calibri" w:cs="Arial"/>
        </w:rPr>
        <w:t>fdarr@mwncmh.com</w:t>
      </w:r>
    </w:p>
    <w:p w14:paraId="348519A0" w14:textId="77777777" w:rsidR="00A45E23" w:rsidRDefault="00A45E23" w:rsidP="00A45E23">
      <w:pPr>
        <w:tabs>
          <w:tab w:val="left" w:pos="-1440"/>
          <w:tab w:val="left" w:pos="-720"/>
          <w:tab w:val="left" w:pos="5040"/>
          <w:tab w:val="center" w:pos="7200"/>
        </w:tabs>
        <w:overflowPunct w:val="0"/>
        <w:autoSpaceDE w:val="0"/>
        <w:autoSpaceDN w:val="0"/>
        <w:adjustRightInd w:val="0"/>
        <w:ind w:left="4320"/>
        <w:rPr>
          <w:rFonts w:eastAsia="Calibri" w:cs="Arial"/>
          <w:color w:val="000000"/>
        </w:rPr>
      </w:pPr>
      <w:r>
        <w:rPr>
          <w:rFonts w:eastAsia="Calibri" w:cs="Arial"/>
          <w:color w:val="000000"/>
        </w:rPr>
        <w:t>(willing to accept service by e-mail)</w:t>
      </w:r>
    </w:p>
    <w:p w14:paraId="7134F001" w14:textId="77777777" w:rsidR="00A45E23" w:rsidRDefault="00A45E23" w:rsidP="00A45E23">
      <w:pPr>
        <w:tabs>
          <w:tab w:val="left" w:pos="-1440"/>
          <w:tab w:val="left" w:pos="-720"/>
          <w:tab w:val="left" w:pos="5040"/>
          <w:tab w:val="center" w:pos="7200"/>
        </w:tabs>
        <w:overflowPunct w:val="0"/>
        <w:autoSpaceDE w:val="0"/>
        <w:autoSpaceDN w:val="0"/>
        <w:adjustRightInd w:val="0"/>
        <w:ind w:left="4320"/>
        <w:rPr>
          <w:rFonts w:eastAsia="Calibri" w:cs="Arial"/>
          <w:smallCaps/>
          <w:color w:val="000000"/>
        </w:rPr>
      </w:pPr>
      <w:r>
        <w:rPr>
          <w:rFonts w:eastAsia="Calibri" w:cs="Arial"/>
          <w:color w:val="000000"/>
        </w:rPr>
        <w:t>mpritchard@mwncmh.com</w:t>
      </w:r>
    </w:p>
    <w:p w14:paraId="16E85140" w14:textId="77777777" w:rsidR="00A45E23" w:rsidRDefault="00A45E23" w:rsidP="00A45E23">
      <w:pPr>
        <w:tabs>
          <w:tab w:val="left" w:pos="-1440"/>
          <w:tab w:val="left" w:pos="-720"/>
          <w:tab w:val="left" w:pos="5040"/>
          <w:tab w:val="center" w:pos="7200"/>
        </w:tabs>
        <w:overflowPunct w:val="0"/>
        <w:autoSpaceDE w:val="0"/>
        <w:autoSpaceDN w:val="0"/>
        <w:adjustRightInd w:val="0"/>
        <w:ind w:left="4320"/>
        <w:rPr>
          <w:rFonts w:eastAsia="Calibri" w:cs="Arial"/>
          <w:color w:val="000000"/>
        </w:rPr>
      </w:pPr>
      <w:r>
        <w:rPr>
          <w:rFonts w:eastAsia="Calibri" w:cs="Arial"/>
          <w:color w:val="000000"/>
        </w:rPr>
        <w:t>(willing to accept service by e-mail)</w:t>
      </w:r>
    </w:p>
    <w:p w14:paraId="6981B387" w14:textId="77777777" w:rsidR="00A45E23" w:rsidRDefault="00A45E23" w:rsidP="00A45E23">
      <w:pPr>
        <w:tabs>
          <w:tab w:val="left" w:pos="-1440"/>
          <w:tab w:val="left" w:pos="-720"/>
          <w:tab w:val="left" w:pos="5040"/>
          <w:tab w:val="center" w:pos="7200"/>
        </w:tabs>
        <w:overflowPunct w:val="0"/>
        <w:autoSpaceDE w:val="0"/>
        <w:autoSpaceDN w:val="0"/>
        <w:adjustRightInd w:val="0"/>
        <w:ind w:left="4320"/>
        <w:rPr>
          <w:rFonts w:eastAsia="Calibri" w:cs="Arial"/>
          <w:color w:val="000000"/>
        </w:rPr>
      </w:pPr>
    </w:p>
    <w:p w14:paraId="2D28F883" w14:textId="301AB1EC" w:rsidR="008777D1" w:rsidRDefault="003B7EA6" w:rsidP="005D3EA8">
      <w:pPr>
        <w:jc w:val="center"/>
        <w:rPr>
          <w:rFonts w:cs="Arial"/>
          <w:b/>
          <w:smallCaps/>
          <w:color w:val="000000"/>
        </w:rPr>
      </w:pPr>
      <w:r>
        <w:rPr>
          <w:rFonts w:cs="Arial"/>
          <w:b/>
          <w:smallCaps/>
          <w:color w:val="000000"/>
        </w:rPr>
        <w:tab/>
      </w:r>
      <w:r>
        <w:rPr>
          <w:rFonts w:cs="Arial"/>
          <w:b/>
          <w:smallCaps/>
          <w:color w:val="000000"/>
        </w:rPr>
        <w:tab/>
      </w:r>
      <w:r w:rsidR="00A45E23">
        <w:rPr>
          <w:rFonts w:cs="Arial"/>
          <w:b/>
          <w:smallCaps/>
          <w:color w:val="000000"/>
        </w:rPr>
        <w:tab/>
      </w:r>
      <w:r w:rsidR="00A45E23">
        <w:rPr>
          <w:rFonts w:cs="Arial"/>
          <w:b/>
          <w:smallCaps/>
          <w:color w:val="000000"/>
        </w:rPr>
        <w:tab/>
      </w:r>
      <w:r w:rsidR="00A45E23">
        <w:rPr>
          <w:rFonts w:cs="Arial"/>
          <w:b/>
          <w:smallCaps/>
          <w:color w:val="000000"/>
        </w:rPr>
        <w:tab/>
      </w:r>
      <w:r w:rsidR="00A45E23">
        <w:rPr>
          <w:rFonts w:cs="Arial"/>
          <w:b/>
          <w:smallCaps/>
          <w:color w:val="000000"/>
        </w:rPr>
        <w:tab/>
        <w:t>On Behalf of Industrial Energy Users-Ohio</w:t>
      </w:r>
    </w:p>
    <w:p w14:paraId="5D213D5B" w14:textId="7F3399A7" w:rsidR="0000766E" w:rsidRPr="00170AE7" w:rsidRDefault="0000766E" w:rsidP="00170AE7">
      <w:pPr>
        <w:tabs>
          <w:tab w:val="left" w:pos="-1440"/>
          <w:tab w:val="left" w:pos="-720"/>
          <w:tab w:val="left" w:pos="4320"/>
          <w:tab w:val="left" w:pos="7920"/>
        </w:tabs>
        <w:ind w:left="3600"/>
        <w:rPr>
          <w:rFonts w:eastAsia="PMingLiU" w:cs="Arial"/>
        </w:rPr>
      </w:pPr>
      <w:r>
        <w:rPr>
          <w:rFonts w:cs="Arial"/>
          <w:b/>
          <w:smallCaps/>
          <w:color w:val="000000"/>
        </w:rPr>
        <w:tab/>
      </w:r>
    </w:p>
    <w:p w14:paraId="0DCB6091" w14:textId="4C376674" w:rsidR="0000766E" w:rsidRPr="00170AE7" w:rsidRDefault="0079346F" w:rsidP="0079346F">
      <w:pPr>
        <w:tabs>
          <w:tab w:val="left" w:pos="-1440"/>
          <w:tab w:val="left" w:pos="-720"/>
          <w:tab w:val="left" w:pos="4320"/>
          <w:tab w:val="left" w:pos="4779"/>
          <w:tab w:val="left" w:pos="7920"/>
        </w:tabs>
        <w:ind w:left="3600"/>
        <w:rPr>
          <w:rFonts w:eastAsia="PMingLiU" w:cs="Arial"/>
        </w:rPr>
      </w:pPr>
      <w:r>
        <w:rPr>
          <w:rFonts w:eastAsia="PMingLiU" w:cs="Arial"/>
        </w:rPr>
        <w:tab/>
      </w:r>
      <w:r w:rsidR="0000766E" w:rsidRPr="00170AE7">
        <w:rPr>
          <w:rFonts w:eastAsia="PMingLiU" w:cs="Arial"/>
        </w:rPr>
        <w:t>Richard L. Sites</w:t>
      </w:r>
    </w:p>
    <w:p w14:paraId="4E4457D1" w14:textId="04624770" w:rsidR="0000766E" w:rsidRPr="00170AE7" w:rsidRDefault="0079346F" w:rsidP="0079346F">
      <w:pPr>
        <w:tabs>
          <w:tab w:val="left" w:pos="4320"/>
          <w:tab w:val="left" w:pos="4779"/>
          <w:tab w:val="left" w:pos="7920"/>
        </w:tabs>
        <w:autoSpaceDE w:val="0"/>
        <w:autoSpaceDN w:val="0"/>
        <w:adjustRightInd w:val="0"/>
        <w:ind w:left="3600"/>
        <w:rPr>
          <w:rFonts w:eastAsia="PMingLiU" w:cs="Arial"/>
        </w:rPr>
      </w:pPr>
      <w:r>
        <w:rPr>
          <w:rFonts w:eastAsia="PMingLiU" w:cs="Arial"/>
        </w:rPr>
        <w:tab/>
      </w:r>
      <w:r w:rsidR="0000766E" w:rsidRPr="00170AE7">
        <w:rPr>
          <w:rFonts w:eastAsia="PMingLiU" w:cs="Arial"/>
        </w:rPr>
        <w:t>Regulatory Counsel</w:t>
      </w:r>
    </w:p>
    <w:p w14:paraId="2EE9CF28" w14:textId="662C16DC" w:rsidR="0000766E" w:rsidRPr="00B17E87" w:rsidRDefault="0079346F" w:rsidP="0079346F">
      <w:pPr>
        <w:tabs>
          <w:tab w:val="left" w:pos="4320"/>
          <w:tab w:val="left" w:pos="4779"/>
          <w:tab w:val="left" w:pos="7920"/>
        </w:tabs>
        <w:autoSpaceDE w:val="0"/>
        <w:autoSpaceDN w:val="0"/>
        <w:adjustRightInd w:val="0"/>
        <w:ind w:left="3600"/>
        <w:rPr>
          <w:rFonts w:eastAsia="PMingLiU" w:cs="Arial"/>
          <w:smallCaps/>
        </w:rPr>
      </w:pPr>
      <w:r>
        <w:rPr>
          <w:rFonts w:eastAsia="PMingLiU" w:cs="Arial"/>
        </w:rPr>
        <w:tab/>
      </w:r>
      <w:r w:rsidR="00B17E87">
        <w:rPr>
          <w:rFonts w:eastAsia="PMingLiU" w:cs="Arial"/>
          <w:smallCaps/>
        </w:rPr>
        <w:t>Ohio Hospital Association</w:t>
      </w:r>
    </w:p>
    <w:p w14:paraId="5ABD1064" w14:textId="4B89E1AA" w:rsidR="0000766E" w:rsidRPr="00170AE7" w:rsidRDefault="0079346F" w:rsidP="0079346F">
      <w:pPr>
        <w:tabs>
          <w:tab w:val="left" w:pos="-1440"/>
          <w:tab w:val="left" w:pos="-720"/>
          <w:tab w:val="left" w:pos="4320"/>
          <w:tab w:val="left" w:pos="4779"/>
          <w:tab w:val="left" w:pos="7920"/>
        </w:tabs>
        <w:ind w:left="3600"/>
        <w:rPr>
          <w:rFonts w:eastAsia="PMingLiU" w:cs="Arial"/>
        </w:rPr>
      </w:pPr>
      <w:r>
        <w:rPr>
          <w:rFonts w:eastAsia="PMingLiU" w:cs="Arial"/>
        </w:rPr>
        <w:tab/>
      </w:r>
      <w:r w:rsidR="0000766E" w:rsidRPr="00170AE7">
        <w:rPr>
          <w:rFonts w:eastAsia="PMingLiU" w:cs="Arial"/>
        </w:rPr>
        <w:t>155 East Broad Street, 3</w:t>
      </w:r>
      <w:r w:rsidR="0000766E" w:rsidRPr="00170AE7">
        <w:rPr>
          <w:rFonts w:eastAsia="PMingLiU" w:cs="Arial"/>
          <w:vertAlign w:val="superscript"/>
        </w:rPr>
        <w:t>rd</w:t>
      </w:r>
      <w:r w:rsidR="0000766E" w:rsidRPr="00170AE7">
        <w:rPr>
          <w:rFonts w:eastAsia="PMingLiU" w:cs="Arial"/>
        </w:rPr>
        <w:t xml:space="preserve"> Floor</w:t>
      </w:r>
    </w:p>
    <w:p w14:paraId="222AA485" w14:textId="03A31E9D" w:rsidR="0000766E" w:rsidRPr="00170AE7" w:rsidRDefault="0079346F" w:rsidP="0079346F">
      <w:pPr>
        <w:tabs>
          <w:tab w:val="left" w:pos="-1440"/>
          <w:tab w:val="left" w:pos="-720"/>
          <w:tab w:val="left" w:pos="4320"/>
          <w:tab w:val="left" w:pos="4779"/>
          <w:tab w:val="left" w:pos="7920"/>
        </w:tabs>
        <w:ind w:left="3600"/>
        <w:rPr>
          <w:rFonts w:eastAsia="PMingLiU" w:cs="Arial"/>
        </w:rPr>
      </w:pPr>
      <w:r>
        <w:rPr>
          <w:rFonts w:eastAsia="PMingLiU" w:cs="Arial"/>
        </w:rPr>
        <w:tab/>
      </w:r>
      <w:r w:rsidR="0000766E" w:rsidRPr="00170AE7">
        <w:rPr>
          <w:rFonts w:eastAsia="PMingLiU" w:cs="Arial"/>
        </w:rPr>
        <w:t>Columbus, OH 43215-3620</w:t>
      </w:r>
    </w:p>
    <w:p w14:paraId="58F65423" w14:textId="23DA1712" w:rsidR="0000766E" w:rsidRPr="00170AE7" w:rsidRDefault="0079346F" w:rsidP="0079346F">
      <w:pPr>
        <w:tabs>
          <w:tab w:val="left" w:pos="4320"/>
          <w:tab w:val="left" w:pos="4779"/>
          <w:tab w:val="left" w:pos="7920"/>
        </w:tabs>
        <w:ind w:left="3600"/>
        <w:rPr>
          <w:rFonts w:eastAsia="PMingLiU" w:cs="Arial"/>
        </w:rPr>
      </w:pPr>
      <w:r>
        <w:rPr>
          <w:rFonts w:eastAsia="PMingLiU" w:cs="Arial"/>
        </w:rPr>
        <w:tab/>
      </w:r>
      <w:r w:rsidRPr="005D3EA8">
        <w:rPr>
          <w:rFonts w:eastAsia="PMingLiU" w:cs="Arial"/>
        </w:rPr>
        <w:t xml:space="preserve">Telephone: </w:t>
      </w:r>
      <w:r>
        <w:rPr>
          <w:rFonts w:eastAsia="PMingLiU" w:cs="Arial"/>
        </w:rPr>
        <w:t xml:space="preserve"> </w:t>
      </w:r>
      <w:r w:rsidR="0000766E" w:rsidRPr="00170AE7">
        <w:rPr>
          <w:rFonts w:eastAsia="PMingLiU" w:cs="Arial"/>
        </w:rPr>
        <w:t>(614) 221-7614</w:t>
      </w:r>
    </w:p>
    <w:p w14:paraId="7D06AA0A" w14:textId="00B3E390" w:rsidR="0000766E" w:rsidRPr="00170AE7" w:rsidRDefault="0079346F" w:rsidP="0079346F">
      <w:pPr>
        <w:tabs>
          <w:tab w:val="left" w:pos="4320"/>
          <w:tab w:val="left" w:pos="4779"/>
          <w:tab w:val="left" w:pos="7920"/>
        </w:tabs>
        <w:ind w:left="3600"/>
        <w:rPr>
          <w:rFonts w:eastAsia="PMingLiU" w:cs="Arial"/>
        </w:rPr>
      </w:pPr>
      <w:r>
        <w:rPr>
          <w:rFonts w:eastAsia="PMingLiU" w:cs="Arial"/>
        </w:rPr>
        <w:tab/>
      </w:r>
      <w:r w:rsidRPr="005D3EA8">
        <w:rPr>
          <w:rFonts w:eastAsia="PMingLiU" w:cs="Arial"/>
        </w:rPr>
        <w:t xml:space="preserve">Facsimile:  </w:t>
      </w:r>
      <w:r w:rsidR="0000766E" w:rsidRPr="00170AE7">
        <w:rPr>
          <w:rFonts w:eastAsia="PMingLiU" w:cs="Arial"/>
        </w:rPr>
        <w:t>(614) 221-4771</w:t>
      </w:r>
    </w:p>
    <w:p w14:paraId="03B62DFC" w14:textId="433FBC9D" w:rsidR="0000766E" w:rsidRDefault="0079346F" w:rsidP="00170AE7">
      <w:pPr>
        <w:tabs>
          <w:tab w:val="left" w:pos="-1440"/>
          <w:tab w:val="left" w:pos="-720"/>
          <w:tab w:val="left" w:pos="4320"/>
          <w:tab w:val="left" w:pos="4779"/>
          <w:tab w:val="left" w:pos="7920"/>
        </w:tabs>
        <w:ind w:left="3600"/>
        <w:rPr>
          <w:rFonts w:eastAsia="PMingLiU" w:cs="Arial"/>
        </w:rPr>
      </w:pPr>
      <w:r>
        <w:rPr>
          <w:rFonts w:eastAsia="PMingLiU" w:cs="Arial"/>
        </w:rPr>
        <w:tab/>
      </w:r>
      <w:hyperlink r:id="rId8" w:history="1">
        <w:r w:rsidR="0000766E" w:rsidRPr="00170AE7">
          <w:rPr>
            <w:rFonts w:eastAsia="PMingLiU" w:cs="Arial"/>
          </w:rPr>
          <w:t>rick.sites@ohiohospitals.org</w:t>
        </w:r>
      </w:hyperlink>
      <w:r w:rsidR="0000766E" w:rsidRPr="00170AE7">
        <w:rPr>
          <w:rFonts w:eastAsia="PMingLiU" w:cs="Arial"/>
        </w:rPr>
        <w:t xml:space="preserve"> </w:t>
      </w:r>
    </w:p>
    <w:p w14:paraId="777FA176" w14:textId="2CA69E4A" w:rsidR="003B7EA6" w:rsidRDefault="003B7EA6" w:rsidP="00170AE7">
      <w:pPr>
        <w:tabs>
          <w:tab w:val="left" w:pos="-1440"/>
          <w:tab w:val="left" w:pos="-720"/>
          <w:tab w:val="left" w:pos="4320"/>
          <w:tab w:val="left" w:pos="4779"/>
          <w:tab w:val="left" w:pos="7920"/>
        </w:tabs>
        <w:ind w:left="3600"/>
        <w:rPr>
          <w:rFonts w:eastAsia="Calibri" w:cs="Arial"/>
          <w:color w:val="000000"/>
        </w:rPr>
      </w:pPr>
      <w:r>
        <w:rPr>
          <w:rFonts w:eastAsia="PMingLiU" w:cs="Arial"/>
        </w:rPr>
        <w:tab/>
      </w:r>
      <w:r>
        <w:rPr>
          <w:rFonts w:eastAsia="Calibri" w:cs="Arial"/>
          <w:color w:val="000000"/>
        </w:rPr>
        <w:t>(willing to accept service by e-mail)</w:t>
      </w:r>
    </w:p>
    <w:p w14:paraId="0F135A52" w14:textId="77777777" w:rsidR="003B7EA6" w:rsidRPr="00170AE7" w:rsidRDefault="003B7EA6" w:rsidP="00170AE7">
      <w:pPr>
        <w:tabs>
          <w:tab w:val="left" w:pos="-1440"/>
          <w:tab w:val="left" w:pos="-720"/>
          <w:tab w:val="left" w:pos="4320"/>
          <w:tab w:val="left" w:pos="4779"/>
          <w:tab w:val="left" w:pos="7920"/>
        </w:tabs>
        <w:ind w:left="3600"/>
        <w:rPr>
          <w:rFonts w:eastAsia="PMingLiU" w:cs="Arial"/>
        </w:rPr>
      </w:pPr>
    </w:p>
    <w:p w14:paraId="5CFABC47" w14:textId="0560C80A" w:rsidR="007777B8" w:rsidRDefault="0079346F" w:rsidP="00170AE7">
      <w:pPr>
        <w:tabs>
          <w:tab w:val="left" w:pos="-1440"/>
          <w:tab w:val="left" w:pos="-720"/>
          <w:tab w:val="left" w:pos="4320"/>
          <w:tab w:val="left" w:pos="4779"/>
          <w:tab w:val="left" w:pos="7920"/>
        </w:tabs>
        <w:rPr>
          <w:rFonts w:ascii="Arial Bold" w:eastAsia="PMingLiU" w:hAnsi="Arial Bold" w:cs="Arial" w:hint="eastAsia"/>
          <w:b/>
          <w:smallCaps/>
        </w:rPr>
      </w:pPr>
      <w:r>
        <w:rPr>
          <w:rFonts w:ascii="Times New Roman" w:eastAsia="PMingLiU" w:hAnsi="Times New Roman" w:cs="Times New Roman"/>
        </w:rPr>
        <w:tab/>
      </w:r>
      <w:r w:rsidRPr="00170AE7">
        <w:rPr>
          <w:rFonts w:ascii="Arial Bold" w:eastAsia="PMingLiU" w:hAnsi="Arial Bold" w:cs="Arial"/>
          <w:b/>
          <w:smallCaps/>
        </w:rPr>
        <w:t>On Behalf of Ohio Hospital Association</w:t>
      </w:r>
    </w:p>
    <w:p w14:paraId="684EAC24" w14:textId="77777777" w:rsidR="00E161EE" w:rsidRDefault="00E161EE" w:rsidP="00170AE7">
      <w:pPr>
        <w:tabs>
          <w:tab w:val="left" w:pos="-1440"/>
          <w:tab w:val="left" w:pos="-720"/>
          <w:tab w:val="left" w:pos="4320"/>
          <w:tab w:val="left" w:pos="4779"/>
          <w:tab w:val="left" w:pos="7920"/>
        </w:tabs>
        <w:rPr>
          <w:rFonts w:ascii="Arial Bold" w:eastAsia="PMingLiU" w:hAnsi="Arial Bold" w:cs="Arial" w:hint="eastAsia"/>
          <w:b/>
          <w:smallCaps/>
        </w:rPr>
      </w:pPr>
    </w:p>
    <w:p w14:paraId="798E417F" w14:textId="1FB09C2C" w:rsidR="00E161EE" w:rsidRPr="00E161EE" w:rsidRDefault="00E161EE" w:rsidP="00E161EE">
      <w:pPr>
        <w:tabs>
          <w:tab w:val="left" w:pos="4320"/>
        </w:tabs>
        <w:rPr>
          <w:rFonts w:cs="Arial"/>
        </w:rPr>
      </w:pPr>
      <w:r>
        <w:rPr>
          <w:rFonts w:ascii="Calibri" w:hAnsi="Calibri"/>
          <w:color w:val="1F497D"/>
          <w:sz w:val="22"/>
          <w:szCs w:val="22"/>
        </w:rPr>
        <w:tab/>
      </w:r>
      <w:r w:rsidRPr="00E161EE">
        <w:rPr>
          <w:rFonts w:cs="Arial"/>
        </w:rPr>
        <w:t>Robert A. Brundrett (0086538)</w:t>
      </w:r>
    </w:p>
    <w:p w14:paraId="6173A44A" w14:textId="556404DF" w:rsidR="00E161EE" w:rsidRPr="00E161EE" w:rsidRDefault="00E161EE" w:rsidP="00E161EE">
      <w:pPr>
        <w:tabs>
          <w:tab w:val="left" w:pos="4320"/>
        </w:tabs>
        <w:rPr>
          <w:rFonts w:cs="Arial"/>
        </w:rPr>
      </w:pPr>
      <w:r w:rsidRPr="00E161EE">
        <w:rPr>
          <w:rFonts w:cs="Arial"/>
        </w:rPr>
        <w:lastRenderedPageBreak/>
        <w:tab/>
        <w:t xml:space="preserve">OMA </w:t>
      </w:r>
      <w:r w:rsidRPr="00F97C25">
        <w:rPr>
          <w:rFonts w:cs="Arial"/>
          <w:smallCaps/>
        </w:rPr>
        <w:t>Energy Group</w:t>
      </w:r>
    </w:p>
    <w:p w14:paraId="2C728E2A" w14:textId="791BC463" w:rsidR="00E161EE" w:rsidRPr="00E161EE" w:rsidRDefault="00E161EE" w:rsidP="00E161EE">
      <w:pPr>
        <w:tabs>
          <w:tab w:val="left" w:pos="4320"/>
        </w:tabs>
        <w:rPr>
          <w:rFonts w:cs="Arial"/>
        </w:rPr>
      </w:pPr>
      <w:r w:rsidRPr="00E161EE">
        <w:rPr>
          <w:rFonts w:cs="Arial"/>
        </w:rPr>
        <w:tab/>
        <w:t>33 N. High St., 6</w:t>
      </w:r>
      <w:r w:rsidRPr="00E161EE">
        <w:rPr>
          <w:rFonts w:cs="Arial"/>
          <w:vertAlign w:val="superscript"/>
        </w:rPr>
        <w:t>th</w:t>
      </w:r>
      <w:r w:rsidRPr="00E161EE">
        <w:rPr>
          <w:rFonts w:cs="Arial"/>
        </w:rPr>
        <w:t xml:space="preserve"> Floor</w:t>
      </w:r>
    </w:p>
    <w:p w14:paraId="41C4AE96" w14:textId="394A00F4" w:rsidR="00E161EE" w:rsidRPr="00E161EE" w:rsidRDefault="00E161EE" w:rsidP="00E161EE">
      <w:pPr>
        <w:tabs>
          <w:tab w:val="left" w:pos="4320"/>
        </w:tabs>
        <w:rPr>
          <w:rFonts w:cs="Arial"/>
        </w:rPr>
      </w:pPr>
      <w:r w:rsidRPr="00E161EE">
        <w:rPr>
          <w:rFonts w:cs="Arial"/>
        </w:rPr>
        <w:tab/>
        <w:t>Columbus, OH 43215</w:t>
      </w:r>
    </w:p>
    <w:p w14:paraId="316A755A" w14:textId="67135533" w:rsidR="00E161EE" w:rsidRPr="00E161EE" w:rsidRDefault="00E161EE" w:rsidP="00E161EE">
      <w:pPr>
        <w:tabs>
          <w:tab w:val="left" w:pos="4320"/>
        </w:tabs>
        <w:rPr>
          <w:rFonts w:cs="Arial"/>
        </w:rPr>
      </w:pPr>
      <w:r w:rsidRPr="00E161EE">
        <w:rPr>
          <w:rFonts w:cs="Arial"/>
        </w:rPr>
        <w:tab/>
        <w:t>Telephone: (614) 224-5111</w:t>
      </w:r>
    </w:p>
    <w:p w14:paraId="5C24D4C3" w14:textId="6BB86715" w:rsidR="00E161EE" w:rsidRPr="00E161EE" w:rsidRDefault="00E161EE" w:rsidP="00E161EE">
      <w:pPr>
        <w:tabs>
          <w:tab w:val="left" w:pos="4320"/>
        </w:tabs>
        <w:rPr>
          <w:rFonts w:cs="Arial"/>
        </w:rPr>
      </w:pPr>
      <w:r w:rsidRPr="00E161EE">
        <w:rPr>
          <w:rFonts w:cs="Arial"/>
        </w:rPr>
        <w:tab/>
        <w:t>Fax:  (614) 469-4653</w:t>
      </w:r>
    </w:p>
    <w:p w14:paraId="0C03193B" w14:textId="1C577D81" w:rsidR="00E161EE" w:rsidRDefault="00E161EE" w:rsidP="00E161EE">
      <w:pPr>
        <w:tabs>
          <w:tab w:val="left" w:pos="4320"/>
        </w:tabs>
        <w:rPr>
          <w:rFonts w:cs="Arial"/>
        </w:rPr>
      </w:pPr>
      <w:r w:rsidRPr="00E161EE">
        <w:rPr>
          <w:rFonts w:cs="Arial"/>
        </w:rPr>
        <w:tab/>
      </w:r>
      <w:hyperlink r:id="rId9" w:history="1">
        <w:r w:rsidRPr="00B17E87">
          <w:rPr>
            <w:rStyle w:val="Hyperlink"/>
            <w:rFonts w:cs="Arial"/>
            <w:color w:val="auto"/>
            <w:u w:val="none"/>
          </w:rPr>
          <w:t>rbrundrett@ohiomfg.com</w:t>
        </w:r>
      </w:hyperlink>
    </w:p>
    <w:p w14:paraId="5D245DF8" w14:textId="77777777" w:rsidR="00F97C25" w:rsidRDefault="00F97C25" w:rsidP="00E161EE">
      <w:pPr>
        <w:tabs>
          <w:tab w:val="left" w:pos="4320"/>
        </w:tabs>
        <w:rPr>
          <w:rFonts w:cs="Arial"/>
        </w:rPr>
      </w:pPr>
    </w:p>
    <w:p w14:paraId="6DCC4049" w14:textId="7FCEDE04" w:rsidR="002710BC" w:rsidRDefault="00D40FD0" w:rsidP="00CD5F69">
      <w:pPr>
        <w:tabs>
          <w:tab w:val="left" w:pos="4320"/>
        </w:tabs>
        <w:ind w:left="4320" w:hanging="4320"/>
        <w:rPr>
          <w:rFonts w:ascii="Arial Bold" w:hAnsi="Arial Bold" w:cs="Arial"/>
          <w:b/>
          <w:smallCaps/>
        </w:rPr>
      </w:pPr>
      <w:r>
        <w:rPr>
          <w:rFonts w:cs="Arial"/>
          <w:b/>
          <w:smallCaps/>
          <w:color w:val="000000"/>
        </w:rPr>
        <w:t>January 6, 2017</w:t>
      </w:r>
      <w:r>
        <w:rPr>
          <w:rFonts w:cs="Arial"/>
          <w:b/>
          <w:smallCaps/>
          <w:color w:val="000000"/>
        </w:rPr>
        <w:tab/>
      </w:r>
      <w:r w:rsidR="00547F79" w:rsidRPr="00547F79">
        <w:rPr>
          <w:rFonts w:ascii="Arial Bold" w:hAnsi="Arial Bold" w:cs="Arial"/>
          <w:b/>
          <w:smallCaps/>
        </w:rPr>
        <w:t xml:space="preserve">On Behalf of </w:t>
      </w:r>
      <w:r w:rsidR="00CD5F69">
        <w:rPr>
          <w:rFonts w:ascii="Arial Bold" w:hAnsi="Arial Bold" w:cs="Arial"/>
          <w:b/>
          <w:smallCaps/>
        </w:rPr>
        <w:t>Ohio Manufacturers’ Association</w:t>
      </w:r>
      <w:r w:rsidR="00547F79" w:rsidRPr="00547F79">
        <w:rPr>
          <w:rFonts w:ascii="Arial Bold" w:hAnsi="Arial Bold" w:cs="Arial"/>
          <w:b/>
          <w:smallCaps/>
        </w:rPr>
        <w:t xml:space="preserve"> Energy Group</w:t>
      </w:r>
    </w:p>
    <w:p w14:paraId="439F0961" w14:textId="77777777" w:rsidR="00CD5F69" w:rsidRDefault="00CD5F69" w:rsidP="00CD5F69">
      <w:pPr>
        <w:tabs>
          <w:tab w:val="left" w:pos="4320"/>
        </w:tabs>
        <w:ind w:left="4320" w:hanging="4320"/>
        <w:rPr>
          <w:rFonts w:ascii="Arial Bold" w:hAnsi="Arial Bold" w:cs="Arial"/>
          <w:b/>
          <w:smallCaps/>
        </w:rPr>
      </w:pPr>
    </w:p>
    <w:p w14:paraId="112E09CB" w14:textId="77777777" w:rsidR="00CD5F69" w:rsidRDefault="00CD5F69" w:rsidP="00CD5F69">
      <w:pPr>
        <w:tabs>
          <w:tab w:val="left" w:pos="4320"/>
        </w:tabs>
        <w:ind w:left="4320" w:hanging="4320"/>
        <w:rPr>
          <w:rFonts w:ascii="Arial Bold" w:hAnsi="Arial Bold" w:cs="Arial"/>
          <w:b/>
          <w:smallCaps/>
        </w:rPr>
        <w:sectPr w:rsidR="00CD5F69" w:rsidSect="00B271A4">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titlePg/>
          <w:docGrid w:linePitch="360"/>
        </w:sectPr>
      </w:pPr>
    </w:p>
    <w:p w14:paraId="65216356" w14:textId="77777777" w:rsidR="00BA1E04" w:rsidRPr="00C9030E" w:rsidRDefault="00BA1E04" w:rsidP="00BA1E04">
      <w:pPr>
        <w:pStyle w:val="TOCHeading"/>
        <w:rPr>
          <w:rFonts w:ascii="Arial Bold" w:hAnsi="Arial Bold"/>
          <w:caps/>
          <w:u w:val="single"/>
        </w:rPr>
      </w:pPr>
      <w:bookmarkStart w:id="0" w:name="TOCHeading_1"/>
      <w:r w:rsidRPr="00C9030E">
        <w:rPr>
          <w:rFonts w:ascii="Arial Bold" w:hAnsi="Arial Bold"/>
          <w:caps/>
          <w:u w:val="single"/>
        </w:rPr>
        <w:lastRenderedPageBreak/>
        <w:t>Table of Contents</w:t>
      </w:r>
    </w:p>
    <w:p w14:paraId="3EDE804F" w14:textId="77777777" w:rsidR="009D6B63" w:rsidRDefault="009D6B63" w:rsidP="009D6B63">
      <w:pPr>
        <w:pStyle w:val="TOCPage"/>
      </w:pPr>
      <w:bookmarkStart w:id="1" w:name="TOCPage_1"/>
      <w:bookmarkEnd w:id="0"/>
      <w:r>
        <w:t>Page</w:t>
      </w:r>
    </w:p>
    <w:bookmarkEnd w:id="1"/>
    <w:p w14:paraId="4CB7CCFD" w14:textId="77777777" w:rsidR="00BA1E04" w:rsidRDefault="00BA1E04">
      <w:pPr>
        <w:pStyle w:val="TOC1"/>
        <w:rPr>
          <w:rFonts w:asciiTheme="minorHAnsi" w:eastAsiaTheme="minorEastAsia" w:hAnsiTheme="minorHAnsi"/>
          <w:noProof/>
          <w:sz w:val="22"/>
          <w:szCs w:val="22"/>
        </w:rPr>
      </w:pPr>
      <w:r>
        <w:fldChar w:fldCharType="begin"/>
      </w:r>
      <w:r>
        <w:instrText xml:space="preserve"> TOC \t "Heading 1,1,Heading 2,2,Heading 3,3" </w:instrText>
      </w:r>
      <w:r>
        <w:fldChar w:fldCharType="separate"/>
      </w:r>
      <w:bookmarkStart w:id="2" w:name="TOCLocation_1"/>
      <w:r w:rsidRPr="00793449">
        <w:rPr>
          <w:rFonts w:eastAsia="Times New Roman"/>
          <w:noProof/>
          <w:color w:val="010000"/>
        </w:rPr>
        <w:t>I.</w:t>
      </w:r>
      <w:r>
        <w:rPr>
          <w:rFonts w:asciiTheme="minorHAnsi" w:eastAsiaTheme="minorEastAsia" w:hAnsiTheme="minorHAnsi"/>
          <w:noProof/>
          <w:sz w:val="22"/>
          <w:szCs w:val="22"/>
        </w:rPr>
        <w:tab/>
      </w:r>
      <w:r w:rsidRPr="00793449">
        <w:rPr>
          <w:rFonts w:eastAsia="Times New Roman"/>
          <w:noProof/>
        </w:rPr>
        <w:t>INTRODUCTION</w:t>
      </w:r>
      <w:r>
        <w:rPr>
          <w:noProof/>
        </w:rPr>
        <w:tab/>
      </w:r>
      <w:r>
        <w:rPr>
          <w:noProof/>
        </w:rPr>
        <w:fldChar w:fldCharType="begin"/>
      </w:r>
      <w:r>
        <w:rPr>
          <w:noProof/>
        </w:rPr>
        <w:instrText xml:space="preserve"> PAGEREF _Toc471458088 \h </w:instrText>
      </w:r>
      <w:r>
        <w:rPr>
          <w:noProof/>
        </w:rPr>
      </w:r>
      <w:r>
        <w:rPr>
          <w:noProof/>
        </w:rPr>
        <w:fldChar w:fldCharType="separate"/>
      </w:r>
      <w:r>
        <w:rPr>
          <w:noProof/>
        </w:rPr>
        <w:t>3</w:t>
      </w:r>
      <w:r>
        <w:rPr>
          <w:noProof/>
        </w:rPr>
        <w:fldChar w:fldCharType="end"/>
      </w:r>
    </w:p>
    <w:p w14:paraId="423FD75B" w14:textId="77777777" w:rsidR="00BA1E04" w:rsidRDefault="00BA1E04">
      <w:pPr>
        <w:pStyle w:val="TOC1"/>
        <w:rPr>
          <w:rFonts w:asciiTheme="minorHAnsi" w:eastAsiaTheme="minorEastAsia" w:hAnsiTheme="minorHAnsi"/>
          <w:noProof/>
          <w:sz w:val="22"/>
          <w:szCs w:val="22"/>
        </w:rPr>
      </w:pPr>
      <w:r w:rsidRPr="00793449">
        <w:rPr>
          <w:noProof/>
          <w:color w:val="010000"/>
        </w:rPr>
        <w:t>II.</w:t>
      </w:r>
      <w:r>
        <w:rPr>
          <w:rFonts w:asciiTheme="minorHAnsi" w:eastAsiaTheme="minorEastAsia" w:hAnsiTheme="minorHAnsi"/>
          <w:noProof/>
          <w:sz w:val="22"/>
          <w:szCs w:val="22"/>
        </w:rPr>
        <w:tab/>
      </w:r>
      <w:r>
        <w:rPr>
          <w:noProof/>
        </w:rPr>
        <w:t>BACKGROUND</w:t>
      </w:r>
      <w:r>
        <w:rPr>
          <w:noProof/>
        </w:rPr>
        <w:tab/>
      </w:r>
      <w:r>
        <w:rPr>
          <w:noProof/>
        </w:rPr>
        <w:fldChar w:fldCharType="begin"/>
      </w:r>
      <w:r>
        <w:rPr>
          <w:noProof/>
        </w:rPr>
        <w:instrText xml:space="preserve"> PAGEREF _Toc471458089 \h </w:instrText>
      </w:r>
      <w:r>
        <w:rPr>
          <w:noProof/>
        </w:rPr>
      </w:r>
      <w:r>
        <w:rPr>
          <w:noProof/>
        </w:rPr>
        <w:fldChar w:fldCharType="separate"/>
      </w:r>
      <w:r>
        <w:rPr>
          <w:noProof/>
        </w:rPr>
        <w:t>4</w:t>
      </w:r>
      <w:r>
        <w:rPr>
          <w:noProof/>
        </w:rPr>
        <w:fldChar w:fldCharType="end"/>
      </w:r>
    </w:p>
    <w:p w14:paraId="2635A8E9" w14:textId="77777777" w:rsidR="00BA1E04" w:rsidRDefault="00BA1E04">
      <w:pPr>
        <w:pStyle w:val="TOC1"/>
        <w:rPr>
          <w:rFonts w:asciiTheme="minorHAnsi" w:eastAsiaTheme="minorEastAsia" w:hAnsiTheme="minorHAnsi"/>
          <w:noProof/>
          <w:sz w:val="22"/>
          <w:szCs w:val="22"/>
        </w:rPr>
      </w:pPr>
      <w:r w:rsidRPr="00793449">
        <w:rPr>
          <w:noProof/>
          <w:color w:val="010000"/>
        </w:rPr>
        <w:t>III.</w:t>
      </w:r>
      <w:r>
        <w:rPr>
          <w:rFonts w:asciiTheme="minorHAnsi" w:eastAsiaTheme="minorEastAsia" w:hAnsiTheme="minorHAnsi"/>
          <w:noProof/>
          <w:sz w:val="22"/>
          <w:szCs w:val="22"/>
        </w:rPr>
        <w:tab/>
      </w:r>
      <w:r>
        <w:rPr>
          <w:noProof/>
        </w:rPr>
        <w:t>ARGUMENT</w:t>
      </w:r>
      <w:r>
        <w:rPr>
          <w:noProof/>
        </w:rPr>
        <w:tab/>
      </w:r>
      <w:r>
        <w:rPr>
          <w:noProof/>
        </w:rPr>
        <w:fldChar w:fldCharType="begin"/>
      </w:r>
      <w:r>
        <w:rPr>
          <w:noProof/>
        </w:rPr>
        <w:instrText xml:space="preserve"> PAGEREF _Toc471458090 \h </w:instrText>
      </w:r>
      <w:r>
        <w:rPr>
          <w:noProof/>
        </w:rPr>
      </w:r>
      <w:r>
        <w:rPr>
          <w:noProof/>
        </w:rPr>
        <w:fldChar w:fldCharType="separate"/>
      </w:r>
      <w:r>
        <w:rPr>
          <w:noProof/>
        </w:rPr>
        <w:t>6</w:t>
      </w:r>
      <w:r>
        <w:rPr>
          <w:noProof/>
        </w:rPr>
        <w:fldChar w:fldCharType="end"/>
      </w:r>
    </w:p>
    <w:p w14:paraId="739DA6DE" w14:textId="65C62E4C" w:rsidR="00BA1E04" w:rsidRDefault="00BA1E04" w:rsidP="00BA1E04">
      <w:pPr>
        <w:pStyle w:val="TOC2"/>
        <w:tabs>
          <w:tab w:val="right" w:leader="dot" w:pos="9360"/>
        </w:tabs>
        <w:rPr>
          <w:rFonts w:asciiTheme="minorHAnsi" w:eastAsiaTheme="minorEastAsia" w:hAnsiTheme="minorHAnsi"/>
          <w:noProof/>
          <w:sz w:val="22"/>
          <w:szCs w:val="22"/>
        </w:rPr>
      </w:pPr>
      <w:r w:rsidRPr="00793449">
        <w:rPr>
          <w:noProof/>
          <w:color w:val="010000"/>
        </w:rPr>
        <w:t>A.</w:t>
      </w:r>
      <w:r>
        <w:rPr>
          <w:rFonts w:asciiTheme="minorHAnsi" w:eastAsiaTheme="minorEastAsia" w:hAnsiTheme="minorHAnsi"/>
          <w:noProof/>
          <w:sz w:val="22"/>
          <w:szCs w:val="22"/>
        </w:rPr>
        <w:tab/>
      </w:r>
      <w:r>
        <w:rPr>
          <w:noProof/>
        </w:rPr>
        <w:t xml:space="preserve">Assignment of Error I:  The Finding and Order is unlawful and unreasonable because the Commission’s finding that it can lawfully determine that an entity is operating as a public utility if the Commission finds that the entity fails one of the prongs of the </w:t>
      </w:r>
      <w:r w:rsidRPr="00793449">
        <w:rPr>
          <w:i/>
          <w:noProof/>
        </w:rPr>
        <w:t>Shroyer Test</w:t>
      </w:r>
      <w:r>
        <w:rPr>
          <w:noProof/>
        </w:rPr>
        <w:t xml:space="preserve"> violates statutory requirements and established precedent that a finding that an entity is a public utility is a mixed question of law and fact</w:t>
      </w:r>
      <w:r>
        <w:rPr>
          <w:noProof/>
        </w:rPr>
        <w:tab/>
      </w:r>
      <w:r>
        <w:rPr>
          <w:noProof/>
        </w:rPr>
        <w:fldChar w:fldCharType="begin"/>
      </w:r>
      <w:r>
        <w:rPr>
          <w:noProof/>
        </w:rPr>
        <w:instrText xml:space="preserve"> PAGEREF _Toc471458091 \h </w:instrText>
      </w:r>
      <w:r>
        <w:rPr>
          <w:noProof/>
        </w:rPr>
      </w:r>
      <w:r>
        <w:rPr>
          <w:noProof/>
        </w:rPr>
        <w:fldChar w:fldCharType="separate"/>
      </w:r>
      <w:r>
        <w:rPr>
          <w:noProof/>
        </w:rPr>
        <w:t>6</w:t>
      </w:r>
      <w:r>
        <w:rPr>
          <w:noProof/>
        </w:rPr>
        <w:fldChar w:fldCharType="end"/>
      </w:r>
    </w:p>
    <w:p w14:paraId="021783A5" w14:textId="1AD4630D" w:rsidR="00BA1E04" w:rsidRDefault="00BA1E04" w:rsidP="00BA1E04">
      <w:pPr>
        <w:pStyle w:val="TOC2"/>
        <w:tabs>
          <w:tab w:val="right" w:leader="dot" w:pos="9360"/>
        </w:tabs>
        <w:rPr>
          <w:rFonts w:asciiTheme="minorHAnsi" w:eastAsiaTheme="minorEastAsia" w:hAnsiTheme="minorHAnsi"/>
          <w:noProof/>
          <w:sz w:val="22"/>
          <w:szCs w:val="22"/>
        </w:rPr>
      </w:pPr>
      <w:r w:rsidRPr="00793449">
        <w:rPr>
          <w:rFonts w:eastAsia="Times New Roman"/>
          <w:noProof/>
          <w:color w:val="010000"/>
        </w:rPr>
        <w:t>B.</w:t>
      </w:r>
      <w:r>
        <w:rPr>
          <w:rFonts w:asciiTheme="minorHAnsi" w:eastAsiaTheme="minorEastAsia" w:hAnsiTheme="minorHAnsi"/>
          <w:noProof/>
          <w:sz w:val="22"/>
          <w:szCs w:val="22"/>
        </w:rPr>
        <w:tab/>
      </w:r>
      <w:r w:rsidRPr="00793449">
        <w:rPr>
          <w:rFonts w:eastAsia="Times New Roman"/>
          <w:noProof/>
        </w:rPr>
        <w:t>Assignment of Error 2:  The Finding and Order is unlawful and unreasonable because the Commission’s creation of a rebuttable presumption that an entity is a public utility based on a “Relative Price Test” is not based on a rational nexus between the proven facts and the presumed facts</w:t>
      </w:r>
      <w:r>
        <w:rPr>
          <w:noProof/>
        </w:rPr>
        <w:tab/>
      </w:r>
      <w:r>
        <w:rPr>
          <w:noProof/>
        </w:rPr>
        <w:fldChar w:fldCharType="begin"/>
      </w:r>
      <w:r>
        <w:rPr>
          <w:noProof/>
        </w:rPr>
        <w:instrText xml:space="preserve"> PAGEREF _Toc471458092 \h </w:instrText>
      </w:r>
      <w:r>
        <w:rPr>
          <w:noProof/>
        </w:rPr>
      </w:r>
      <w:r>
        <w:rPr>
          <w:noProof/>
        </w:rPr>
        <w:fldChar w:fldCharType="separate"/>
      </w:r>
      <w:r>
        <w:rPr>
          <w:noProof/>
        </w:rPr>
        <w:t>13</w:t>
      </w:r>
      <w:r>
        <w:rPr>
          <w:noProof/>
        </w:rPr>
        <w:fldChar w:fldCharType="end"/>
      </w:r>
    </w:p>
    <w:p w14:paraId="5B22011E" w14:textId="569E824D" w:rsidR="00BA1E04" w:rsidRDefault="00BA1E04" w:rsidP="00BA1E04">
      <w:pPr>
        <w:pStyle w:val="TOC2"/>
        <w:tabs>
          <w:tab w:val="right" w:leader="dot" w:pos="9360"/>
        </w:tabs>
        <w:rPr>
          <w:rFonts w:asciiTheme="minorHAnsi" w:eastAsiaTheme="minorEastAsia" w:hAnsiTheme="minorHAnsi"/>
          <w:noProof/>
          <w:sz w:val="22"/>
          <w:szCs w:val="22"/>
        </w:rPr>
      </w:pPr>
      <w:r w:rsidRPr="00793449">
        <w:rPr>
          <w:rFonts w:eastAsia="Times New Roman"/>
          <w:noProof/>
          <w:color w:val="010000"/>
        </w:rPr>
        <w:t>C.</w:t>
      </w:r>
      <w:r>
        <w:rPr>
          <w:rFonts w:asciiTheme="minorHAnsi" w:eastAsiaTheme="minorEastAsia" w:hAnsiTheme="minorHAnsi"/>
          <w:noProof/>
          <w:sz w:val="22"/>
          <w:szCs w:val="22"/>
        </w:rPr>
        <w:tab/>
      </w:r>
      <w:r w:rsidRPr="00793449">
        <w:rPr>
          <w:rFonts w:eastAsia="Times New Roman"/>
          <w:noProof/>
        </w:rPr>
        <w:t>Assignment of Error 3:  The Finding and Order is unlawful and unreasonable because the Commission has engaged in rulemaking without complying with the requirements of R.C. 111.15.</w:t>
      </w:r>
      <w:r>
        <w:rPr>
          <w:noProof/>
        </w:rPr>
        <w:tab/>
      </w:r>
      <w:r>
        <w:rPr>
          <w:noProof/>
        </w:rPr>
        <w:fldChar w:fldCharType="begin"/>
      </w:r>
      <w:r>
        <w:rPr>
          <w:noProof/>
        </w:rPr>
        <w:instrText xml:space="preserve"> PAGEREF _Toc471458093 \h </w:instrText>
      </w:r>
      <w:r>
        <w:rPr>
          <w:noProof/>
        </w:rPr>
      </w:r>
      <w:r>
        <w:rPr>
          <w:noProof/>
        </w:rPr>
        <w:fldChar w:fldCharType="separate"/>
      </w:r>
      <w:r>
        <w:rPr>
          <w:noProof/>
        </w:rPr>
        <w:t>17</w:t>
      </w:r>
      <w:r>
        <w:rPr>
          <w:noProof/>
        </w:rPr>
        <w:fldChar w:fldCharType="end"/>
      </w:r>
    </w:p>
    <w:p w14:paraId="4291D43C" w14:textId="77777777" w:rsidR="00BA1E04" w:rsidRDefault="00BA1E04">
      <w:pPr>
        <w:pStyle w:val="TOC1"/>
        <w:rPr>
          <w:rFonts w:asciiTheme="minorHAnsi" w:eastAsiaTheme="minorEastAsia" w:hAnsiTheme="minorHAnsi"/>
          <w:noProof/>
          <w:sz w:val="22"/>
          <w:szCs w:val="22"/>
        </w:rPr>
      </w:pPr>
      <w:r w:rsidRPr="00793449">
        <w:rPr>
          <w:rFonts w:eastAsia="Times New Roman"/>
          <w:noProof/>
          <w:color w:val="010000"/>
        </w:rPr>
        <w:t>IV.</w:t>
      </w:r>
      <w:r>
        <w:rPr>
          <w:rFonts w:asciiTheme="minorHAnsi" w:eastAsiaTheme="minorEastAsia" w:hAnsiTheme="minorHAnsi"/>
          <w:noProof/>
          <w:sz w:val="22"/>
          <w:szCs w:val="22"/>
        </w:rPr>
        <w:tab/>
      </w:r>
      <w:r w:rsidRPr="00793449">
        <w:rPr>
          <w:rFonts w:eastAsia="Times New Roman"/>
          <w:noProof/>
        </w:rPr>
        <w:t>CONCLUSION</w:t>
      </w:r>
      <w:r>
        <w:rPr>
          <w:noProof/>
        </w:rPr>
        <w:tab/>
      </w:r>
      <w:r>
        <w:rPr>
          <w:noProof/>
        </w:rPr>
        <w:fldChar w:fldCharType="begin"/>
      </w:r>
      <w:r>
        <w:rPr>
          <w:noProof/>
        </w:rPr>
        <w:instrText xml:space="preserve"> PAGEREF _Toc471458094 \h </w:instrText>
      </w:r>
      <w:r>
        <w:rPr>
          <w:noProof/>
        </w:rPr>
      </w:r>
      <w:r>
        <w:rPr>
          <w:noProof/>
        </w:rPr>
        <w:fldChar w:fldCharType="separate"/>
      </w:r>
      <w:r>
        <w:rPr>
          <w:noProof/>
        </w:rPr>
        <w:t>20</w:t>
      </w:r>
      <w:r>
        <w:rPr>
          <w:noProof/>
        </w:rPr>
        <w:fldChar w:fldCharType="end"/>
      </w:r>
    </w:p>
    <w:bookmarkEnd w:id="2"/>
    <w:p w14:paraId="03318D5E" w14:textId="0CE54DE1" w:rsidR="00BF55E4" w:rsidRDefault="00BA1E04" w:rsidP="00BA1E04">
      <w:r>
        <w:fldChar w:fldCharType="end"/>
      </w:r>
    </w:p>
    <w:p w14:paraId="4A8BF815" w14:textId="63CB2404" w:rsidR="00AE6657" w:rsidRDefault="00AE6657" w:rsidP="00CF3D04"/>
    <w:p w14:paraId="60E6C6CE" w14:textId="77777777" w:rsidR="001620E4" w:rsidRDefault="001620E4">
      <w:pPr>
        <w:sectPr w:rsidR="001620E4" w:rsidSect="00031BB5">
          <w:headerReference w:type="default" r:id="rId16"/>
          <w:footerReference w:type="default" r:id="rId17"/>
          <w:headerReference w:type="first" r:id="rId18"/>
          <w:footerReference w:type="first" r:id="rId19"/>
          <w:pgSz w:w="12240" w:h="15840" w:code="1"/>
          <w:pgMar w:top="1440" w:right="1440" w:bottom="1440" w:left="1440" w:header="720" w:footer="720" w:gutter="0"/>
          <w:pgNumType w:fmt="lowerRoman" w:start="1"/>
          <w:cols w:space="720"/>
          <w:titlePg/>
          <w:docGrid w:linePitch="360"/>
        </w:sectPr>
      </w:pPr>
    </w:p>
    <w:p w14:paraId="7F03C357" w14:textId="257F9D8D" w:rsidR="0093110F" w:rsidRPr="0093110F" w:rsidRDefault="0093110F" w:rsidP="00CF3D04">
      <w:pPr>
        <w:jc w:val="center"/>
        <w:rPr>
          <w:rFonts w:eastAsia="Times New Roman" w:cs="Arial"/>
          <w:b/>
          <w:color w:val="000000"/>
        </w:rPr>
      </w:pPr>
      <w:r w:rsidRPr="0093110F">
        <w:rPr>
          <w:rFonts w:eastAsia="Times New Roman" w:cs="Arial"/>
          <w:b/>
          <w:color w:val="000000"/>
        </w:rPr>
        <w:lastRenderedPageBreak/>
        <w:t>BEFORE</w:t>
      </w:r>
    </w:p>
    <w:p w14:paraId="4E69EB13" w14:textId="77777777" w:rsidR="0093110F" w:rsidRPr="0093110F" w:rsidRDefault="0093110F" w:rsidP="0093110F">
      <w:pPr>
        <w:jc w:val="center"/>
        <w:rPr>
          <w:rFonts w:eastAsia="Times New Roman" w:cs="Arial"/>
          <w:b/>
          <w:color w:val="000000"/>
        </w:rPr>
      </w:pPr>
      <w:r w:rsidRPr="0093110F">
        <w:rPr>
          <w:rFonts w:eastAsia="Times New Roman" w:cs="Arial"/>
          <w:b/>
          <w:color w:val="000000"/>
        </w:rPr>
        <w:t>THE PUBLIC UTILITIES COMMISSION OF OHIO</w:t>
      </w:r>
    </w:p>
    <w:p w14:paraId="506C0527" w14:textId="77777777" w:rsidR="0093110F" w:rsidRPr="0093110F" w:rsidRDefault="0093110F" w:rsidP="0093110F">
      <w:pPr>
        <w:rPr>
          <w:rFonts w:eastAsia="Times New Roman" w:cs="Arial"/>
        </w:rPr>
      </w:pPr>
    </w:p>
    <w:p w14:paraId="5B0E8D6C" w14:textId="77777777" w:rsidR="0093110F" w:rsidRPr="0093110F" w:rsidRDefault="0093110F" w:rsidP="0093110F">
      <w:pPr>
        <w:rPr>
          <w:rFonts w:eastAsia="Times New Roman"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9"/>
        <w:gridCol w:w="466"/>
        <w:gridCol w:w="4298"/>
      </w:tblGrid>
      <w:tr w:rsidR="000C41DB" w:rsidRPr="0093110F" w14:paraId="7878019E" w14:textId="77777777" w:rsidTr="00756EDF">
        <w:trPr>
          <w:trHeight w:val="277"/>
        </w:trPr>
        <w:tc>
          <w:tcPr>
            <w:tcW w:w="4549" w:type="dxa"/>
            <w:vMerge w:val="restart"/>
          </w:tcPr>
          <w:p w14:paraId="5854436C" w14:textId="77777777" w:rsidR="000C41DB" w:rsidRPr="0093110F" w:rsidRDefault="000C41DB" w:rsidP="009E3DEC">
            <w:pPr>
              <w:rPr>
                <w:rFonts w:eastAsia="Times New Roman" w:cs="Arial"/>
              </w:rPr>
            </w:pPr>
            <w:r>
              <w:rPr>
                <w:rFonts w:eastAsia="Times New Roman" w:cs="Arial"/>
              </w:rPr>
              <w:t>In the Matter of the Commission’s Investigation of Submetering in the State of Ohio</w:t>
            </w:r>
          </w:p>
        </w:tc>
        <w:tc>
          <w:tcPr>
            <w:tcW w:w="466" w:type="dxa"/>
          </w:tcPr>
          <w:p w14:paraId="33AB623F" w14:textId="1B35B134" w:rsidR="000C41DB" w:rsidRPr="0093110F" w:rsidRDefault="007D6F85" w:rsidP="009E3DEC">
            <w:pPr>
              <w:rPr>
                <w:rFonts w:eastAsia="Times New Roman" w:cs="Arial"/>
              </w:rPr>
            </w:pPr>
            <w:r>
              <w:rPr>
                <w:rFonts w:eastAsia="Times New Roman" w:cs="Arial"/>
              </w:rPr>
              <w:t>)</w:t>
            </w:r>
          </w:p>
        </w:tc>
        <w:tc>
          <w:tcPr>
            <w:tcW w:w="4298" w:type="dxa"/>
          </w:tcPr>
          <w:p w14:paraId="50E4E6D3" w14:textId="77777777" w:rsidR="000C41DB" w:rsidRPr="0093110F" w:rsidRDefault="000C41DB" w:rsidP="009E3DEC">
            <w:pPr>
              <w:rPr>
                <w:rFonts w:eastAsia="Times New Roman" w:cs="Arial"/>
              </w:rPr>
            </w:pPr>
          </w:p>
        </w:tc>
      </w:tr>
      <w:tr w:rsidR="000C41DB" w:rsidRPr="0093110F" w14:paraId="631E0878" w14:textId="77777777" w:rsidTr="00756EDF">
        <w:trPr>
          <w:trHeight w:val="269"/>
        </w:trPr>
        <w:tc>
          <w:tcPr>
            <w:tcW w:w="4549" w:type="dxa"/>
            <w:vMerge/>
          </w:tcPr>
          <w:p w14:paraId="2EE309DA" w14:textId="77777777" w:rsidR="000C41DB" w:rsidRPr="0093110F" w:rsidRDefault="000C41DB" w:rsidP="009E3DEC">
            <w:pPr>
              <w:rPr>
                <w:rFonts w:eastAsia="Times New Roman" w:cs="Arial"/>
              </w:rPr>
            </w:pPr>
          </w:p>
        </w:tc>
        <w:tc>
          <w:tcPr>
            <w:tcW w:w="466" w:type="dxa"/>
          </w:tcPr>
          <w:p w14:paraId="56FDC8FC" w14:textId="75DBD4F4" w:rsidR="000C41DB" w:rsidRPr="0093110F" w:rsidRDefault="007D6F85" w:rsidP="009E3DEC">
            <w:pPr>
              <w:rPr>
                <w:rFonts w:eastAsia="Times New Roman" w:cs="Arial"/>
              </w:rPr>
            </w:pPr>
            <w:r>
              <w:rPr>
                <w:rFonts w:eastAsia="Times New Roman" w:cs="Arial"/>
              </w:rPr>
              <w:t>)</w:t>
            </w:r>
          </w:p>
        </w:tc>
        <w:tc>
          <w:tcPr>
            <w:tcW w:w="4298" w:type="dxa"/>
          </w:tcPr>
          <w:p w14:paraId="61144EC0" w14:textId="77777777" w:rsidR="000C41DB" w:rsidRPr="0093110F" w:rsidRDefault="00101CC0" w:rsidP="009E3DEC">
            <w:pPr>
              <w:rPr>
                <w:rFonts w:eastAsia="Times New Roman" w:cs="Arial"/>
              </w:rPr>
            </w:pPr>
            <w:r>
              <w:rPr>
                <w:rFonts w:eastAsia="Times New Roman" w:cs="Arial"/>
              </w:rPr>
              <w:t>Case No. 15-1594-AU-COI</w:t>
            </w:r>
          </w:p>
        </w:tc>
      </w:tr>
      <w:tr w:rsidR="00101CC0" w:rsidRPr="0093110F" w14:paraId="464D90F7" w14:textId="77777777" w:rsidTr="007D6F85">
        <w:trPr>
          <w:trHeight w:val="277"/>
        </w:trPr>
        <w:tc>
          <w:tcPr>
            <w:tcW w:w="4549" w:type="dxa"/>
            <w:vMerge/>
          </w:tcPr>
          <w:p w14:paraId="1237D2F1" w14:textId="77777777" w:rsidR="00101CC0" w:rsidRPr="0093110F" w:rsidRDefault="00101CC0" w:rsidP="009E3DEC">
            <w:pPr>
              <w:rPr>
                <w:rFonts w:eastAsia="Times New Roman" w:cs="Arial"/>
              </w:rPr>
            </w:pPr>
          </w:p>
        </w:tc>
        <w:tc>
          <w:tcPr>
            <w:tcW w:w="466" w:type="dxa"/>
          </w:tcPr>
          <w:p w14:paraId="02A417E2" w14:textId="0D859645" w:rsidR="00101CC0" w:rsidRPr="0093110F" w:rsidRDefault="007D6F85" w:rsidP="009E3DEC">
            <w:pPr>
              <w:rPr>
                <w:rFonts w:eastAsia="Times New Roman" w:cs="Arial"/>
              </w:rPr>
            </w:pPr>
            <w:r>
              <w:rPr>
                <w:rFonts w:eastAsia="Times New Roman" w:cs="Arial"/>
              </w:rPr>
              <w:t>)</w:t>
            </w:r>
          </w:p>
        </w:tc>
        <w:tc>
          <w:tcPr>
            <w:tcW w:w="4298" w:type="dxa"/>
          </w:tcPr>
          <w:p w14:paraId="6C34F2A5" w14:textId="77777777" w:rsidR="00101CC0" w:rsidRPr="0093110F" w:rsidRDefault="00101CC0" w:rsidP="009E3DEC">
            <w:pPr>
              <w:rPr>
                <w:rFonts w:eastAsia="Times New Roman" w:cs="Arial"/>
              </w:rPr>
            </w:pPr>
          </w:p>
        </w:tc>
      </w:tr>
    </w:tbl>
    <w:p w14:paraId="5D6F8CF8" w14:textId="77777777" w:rsidR="0093110F" w:rsidRDefault="0093110F" w:rsidP="0093110F">
      <w:pPr>
        <w:spacing w:line="276" w:lineRule="auto"/>
        <w:rPr>
          <w:rFonts w:eastAsia="Calibri" w:cs="Arial"/>
        </w:rPr>
      </w:pPr>
    </w:p>
    <w:p w14:paraId="521D7310" w14:textId="77777777" w:rsidR="007D6F85" w:rsidRPr="0093110F" w:rsidRDefault="007D6F85" w:rsidP="0093110F">
      <w:pPr>
        <w:spacing w:line="276" w:lineRule="auto"/>
        <w:rPr>
          <w:rFonts w:eastAsia="Calibri" w:cs="Arial"/>
        </w:rPr>
      </w:pPr>
    </w:p>
    <w:p w14:paraId="1B7FF165" w14:textId="77777777" w:rsidR="0093110F" w:rsidRPr="0093110F" w:rsidRDefault="0093110F" w:rsidP="0093110F">
      <w:pPr>
        <w:pBdr>
          <w:top w:val="single" w:sz="12" w:space="1" w:color="auto"/>
        </w:pBdr>
        <w:jc w:val="center"/>
        <w:rPr>
          <w:rFonts w:eastAsia="Calibri" w:cs="Arial"/>
          <w:b/>
          <w:szCs w:val="22"/>
        </w:rPr>
      </w:pPr>
    </w:p>
    <w:p w14:paraId="71F6330C" w14:textId="668622C1" w:rsidR="0093110F" w:rsidRPr="00705781" w:rsidRDefault="0093110F" w:rsidP="00705781">
      <w:pPr>
        <w:jc w:val="center"/>
        <w:rPr>
          <w:b/>
        </w:rPr>
      </w:pPr>
      <w:r w:rsidRPr="00705781">
        <w:rPr>
          <w:b/>
        </w:rPr>
        <w:t>APPLICATION FOR REHEARING OF</w:t>
      </w:r>
      <w:r w:rsidR="0044580A">
        <w:rPr>
          <w:b/>
        </w:rPr>
        <w:t xml:space="preserve"> </w:t>
      </w:r>
      <w:r w:rsidR="003B119E" w:rsidRPr="00705781">
        <w:rPr>
          <w:b/>
        </w:rPr>
        <w:t>INDUSTRIAL ENERGY USERS-OHIO</w:t>
      </w:r>
      <w:r w:rsidR="00B52B21">
        <w:rPr>
          <w:b/>
        </w:rPr>
        <w:t>,</w:t>
      </w:r>
      <w:r w:rsidR="0044580A">
        <w:rPr>
          <w:b/>
        </w:rPr>
        <w:t xml:space="preserve"> OHIO HOSPITAL ASSOCIATION</w:t>
      </w:r>
      <w:r w:rsidR="00B52B21">
        <w:rPr>
          <w:b/>
        </w:rPr>
        <w:t>, AND OHIO MANUFACTURERS’ ASSOCIATION</w:t>
      </w:r>
    </w:p>
    <w:p w14:paraId="0D115284" w14:textId="77777777" w:rsidR="0093110F" w:rsidRPr="0093110F" w:rsidRDefault="0093110F" w:rsidP="0093110F">
      <w:pPr>
        <w:pBdr>
          <w:bottom w:val="single" w:sz="12" w:space="1" w:color="auto"/>
        </w:pBdr>
        <w:jc w:val="center"/>
        <w:rPr>
          <w:rFonts w:eastAsia="Calibri" w:cs="Arial"/>
          <w:b/>
          <w:szCs w:val="22"/>
        </w:rPr>
      </w:pPr>
    </w:p>
    <w:p w14:paraId="6C974EDE" w14:textId="77777777" w:rsidR="0093110F" w:rsidRDefault="0093110F" w:rsidP="00705781"/>
    <w:p w14:paraId="69028183" w14:textId="77777777" w:rsidR="007D6F85" w:rsidRPr="00A45E23" w:rsidRDefault="007D6F85" w:rsidP="00705781"/>
    <w:p w14:paraId="03B98E57" w14:textId="685FD527" w:rsidR="0093110F" w:rsidRDefault="0093110F" w:rsidP="00625435">
      <w:pPr>
        <w:spacing w:line="480" w:lineRule="auto"/>
        <w:ind w:firstLine="720"/>
        <w:jc w:val="both"/>
      </w:pPr>
      <w:r w:rsidRPr="0093110F">
        <w:t xml:space="preserve">Pursuant to </w:t>
      </w:r>
      <w:r w:rsidR="00C008BA">
        <w:t>R.C.</w:t>
      </w:r>
      <w:r w:rsidRPr="0093110F">
        <w:t xml:space="preserve"> 4903.10 and Rule 4901-1-35 of the Ohio Administrative Code (“OAC”), </w:t>
      </w:r>
      <w:r w:rsidR="003B119E">
        <w:t>Industrial Energy Users-Ohio (“IEU-Ohio”)</w:t>
      </w:r>
      <w:r w:rsidR="00A05E98">
        <w:t>,</w:t>
      </w:r>
      <w:r w:rsidRPr="0093110F">
        <w:t xml:space="preserve"> </w:t>
      </w:r>
      <w:r w:rsidR="006524BB">
        <w:t>Ohio Hospital Association (“OHA”)</w:t>
      </w:r>
      <w:r w:rsidR="00A05E98">
        <w:t>,</w:t>
      </w:r>
      <w:r w:rsidR="006524BB">
        <w:t xml:space="preserve"> </w:t>
      </w:r>
      <w:r w:rsidR="00A05E98">
        <w:t>and Ohio Manufacturers’ Association (“OMA”)</w:t>
      </w:r>
      <w:r w:rsidR="00A05E98">
        <w:rPr>
          <w:rStyle w:val="FootnoteReference"/>
        </w:rPr>
        <w:footnoteReference w:id="1"/>
      </w:r>
      <w:r w:rsidR="00A05E98">
        <w:t xml:space="preserve"> </w:t>
      </w:r>
      <w:r w:rsidRPr="0093110F">
        <w:t>seek rehearing of the Finding and Order (“</w:t>
      </w:r>
      <w:r w:rsidR="005D760B">
        <w:t xml:space="preserve">Finding and </w:t>
      </w:r>
      <w:r w:rsidRPr="0093110F">
        <w:t xml:space="preserve">Order”) issued by the Public Utilities Commission of Ohio (“Commission”) on </w:t>
      </w:r>
      <w:r w:rsidR="00DA1A8C">
        <w:t>December 7</w:t>
      </w:r>
      <w:r w:rsidRPr="0093110F">
        <w:t>, 2016 for the following reasons:</w:t>
      </w:r>
    </w:p>
    <w:p w14:paraId="4F0007EA" w14:textId="77777777" w:rsidR="00625435" w:rsidRDefault="00625435" w:rsidP="00625435">
      <w:pPr>
        <w:ind w:firstLine="720"/>
      </w:pPr>
    </w:p>
    <w:p w14:paraId="6374DE9E" w14:textId="69DFC780" w:rsidR="00BB558E" w:rsidRDefault="00BB558E" w:rsidP="002C4FAC">
      <w:pPr>
        <w:jc w:val="both"/>
        <w:rPr>
          <w:b/>
        </w:rPr>
      </w:pPr>
      <w:r>
        <w:rPr>
          <w:b/>
        </w:rPr>
        <w:t xml:space="preserve">Assignment of Error I:  The </w:t>
      </w:r>
      <w:r w:rsidR="005D760B">
        <w:rPr>
          <w:b/>
        </w:rPr>
        <w:t xml:space="preserve">Finding and </w:t>
      </w:r>
      <w:r>
        <w:rPr>
          <w:b/>
        </w:rPr>
        <w:t>Order is unlawful and unreasonable because the Commission</w:t>
      </w:r>
      <w:r w:rsidR="00D56FC4">
        <w:rPr>
          <w:b/>
        </w:rPr>
        <w:t>’s</w:t>
      </w:r>
      <w:r>
        <w:rPr>
          <w:b/>
        </w:rPr>
        <w:t xml:space="preserve"> </w:t>
      </w:r>
      <w:r w:rsidR="00D56FC4">
        <w:rPr>
          <w:b/>
        </w:rPr>
        <w:t xml:space="preserve">finding that it </w:t>
      </w:r>
      <w:r>
        <w:rPr>
          <w:b/>
        </w:rPr>
        <w:t xml:space="preserve">can lawfully determine that </w:t>
      </w:r>
      <w:r w:rsidR="00574364">
        <w:rPr>
          <w:b/>
        </w:rPr>
        <w:t>an entity</w:t>
      </w:r>
      <w:r>
        <w:rPr>
          <w:b/>
        </w:rPr>
        <w:t xml:space="preserve"> is operating as a public utility if the Commission finds that </w:t>
      </w:r>
      <w:r w:rsidR="00574364">
        <w:rPr>
          <w:b/>
        </w:rPr>
        <w:t>the entity fails</w:t>
      </w:r>
      <w:r>
        <w:rPr>
          <w:b/>
        </w:rPr>
        <w:t xml:space="preserve"> one of the prongs of the </w:t>
      </w:r>
      <w:r w:rsidRPr="00B82FB7">
        <w:rPr>
          <w:b/>
          <w:i/>
        </w:rPr>
        <w:t>Shroyer Test</w:t>
      </w:r>
      <w:r w:rsidR="00540DAC">
        <w:rPr>
          <w:b/>
        </w:rPr>
        <w:t xml:space="preserve"> violates statutory requirements and established precedent that a finding that an entity is a public utility is a mixed question of law and fact</w:t>
      </w:r>
      <w:r w:rsidR="002C4FAC">
        <w:rPr>
          <w:b/>
        </w:rPr>
        <w:t>.</w:t>
      </w:r>
    </w:p>
    <w:p w14:paraId="63EEC417" w14:textId="77777777" w:rsidR="002C4FAC" w:rsidRDefault="002C4FAC" w:rsidP="002C4FAC">
      <w:pPr>
        <w:jc w:val="both"/>
        <w:rPr>
          <w:b/>
        </w:rPr>
      </w:pPr>
    </w:p>
    <w:p w14:paraId="3F38FD29" w14:textId="4420711A" w:rsidR="002C4FAC" w:rsidRDefault="002C4FAC" w:rsidP="002C4FAC">
      <w:pPr>
        <w:jc w:val="both"/>
        <w:rPr>
          <w:rFonts w:eastAsia="Times New Roman" w:cs="Arial"/>
          <w:b/>
          <w:szCs w:val="20"/>
        </w:rPr>
      </w:pPr>
      <w:r>
        <w:rPr>
          <w:rFonts w:eastAsia="Times New Roman" w:cs="Arial"/>
          <w:b/>
          <w:szCs w:val="20"/>
        </w:rPr>
        <w:t xml:space="preserve">Assignment of Error 2:  </w:t>
      </w:r>
      <w:r w:rsidR="00657A86" w:rsidRPr="00657A86">
        <w:rPr>
          <w:rFonts w:eastAsia="Times New Roman" w:cs="Arial"/>
          <w:b/>
          <w:szCs w:val="20"/>
        </w:rPr>
        <w:t>The Finding and Order is unlawful and unreasonable because the Commission’s creation of a rebuttable presumption that an entity is a public utility based on a “Relative Price Test” is not based on a rational nexus between the proven facts and the presumed facts</w:t>
      </w:r>
      <w:r>
        <w:rPr>
          <w:rFonts w:eastAsia="Times New Roman" w:cs="Arial"/>
          <w:b/>
          <w:szCs w:val="20"/>
        </w:rPr>
        <w:t>.</w:t>
      </w:r>
    </w:p>
    <w:p w14:paraId="13ECA3EF" w14:textId="77777777" w:rsidR="00D56FC4" w:rsidRDefault="00D56FC4" w:rsidP="002C4FAC">
      <w:pPr>
        <w:jc w:val="both"/>
        <w:rPr>
          <w:rFonts w:eastAsia="Times New Roman" w:cs="Arial"/>
          <w:b/>
          <w:szCs w:val="20"/>
        </w:rPr>
      </w:pPr>
    </w:p>
    <w:p w14:paraId="083B3F0E" w14:textId="77777777" w:rsidR="002C4FAC" w:rsidRDefault="002C4FAC" w:rsidP="002C4FAC">
      <w:pPr>
        <w:jc w:val="both"/>
        <w:rPr>
          <w:rFonts w:eastAsia="Times New Roman" w:cs="Arial"/>
          <w:b/>
          <w:szCs w:val="20"/>
        </w:rPr>
      </w:pPr>
      <w:r>
        <w:rPr>
          <w:rFonts w:eastAsia="Times New Roman" w:cs="Arial"/>
          <w:b/>
          <w:szCs w:val="20"/>
        </w:rPr>
        <w:t>Assignment of Error 3:  The Finding and Order is unlawful and unreasonable because the Commission has engaged in rulemaking without complying with the requirements of R.C. 111.15.</w:t>
      </w:r>
    </w:p>
    <w:p w14:paraId="10FB165E" w14:textId="77777777" w:rsidR="002C4FAC" w:rsidRDefault="002C4FAC" w:rsidP="002C4FAC">
      <w:pPr>
        <w:jc w:val="both"/>
        <w:rPr>
          <w:rFonts w:eastAsia="Times New Roman" w:cs="Arial"/>
          <w:b/>
          <w:szCs w:val="20"/>
        </w:rPr>
      </w:pPr>
    </w:p>
    <w:p w14:paraId="00966478" w14:textId="2AD0872A" w:rsidR="0093110F" w:rsidRPr="0093110F" w:rsidRDefault="0093110F" w:rsidP="00B62938">
      <w:pPr>
        <w:spacing w:line="480" w:lineRule="auto"/>
        <w:ind w:firstLine="720"/>
        <w:jc w:val="both"/>
      </w:pPr>
      <w:r w:rsidRPr="0093110F">
        <w:t xml:space="preserve">As further discussed in the attached Memorandum in Support, </w:t>
      </w:r>
      <w:r w:rsidR="00DA1A8C">
        <w:t>IEU-Ohio</w:t>
      </w:r>
      <w:r w:rsidR="004C7642">
        <w:t>,</w:t>
      </w:r>
      <w:r w:rsidR="00771E22">
        <w:t xml:space="preserve"> </w:t>
      </w:r>
      <w:r w:rsidR="004C7642">
        <w:t>OHA, and OMA</w:t>
      </w:r>
      <w:r w:rsidR="004C7642" w:rsidRPr="0093110F">
        <w:t xml:space="preserve"> </w:t>
      </w:r>
      <w:r w:rsidRPr="0093110F">
        <w:t xml:space="preserve">request that the Commission grant rehearing and modify the </w:t>
      </w:r>
      <w:r w:rsidR="00B62938">
        <w:t xml:space="preserve">Finding and </w:t>
      </w:r>
      <w:r w:rsidRPr="0093110F">
        <w:t xml:space="preserve">Order to comply with Ohio law. </w:t>
      </w:r>
    </w:p>
    <w:p w14:paraId="1F3A4B32" w14:textId="7E516500" w:rsidR="00D0650C" w:rsidRDefault="00D0650C" w:rsidP="00705781">
      <w:pPr>
        <w:pStyle w:val="ListParagraph"/>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0"/>
        <w:jc w:val="both"/>
        <w:rPr>
          <w:rFonts w:eastAsia="Times New Roman" w:cs="Arial"/>
          <w:szCs w:val="20"/>
        </w:rPr>
      </w:pPr>
      <w:r>
        <w:rPr>
          <w:rFonts w:eastAsia="Times New Roman" w:cs="Arial"/>
          <w:szCs w:val="20"/>
        </w:rPr>
        <w:tab/>
      </w:r>
      <w:r>
        <w:rPr>
          <w:rFonts w:eastAsia="Times New Roman" w:cs="Arial"/>
          <w:szCs w:val="20"/>
        </w:rPr>
        <w:tab/>
      </w:r>
      <w:r>
        <w:rPr>
          <w:rFonts w:eastAsia="Times New Roman" w:cs="Arial"/>
          <w:szCs w:val="20"/>
        </w:rPr>
        <w:tab/>
      </w:r>
      <w:r>
        <w:rPr>
          <w:rFonts w:eastAsia="Times New Roman" w:cs="Arial"/>
          <w:szCs w:val="20"/>
        </w:rPr>
        <w:tab/>
      </w:r>
      <w:r>
        <w:rPr>
          <w:rFonts w:eastAsia="Times New Roman" w:cs="Arial"/>
          <w:szCs w:val="20"/>
        </w:rPr>
        <w:tab/>
        <w:t>Respectfully submitted,</w:t>
      </w:r>
    </w:p>
    <w:p w14:paraId="1A63785C" w14:textId="77777777" w:rsidR="00D0650C" w:rsidRDefault="00D0650C" w:rsidP="00D0650C">
      <w:pPr>
        <w:pStyle w:val="ListParagraph"/>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0"/>
        <w:rPr>
          <w:rFonts w:eastAsia="Times New Roman" w:cs="Arial"/>
          <w:szCs w:val="20"/>
        </w:rPr>
      </w:pPr>
    </w:p>
    <w:p w14:paraId="750D27ED" w14:textId="77777777" w:rsidR="00D0650C" w:rsidRDefault="00D0650C" w:rsidP="00705781">
      <w:pPr>
        <w:pStyle w:val="ListParagraph"/>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eastAsia="Times New Roman" w:cs="Arial"/>
          <w:szCs w:val="20"/>
        </w:rPr>
      </w:pPr>
      <w:r>
        <w:rPr>
          <w:rFonts w:eastAsia="Times New Roman" w:cs="Arial"/>
          <w:szCs w:val="20"/>
        </w:rPr>
        <w:tab/>
      </w:r>
      <w:r>
        <w:rPr>
          <w:rFonts w:eastAsia="Times New Roman" w:cs="Arial"/>
          <w:szCs w:val="20"/>
        </w:rPr>
        <w:tab/>
      </w:r>
      <w:r>
        <w:rPr>
          <w:rFonts w:eastAsia="Times New Roman" w:cs="Arial"/>
          <w:szCs w:val="20"/>
        </w:rPr>
        <w:tab/>
      </w:r>
      <w:r>
        <w:rPr>
          <w:rFonts w:eastAsia="Times New Roman" w:cs="Arial"/>
          <w:szCs w:val="20"/>
        </w:rPr>
        <w:tab/>
      </w:r>
      <w:r>
        <w:rPr>
          <w:rFonts w:eastAsia="Times New Roman" w:cs="Arial"/>
          <w:szCs w:val="20"/>
        </w:rPr>
        <w:tab/>
      </w:r>
      <w:r w:rsidRPr="000F1683">
        <w:rPr>
          <w:rFonts w:eastAsia="Times New Roman" w:cs="Arial"/>
          <w:i/>
          <w:szCs w:val="20"/>
          <w:u w:val="single"/>
        </w:rPr>
        <w:t>/s/</w:t>
      </w:r>
      <w:r>
        <w:rPr>
          <w:rFonts w:eastAsia="Times New Roman" w:cs="Arial"/>
          <w:szCs w:val="20"/>
          <w:u w:val="single"/>
        </w:rPr>
        <w:t xml:space="preserve"> </w:t>
      </w:r>
      <w:r>
        <w:rPr>
          <w:rFonts w:eastAsia="Times New Roman" w:cs="Arial"/>
          <w:i/>
          <w:szCs w:val="20"/>
          <w:u w:val="single"/>
        </w:rPr>
        <w:t>Frank P. Darr</w:t>
      </w:r>
      <w:r>
        <w:rPr>
          <w:rFonts w:eastAsia="Times New Roman" w:cs="Arial"/>
          <w:szCs w:val="20"/>
          <w:u w:val="single"/>
        </w:rPr>
        <w:tab/>
      </w:r>
      <w:r>
        <w:rPr>
          <w:rFonts w:eastAsia="Times New Roman" w:cs="Arial"/>
          <w:szCs w:val="20"/>
          <w:u w:val="single"/>
        </w:rPr>
        <w:tab/>
      </w:r>
      <w:r>
        <w:rPr>
          <w:rFonts w:eastAsia="Times New Roman" w:cs="Arial"/>
          <w:szCs w:val="20"/>
          <w:u w:val="single"/>
        </w:rPr>
        <w:tab/>
      </w:r>
      <w:r>
        <w:rPr>
          <w:rFonts w:eastAsia="Times New Roman" w:cs="Arial"/>
          <w:szCs w:val="20"/>
          <w:u w:val="single"/>
        </w:rPr>
        <w:tab/>
      </w:r>
    </w:p>
    <w:p w14:paraId="14C1AC61" w14:textId="77777777" w:rsidR="00D0650C" w:rsidRDefault="00D0650C" w:rsidP="00705781">
      <w:pPr>
        <w:widowControl w:val="0"/>
        <w:ind w:left="4320"/>
        <w:jc w:val="both"/>
        <w:rPr>
          <w:rFonts w:eastAsia="Calibri" w:cs="Arial"/>
          <w:bCs/>
        </w:rPr>
      </w:pPr>
      <w:r>
        <w:rPr>
          <w:rFonts w:eastAsia="Calibri" w:cs="Arial"/>
          <w:bCs/>
        </w:rPr>
        <w:t>Frank P. Darr (Reg. No. 0025469)</w:t>
      </w:r>
    </w:p>
    <w:p w14:paraId="64FED3B0" w14:textId="77777777" w:rsidR="00D0650C" w:rsidRDefault="00D0650C" w:rsidP="00705781">
      <w:pPr>
        <w:widowControl w:val="0"/>
        <w:ind w:left="4320"/>
        <w:jc w:val="both"/>
        <w:rPr>
          <w:rFonts w:eastAsia="Calibri" w:cs="Arial"/>
          <w:b/>
          <w:bCs/>
        </w:rPr>
      </w:pPr>
      <w:r>
        <w:rPr>
          <w:rFonts w:eastAsia="Calibri" w:cs="Arial"/>
          <w:bCs/>
        </w:rPr>
        <w:t>Matthew R. Pritchard (Reg. No. 0088070)</w:t>
      </w:r>
    </w:p>
    <w:p w14:paraId="1F0BE799" w14:textId="77777777" w:rsidR="00D0650C" w:rsidRDefault="00D0650C" w:rsidP="00705781">
      <w:pPr>
        <w:widowControl w:val="0"/>
        <w:ind w:left="4320"/>
        <w:jc w:val="both"/>
        <w:rPr>
          <w:rFonts w:eastAsia="Calibri" w:cs="Arial"/>
          <w:b/>
          <w:bCs/>
          <w:smallCaps/>
        </w:rPr>
      </w:pPr>
      <w:r>
        <w:rPr>
          <w:rFonts w:eastAsia="Calibri" w:cs="Arial"/>
          <w:bCs/>
          <w:smallCaps/>
        </w:rPr>
        <w:t>McNees Wallace &amp; Nurick LLC</w:t>
      </w:r>
    </w:p>
    <w:p w14:paraId="26C09833" w14:textId="77777777" w:rsidR="00D0650C" w:rsidRDefault="00D0650C" w:rsidP="00705781">
      <w:pPr>
        <w:widowControl w:val="0"/>
        <w:ind w:left="4320"/>
        <w:jc w:val="both"/>
        <w:rPr>
          <w:rFonts w:eastAsia="Calibri" w:cs="Arial"/>
          <w:b/>
          <w:bCs/>
        </w:rPr>
      </w:pPr>
      <w:r>
        <w:rPr>
          <w:rFonts w:eastAsia="Calibri" w:cs="Arial"/>
          <w:bCs/>
        </w:rPr>
        <w:t>21 East State Street, 17</w:t>
      </w:r>
      <w:r>
        <w:rPr>
          <w:rFonts w:eastAsia="Calibri" w:cs="Arial"/>
          <w:bCs/>
          <w:vertAlign w:val="superscript"/>
        </w:rPr>
        <w:t>TH</w:t>
      </w:r>
      <w:r>
        <w:rPr>
          <w:rFonts w:eastAsia="Calibri" w:cs="Arial"/>
          <w:bCs/>
        </w:rPr>
        <w:t xml:space="preserve"> Floor</w:t>
      </w:r>
    </w:p>
    <w:p w14:paraId="459B982C" w14:textId="77777777" w:rsidR="00D0650C" w:rsidRDefault="00D0650C" w:rsidP="00705781">
      <w:pPr>
        <w:tabs>
          <w:tab w:val="left" w:pos="-1440"/>
          <w:tab w:val="left" w:pos="-720"/>
          <w:tab w:val="left" w:pos="5040"/>
          <w:tab w:val="center" w:pos="7200"/>
        </w:tabs>
        <w:overflowPunct w:val="0"/>
        <w:autoSpaceDE w:val="0"/>
        <w:autoSpaceDN w:val="0"/>
        <w:adjustRightInd w:val="0"/>
        <w:ind w:left="4320"/>
        <w:jc w:val="both"/>
        <w:rPr>
          <w:rFonts w:eastAsia="Calibri" w:cs="Arial"/>
        </w:rPr>
      </w:pPr>
      <w:r>
        <w:rPr>
          <w:rFonts w:eastAsia="Calibri" w:cs="Arial"/>
        </w:rPr>
        <w:t>Columbus, OH  43215</w:t>
      </w:r>
    </w:p>
    <w:p w14:paraId="7D2999EF" w14:textId="77777777" w:rsidR="00D0650C" w:rsidRDefault="00D0650C" w:rsidP="00705781">
      <w:pPr>
        <w:tabs>
          <w:tab w:val="left" w:pos="-1440"/>
          <w:tab w:val="left" w:pos="-720"/>
          <w:tab w:val="left" w:pos="5040"/>
          <w:tab w:val="center" w:pos="7200"/>
        </w:tabs>
        <w:overflowPunct w:val="0"/>
        <w:autoSpaceDE w:val="0"/>
        <w:autoSpaceDN w:val="0"/>
        <w:adjustRightInd w:val="0"/>
        <w:ind w:left="4320"/>
        <w:jc w:val="both"/>
        <w:rPr>
          <w:rFonts w:eastAsia="Calibri" w:cs="Arial"/>
        </w:rPr>
      </w:pPr>
      <w:r>
        <w:rPr>
          <w:rFonts w:eastAsia="Calibri" w:cs="Arial"/>
        </w:rPr>
        <w:t>Telephone:  (614) 469-8000</w:t>
      </w:r>
    </w:p>
    <w:p w14:paraId="400370BE" w14:textId="77777777" w:rsidR="00D0650C" w:rsidRDefault="00D0650C" w:rsidP="00705781">
      <w:pPr>
        <w:tabs>
          <w:tab w:val="left" w:pos="-1440"/>
          <w:tab w:val="left" w:pos="-720"/>
          <w:tab w:val="left" w:pos="5040"/>
          <w:tab w:val="center" w:pos="7200"/>
        </w:tabs>
        <w:overflowPunct w:val="0"/>
        <w:autoSpaceDE w:val="0"/>
        <w:autoSpaceDN w:val="0"/>
        <w:adjustRightInd w:val="0"/>
        <w:ind w:left="4320"/>
        <w:jc w:val="both"/>
        <w:rPr>
          <w:rFonts w:eastAsia="Calibri" w:cs="Arial"/>
          <w:color w:val="000000"/>
        </w:rPr>
      </w:pPr>
      <w:r>
        <w:rPr>
          <w:rFonts w:eastAsia="Calibri" w:cs="Arial"/>
          <w:color w:val="000000"/>
        </w:rPr>
        <w:t>Telecopier:  (614) 469-4653</w:t>
      </w:r>
    </w:p>
    <w:p w14:paraId="5F08F9DF" w14:textId="77777777" w:rsidR="00D0650C" w:rsidRDefault="00D0650C" w:rsidP="00705781">
      <w:pPr>
        <w:tabs>
          <w:tab w:val="left" w:pos="-1440"/>
          <w:tab w:val="left" w:pos="-720"/>
          <w:tab w:val="left" w:pos="5040"/>
          <w:tab w:val="center" w:pos="7200"/>
        </w:tabs>
        <w:overflowPunct w:val="0"/>
        <w:autoSpaceDE w:val="0"/>
        <w:autoSpaceDN w:val="0"/>
        <w:adjustRightInd w:val="0"/>
        <w:ind w:left="4320"/>
        <w:jc w:val="both"/>
        <w:rPr>
          <w:rFonts w:eastAsia="Calibri" w:cs="Arial"/>
          <w:color w:val="000000"/>
        </w:rPr>
      </w:pPr>
      <w:r>
        <w:rPr>
          <w:rFonts w:eastAsia="Calibri" w:cs="Arial"/>
        </w:rPr>
        <w:t>fdarr@mwncmh.com</w:t>
      </w:r>
    </w:p>
    <w:p w14:paraId="7666B979" w14:textId="77777777" w:rsidR="00D0650C" w:rsidRDefault="00D0650C" w:rsidP="00705781">
      <w:pPr>
        <w:tabs>
          <w:tab w:val="left" w:pos="-1440"/>
          <w:tab w:val="left" w:pos="-720"/>
          <w:tab w:val="left" w:pos="5040"/>
          <w:tab w:val="center" w:pos="7200"/>
        </w:tabs>
        <w:overflowPunct w:val="0"/>
        <w:autoSpaceDE w:val="0"/>
        <w:autoSpaceDN w:val="0"/>
        <w:adjustRightInd w:val="0"/>
        <w:ind w:left="4320"/>
        <w:jc w:val="both"/>
        <w:rPr>
          <w:rFonts w:eastAsia="Calibri" w:cs="Arial"/>
          <w:smallCaps/>
          <w:color w:val="000000"/>
        </w:rPr>
      </w:pPr>
      <w:r>
        <w:rPr>
          <w:rFonts w:eastAsia="Calibri" w:cs="Arial"/>
          <w:color w:val="000000"/>
        </w:rPr>
        <w:t>mpritchard@mwncmh.com</w:t>
      </w:r>
    </w:p>
    <w:p w14:paraId="5DE65283" w14:textId="77777777" w:rsidR="00D0650C" w:rsidRDefault="00D0650C" w:rsidP="00705781">
      <w:pPr>
        <w:tabs>
          <w:tab w:val="left" w:pos="-1440"/>
          <w:tab w:val="left" w:pos="-720"/>
          <w:tab w:val="left" w:pos="5040"/>
          <w:tab w:val="center" w:pos="7200"/>
        </w:tabs>
        <w:overflowPunct w:val="0"/>
        <w:autoSpaceDE w:val="0"/>
        <w:autoSpaceDN w:val="0"/>
        <w:adjustRightInd w:val="0"/>
        <w:ind w:left="4320"/>
        <w:jc w:val="both"/>
        <w:rPr>
          <w:rFonts w:eastAsia="Calibri" w:cs="Arial"/>
          <w:color w:val="000000"/>
        </w:rPr>
      </w:pPr>
    </w:p>
    <w:p w14:paraId="67F859A8" w14:textId="77777777" w:rsidR="00D0650C" w:rsidRDefault="00D0650C" w:rsidP="002336D6">
      <w:pPr>
        <w:ind w:left="4320" w:hanging="4320"/>
        <w:rPr>
          <w:rFonts w:cs="Arial"/>
          <w:b/>
          <w:smallCaps/>
          <w:color w:val="000000"/>
        </w:rPr>
      </w:pPr>
      <w:r>
        <w:rPr>
          <w:rFonts w:cs="Arial"/>
          <w:b/>
          <w:smallCaps/>
          <w:color w:val="000000"/>
        </w:rPr>
        <w:tab/>
        <w:t>On Behalf of Industrial Energy Users-Ohio</w:t>
      </w:r>
    </w:p>
    <w:p w14:paraId="6284E754" w14:textId="77777777" w:rsidR="00771E22" w:rsidRDefault="00771E22" w:rsidP="00705781">
      <w:pPr>
        <w:ind w:left="4320" w:hanging="4320"/>
        <w:jc w:val="both"/>
        <w:rPr>
          <w:rFonts w:cs="Arial"/>
          <w:b/>
          <w:smallCaps/>
          <w:color w:val="000000"/>
        </w:rPr>
      </w:pPr>
    </w:p>
    <w:p w14:paraId="635B5DA6" w14:textId="292154EA" w:rsidR="00771E22" w:rsidRPr="00D32EE0" w:rsidRDefault="00DA576F" w:rsidP="00771E22">
      <w:pPr>
        <w:tabs>
          <w:tab w:val="left" w:pos="-1440"/>
          <w:tab w:val="left" w:pos="-720"/>
          <w:tab w:val="left" w:pos="4320"/>
          <w:tab w:val="left" w:pos="4779"/>
          <w:tab w:val="left" w:pos="7920"/>
        </w:tabs>
        <w:ind w:left="3600"/>
        <w:rPr>
          <w:rFonts w:eastAsia="PMingLiU" w:cs="Arial"/>
          <w:i/>
          <w:u w:val="single"/>
        </w:rPr>
      </w:pPr>
      <w:r>
        <w:rPr>
          <w:rFonts w:eastAsia="PMingLiU" w:cs="Arial"/>
        </w:rPr>
        <w:tab/>
      </w:r>
      <w:r w:rsidR="00771E22" w:rsidRPr="00D32EE0">
        <w:rPr>
          <w:rFonts w:eastAsia="PMingLiU" w:cs="Arial"/>
          <w:i/>
          <w:u w:val="single"/>
        </w:rPr>
        <w:t>/s/ Richard L. Sites</w:t>
      </w:r>
      <w:r w:rsidR="00771E22" w:rsidRPr="00D32EE0">
        <w:rPr>
          <w:rFonts w:eastAsia="PMingLiU" w:cs="Arial"/>
          <w:i/>
          <w:u w:val="single"/>
        </w:rPr>
        <w:tab/>
      </w:r>
      <w:r w:rsidR="00771E22" w:rsidRPr="00D32EE0">
        <w:rPr>
          <w:rFonts w:eastAsia="PMingLiU" w:cs="Arial"/>
          <w:i/>
          <w:u w:val="single"/>
        </w:rPr>
        <w:tab/>
      </w:r>
      <w:r w:rsidR="00771E22" w:rsidRPr="00D32EE0">
        <w:rPr>
          <w:rFonts w:eastAsia="PMingLiU" w:cs="Arial"/>
          <w:i/>
          <w:u w:val="single"/>
        </w:rPr>
        <w:tab/>
      </w:r>
    </w:p>
    <w:p w14:paraId="43248E29" w14:textId="77777777" w:rsidR="00771E22" w:rsidRPr="00D32EE0" w:rsidRDefault="00771E22" w:rsidP="00771E22">
      <w:pPr>
        <w:tabs>
          <w:tab w:val="left" w:pos="-1440"/>
          <w:tab w:val="left" w:pos="-720"/>
          <w:tab w:val="left" w:pos="4320"/>
          <w:tab w:val="left" w:pos="4779"/>
          <w:tab w:val="left" w:pos="7920"/>
        </w:tabs>
        <w:ind w:left="3600"/>
        <w:rPr>
          <w:rFonts w:eastAsia="PMingLiU" w:cs="Arial"/>
        </w:rPr>
      </w:pPr>
      <w:r>
        <w:rPr>
          <w:rFonts w:eastAsia="PMingLiU" w:cs="Arial"/>
        </w:rPr>
        <w:tab/>
      </w:r>
      <w:r w:rsidRPr="00D32EE0">
        <w:rPr>
          <w:rFonts w:eastAsia="PMingLiU" w:cs="Arial"/>
        </w:rPr>
        <w:t>Richard L. Sites</w:t>
      </w:r>
    </w:p>
    <w:p w14:paraId="6C6E811A" w14:textId="77777777" w:rsidR="00771E22" w:rsidRPr="00D32EE0" w:rsidRDefault="00771E22" w:rsidP="00771E22">
      <w:pPr>
        <w:tabs>
          <w:tab w:val="left" w:pos="4320"/>
          <w:tab w:val="left" w:pos="4779"/>
          <w:tab w:val="left" w:pos="7920"/>
        </w:tabs>
        <w:autoSpaceDE w:val="0"/>
        <w:autoSpaceDN w:val="0"/>
        <w:adjustRightInd w:val="0"/>
        <w:ind w:left="3600"/>
        <w:rPr>
          <w:rFonts w:eastAsia="PMingLiU" w:cs="Arial"/>
        </w:rPr>
      </w:pPr>
      <w:r>
        <w:rPr>
          <w:rFonts w:eastAsia="PMingLiU" w:cs="Arial"/>
        </w:rPr>
        <w:tab/>
      </w:r>
      <w:r w:rsidRPr="00D32EE0">
        <w:rPr>
          <w:rFonts w:eastAsia="PMingLiU" w:cs="Arial"/>
        </w:rPr>
        <w:t>Regulatory Counsel</w:t>
      </w:r>
    </w:p>
    <w:p w14:paraId="665BA3DA" w14:textId="56641C27" w:rsidR="00771E22" w:rsidRPr="001E6749" w:rsidRDefault="00771E22" w:rsidP="00771E22">
      <w:pPr>
        <w:tabs>
          <w:tab w:val="left" w:pos="4320"/>
          <w:tab w:val="left" w:pos="4779"/>
          <w:tab w:val="left" w:pos="7920"/>
        </w:tabs>
        <w:autoSpaceDE w:val="0"/>
        <w:autoSpaceDN w:val="0"/>
        <w:adjustRightInd w:val="0"/>
        <w:ind w:left="3600"/>
        <w:rPr>
          <w:rFonts w:eastAsia="PMingLiU" w:cs="Arial"/>
          <w:smallCaps/>
        </w:rPr>
      </w:pPr>
      <w:r>
        <w:rPr>
          <w:rFonts w:eastAsia="PMingLiU" w:cs="Arial"/>
        </w:rPr>
        <w:tab/>
      </w:r>
      <w:r w:rsidR="001E6749">
        <w:rPr>
          <w:rFonts w:eastAsia="PMingLiU" w:cs="Arial"/>
          <w:smallCaps/>
        </w:rPr>
        <w:t>Ohio Hospital Association</w:t>
      </w:r>
    </w:p>
    <w:p w14:paraId="64A9C121" w14:textId="77777777" w:rsidR="00771E22" w:rsidRPr="00D32EE0" w:rsidRDefault="00771E22" w:rsidP="00771E22">
      <w:pPr>
        <w:tabs>
          <w:tab w:val="left" w:pos="-1440"/>
          <w:tab w:val="left" w:pos="-720"/>
          <w:tab w:val="left" w:pos="4320"/>
          <w:tab w:val="left" w:pos="4779"/>
          <w:tab w:val="left" w:pos="7920"/>
        </w:tabs>
        <w:ind w:left="3600"/>
        <w:rPr>
          <w:rFonts w:eastAsia="PMingLiU" w:cs="Arial"/>
        </w:rPr>
      </w:pPr>
      <w:r>
        <w:rPr>
          <w:rFonts w:eastAsia="PMingLiU" w:cs="Arial"/>
        </w:rPr>
        <w:tab/>
      </w:r>
      <w:r w:rsidRPr="00D32EE0">
        <w:rPr>
          <w:rFonts w:eastAsia="PMingLiU" w:cs="Arial"/>
        </w:rPr>
        <w:t>155 East Broad Street, 3</w:t>
      </w:r>
      <w:r w:rsidRPr="00D32EE0">
        <w:rPr>
          <w:rFonts w:eastAsia="PMingLiU" w:cs="Arial"/>
          <w:vertAlign w:val="superscript"/>
        </w:rPr>
        <w:t>rd</w:t>
      </w:r>
      <w:r w:rsidRPr="00D32EE0">
        <w:rPr>
          <w:rFonts w:eastAsia="PMingLiU" w:cs="Arial"/>
        </w:rPr>
        <w:t xml:space="preserve"> Floor</w:t>
      </w:r>
    </w:p>
    <w:p w14:paraId="5F62EE25" w14:textId="77777777" w:rsidR="00771E22" w:rsidRPr="00D32EE0" w:rsidRDefault="00771E22" w:rsidP="00771E22">
      <w:pPr>
        <w:tabs>
          <w:tab w:val="left" w:pos="-1440"/>
          <w:tab w:val="left" w:pos="-720"/>
          <w:tab w:val="left" w:pos="4320"/>
          <w:tab w:val="left" w:pos="4779"/>
          <w:tab w:val="left" w:pos="7920"/>
        </w:tabs>
        <w:ind w:left="3600"/>
        <w:rPr>
          <w:rFonts w:eastAsia="PMingLiU" w:cs="Arial"/>
        </w:rPr>
      </w:pPr>
      <w:r>
        <w:rPr>
          <w:rFonts w:eastAsia="PMingLiU" w:cs="Arial"/>
        </w:rPr>
        <w:tab/>
      </w:r>
      <w:r w:rsidRPr="00D32EE0">
        <w:rPr>
          <w:rFonts w:eastAsia="PMingLiU" w:cs="Arial"/>
        </w:rPr>
        <w:t>Columbus, OH 43215-3620</w:t>
      </w:r>
    </w:p>
    <w:p w14:paraId="7156F581" w14:textId="77777777" w:rsidR="00771E22" w:rsidRPr="00D32EE0" w:rsidRDefault="00771E22" w:rsidP="00771E22">
      <w:pPr>
        <w:tabs>
          <w:tab w:val="left" w:pos="4320"/>
          <w:tab w:val="left" w:pos="4779"/>
          <w:tab w:val="left" w:pos="7920"/>
        </w:tabs>
        <w:ind w:left="3600"/>
        <w:rPr>
          <w:rFonts w:eastAsia="PMingLiU" w:cs="Arial"/>
        </w:rPr>
      </w:pPr>
      <w:r>
        <w:rPr>
          <w:rFonts w:eastAsia="PMingLiU" w:cs="Arial"/>
        </w:rPr>
        <w:tab/>
      </w:r>
      <w:r w:rsidRPr="00D32EE0">
        <w:rPr>
          <w:rFonts w:eastAsia="PMingLiU" w:cs="Arial"/>
        </w:rPr>
        <w:t xml:space="preserve">Telephone: </w:t>
      </w:r>
      <w:r>
        <w:rPr>
          <w:rFonts w:eastAsia="PMingLiU" w:cs="Arial"/>
        </w:rPr>
        <w:t xml:space="preserve"> </w:t>
      </w:r>
      <w:r w:rsidRPr="00D32EE0">
        <w:rPr>
          <w:rFonts w:eastAsia="PMingLiU" w:cs="Arial"/>
        </w:rPr>
        <w:t>(614) 221-7614</w:t>
      </w:r>
    </w:p>
    <w:p w14:paraId="30153D91" w14:textId="77777777" w:rsidR="00771E22" w:rsidRPr="00D32EE0" w:rsidRDefault="00771E22" w:rsidP="00771E22">
      <w:pPr>
        <w:tabs>
          <w:tab w:val="left" w:pos="4320"/>
          <w:tab w:val="left" w:pos="4779"/>
          <w:tab w:val="left" w:pos="7920"/>
        </w:tabs>
        <w:ind w:left="3600"/>
        <w:rPr>
          <w:rFonts w:eastAsia="PMingLiU" w:cs="Arial"/>
        </w:rPr>
      </w:pPr>
      <w:r>
        <w:rPr>
          <w:rFonts w:eastAsia="PMingLiU" w:cs="Arial"/>
        </w:rPr>
        <w:tab/>
      </w:r>
      <w:r w:rsidRPr="00D32EE0">
        <w:rPr>
          <w:rFonts w:eastAsia="PMingLiU" w:cs="Arial"/>
        </w:rPr>
        <w:t>Facsimile:  (614) 221-4771</w:t>
      </w:r>
    </w:p>
    <w:p w14:paraId="39E7A623" w14:textId="77777777" w:rsidR="00771E22" w:rsidRPr="00D32EE0" w:rsidRDefault="00771E22" w:rsidP="00771E22">
      <w:pPr>
        <w:tabs>
          <w:tab w:val="left" w:pos="-1440"/>
          <w:tab w:val="left" w:pos="-720"/>
          <w:tab w:val="left" w:pos="4320"/>
          <w:tab w:val="left" w:pos="4779"/>
          <w:tab w:val="left" w:pos="7920"/>
        </w:tabs>
        <w:spacing w:line="360" w:lineRule="auto"/>
        <w:ind w:left="3600"/>
        <w:rPr>
          <w:rFonts w:eastAsia="PMingLiU" w:cs="Arial"/>
        </w:rPr>
      </w:pPr>
      <w:r>
        <w:rPr>
          <w:rFonts w:eastAsia="PMingLiU" w:cs="Arial"/>
        </w:rPr>
        <w:tab/>
      </w:r>
      <w:hyperlink r:id="rId20" w:history="1">
        <w:r w:rsidRPr="00D32EE0">
          <w:rPr>
            <w:rFonts w:eastAsia="PMingLiU" w:cs="Arial"/>
          </w:rPr>
          <w:t>rick.sites@ohiohospitals.org</w:t>
        </w:r>
      </w:hyperlink>
      <w:r w:rsidRPr="00D32EE0">
        <w:rPr>
          <w:rFonts w:eastAsia="PMingLiU" w:cs="Arial"/>
        </w:rPr>
        <w:t xml:space="preserve"> </w:t>
      </w:r>
    </w:p>
    <w:p w14:paraId="06DD6AFA" w14:textId="77777777" w:rsidR="00771E22" w:rsidRDefault="00771E22" w:rsidP="00771E22">
      <w:pPr>
        <w:tabs>
          <w:tab w:val="left" w:pos="-1440"/>
          <w:tab w:val="left" w:pos="-720"/>
          <w:tab w:val="left" w:pos="4320"/>
          <w:tab w:val="left" w:pos="4779"/>
          <w:tab w:val="left" w:pos="7920"/>
        </w:tabs>
        <w:ind w:left="3600"/>
        <w:rPr>
          <w:rFonts w:ascii="Arial Bold" w:eastAsia="PMingLiU" w:hAnsi="Arial Bold" w:cs="Arial" w:hint="eastAsia"/>
          <w:b/>
          <w:smallCaps/>
        </w:rPr>
      </w:pPr>
      <w:r>
        <w:rPr>
          <w:rFonts w:ascii="Times New Roman" w:eastAsia="PMingLiU" w:hAnsi="Times New Roman" w:cs="Times New Roman"/>
        </w:rPr>
        <w:tab/>
      </w:r>
      <w:r w:rsidRPr="00D32EE0">
        <w:rPr>
          <w:rFonts w:ascii="Arial Bold" w:eastAsia="PMingLiU" w:hAnsi="Arial Bold" w:cs="Arial"/>
          <w:b/>
          <w:smallCaps/>
        </w:rPr>
        <w:t>On Behalf of Ohio Hospital Association</w:t>
      </w:r>
    </w:p>
    <w:p w14:paraId="26B90782" w14:textId="77777777" w:rsidR="0078611B" w:rsidRPr="00D32EE0" w:rsidRDefault="0078611B" w:rsidP="00771E22">
      <w:pPr>
        <w:tabs>
          <w:tab w:val="left" w:pos="-1440"/>
          <w:tab w:val="left" w:pos="-720"/>
          <w:tab w:val="left" w:pos="4320"/>
          <w:tab w:val="left" w:pos="4779"/>
          <w:tab w:val="left" w:pos="7920"/>
        </w:tabs>
        <w:ind w:left="3600"/>
        <w:rPr>
          <w:rFonts w:ascii="Arial Bold" w:eastAsia="PMingLiU" w:hAnsi="Arial Bold" w:cs="Arial" w:hint="eastAsia"/>
          <w:b/>
          <w:smallCaps/>
        </w:rPr>
      </w:pPr>
    </w:p>
    <w:p w14:paraId="1FAB7BE1" w14:textId="6D9FCE44" w:rsidR="00771E22" w:rsidRPr="0078611B" w:rsidRDefault="0078611B" w:rsidP="0078611B">
      <w:pPr>
        <w:ind w:left="4320"/>
        <w:jc w:val="both"/>
        <w:rPr>
          <w:rFonts w:cs="Arial"/>
          <w:i/>
          <w:color w:val="000000"/>
          <w:u w:val="single"/>
        </w:rPr>
      </w:pPr>
      <w:r>
        <w:rPr>
          <w:rFonts w:cs="Arial"/>
          <w:i/>
          <w:color w:val="000000"/>
          <w:u w:val="single"/>
        </w:rPr>
        <w:t>/s/ Robert A. Brundrett</w:t>
      </w:r>
      <w:r>
        <w:rPr>
          <w:rFonts w:cs="Arial"/>
          <w:i/>
          <w:color w:val="000000"/>
          <w:u w:val="single"/>
        </w:rPr>
        <w:tab/>
      </w:r>
      <w:r>
        <w:rPr>
          <w:rFonts w:cs="Arial"/>
          <w:i/>
          <w:color w:val="000000"/>
          <w:u w:val="single"/>
        </w:rPr>
        <w:tab/>
      </w:r>
      <w:r>
        <w:rPr>
          <w:rFonts w:cs="Arial"/>
          <w:i/>
          <w:color w:val="000000"/>
          <w:u w:val="single"/>
        </w:rPr>
        <w:tab/>
      </w:r>
      <w:r>
        <w:rPr>
          <w:rFonts w:cs="Arial"/>
          <w:i/>
          <w:color w:val="000000"/>
          <w:u w:val="single"/>
        </w:rPr>
        <w:tab/>
      </w:r>
    </w:p>
    <w:p w14:paraId="2F637CE5" w14:textId="6991DCEB" w:rsidR="002336D6" w:rsidRPr="00E161EE" w:rsidRDefault="002336D6" w:rsidP="002336D6">
      <w:pPr>
        <w:tabs>
          <w:tab w:val="left" w:pos="4320"/>
        </w:tabs>
        <w:rPr>
          <w:rFonts w:cs="Arial"/>
        </w:rPr>
      </w:pPr>
      <w:r>
        <w:rPr>
          <w:rFonts w:cs="Arial"/>
        </w:rPr>
        <w:tab/>
      </w:r>
      <w:r w:rsidRPr="00E161EE">
        <w:rPr>
          <w:rFonts w:cs="Arial"/>
        </w:rPr>
        <w:t>Robert A. Brundrett (0086538)</w:t>
      </w:r>
    </w:p>
    <w:p w14:paraId="16BB1936" w14:textId="77777777" w:rsidR="002336D6" w:rsidRPr="00E161EE" w:rsidRDefault="002336D6" w:rsidP="002336D6">
      <w:pPr>
        <w:tabs>
          <w:tab w:val="left" w:pos="4320"/>
        </w:tabs>
        <w:rPr>
          <w:rFonts w:cs="Arial"/>
        </w:rPr>
      </w:pPr>
      <w:r w:rsidRPr="00E161EE">
        <w:rPr>
          <w:rFonts w:cs="Arial"/>
        </w:rPr>
        <w:tab/>
        <w:t xml:space="preserve">OMA </w:t>
      </w:r>
      <w:r w:rsidRPr="00F97C25">
        <w:rPr>
          <w:rFonts w:cs="Arial"/>
          <w:smallCaps/>
        </w:rPr>
        <w:t>Energy Group</w:t>
      </w:r>
    </w:p>
    <w:p w14:paraId="22C2F30D" w14:textId="77777777" w:rsidR="002336D6" w:rsidRPr="00E161EE" w:rsidRDefault="002336D6" w:rsidP="002336D6">
      <w:pPr>
        <w:tabs>
          <w:tab w:val="left" w:pos="4320"/>
        </w:tabs>
        <w:rPr>
          <w:rFonts w:cs="Arial"/>
        </w:rPr>
      </w:pPr>
      <w:r w:rsidRPr="00E161EE">
        <w:rPr>
          <w:rFonts w:cs="Arial"/>
        </w:rPr>
        <w:tab/>
        <w:t>33 N. High St., 6</w:t>
      </w:r>
      <w:r w:rsidRPr="00E161EE">
        <w:rPr>
          <w:rFonts w:cs="Arial"/>
          <w:vertAlign w:val="superscript"/>
        </w:rPr>
        <w:t>th</w:t>
      </w:r>
      <w:r w:rsidRPr="00E161EE">
        <w:rPr>
          <w:rFonts w:cs="Arial"/>
        </w:rPr>
        <w:t xml:space="preserve"> Floor</w:t>
      </w:r>
    </w:p>
    <w:p w14:paraId="2BF309AC" w14:textId="77777777" w:rsidR="002336D6" w:rsidRPr="00E161EE" w:rsidRDefault="002336D6" w:rsidP="002336D6">
      <w:pPr>
        <w:tabs>
          <w:tab w:val="left" w:pos="4320"/>
        </w:tabs>
        <w:rPr>
          <w:rFonts w:cs="Arial"/>
        </w:rPr>
      </w:pPr>
      <w:r w:rsidRPr="00E161EE">
        <w:rPr>
          <w:rFonts w:cs="Arial"/>
        </w:rPr>
        <w:tab/>
        <w:t>Columbus, OH 43215</w:t>
      </w:r>
    </w:p>
    <w:p w14:paraId="25C6DE0F" w14:textId="77777777" w:rsidR="002336D6" w:rsidRPr="00E161EE" w:rsidRDefault="002336D6" w:rsidP="002336D6">
      <w:pPr>
        <w:tabs>
          <w:tab w:val="left" w:pos="4320"/>
        </w:tabs>
        <w:rPr>
          <w:rFonts w:cs="Arial"/>
        </w:rPr>
      </w:pPr>
      <w:r w:rsidRPr="00E161EE">
        <w:rPr>
          <w:rFonts w:cs="Arial"/>
        </w:rPr>
        <w:tab/>
        <w:t>Telephone: (614) 224-5111</w:t>
      </w:r>
    </w:p>
    <w:p w14:paraId="59419F5E" w14:textId="77777777" w:rsidR="002336D6" w:rsidRPr="00E161EE" w:rsidRDefault="002336D6" w:rsidP="002336D6">
      <w:pPr>
        <w:tabs>
          <w:tab w:val="left" w:pos="4320"/>
        </w:tabs>
        <w:rPr>
          <w:rFonts w:cs="Arial"/>
        </w:rPr>
      </w:pPr>
      <w:r w:rsidRPr="00E161EE">
        <w:rPr>
          <w:rFonts w:cs="Arial"/>
        </w:rPr>
        <w:tab/>
        <w:t>Fax:  (614) 469-4653</w:t>
      </w:r>
    </w:p>
    <w:p w14:paraId="458BC2A6" w14:textId="77777777" w:rsidR="002336D6" w:rsidRDefault="002336D6" w:rsidP="002336D6">
      <w:pPr>
        <w:tabs>
          <w:tab w:val="left" w:pos="4320"/>
        </w:tabs>
        <w:rPr>
          <w:rFonts w:cs="Arial"/>
        </w:rPr>
      </w:pPr>
      <w:r w:rsidRPr="00E161EE">
        <w:rPr>
          <w:rFonts w:cs="Arial"/>
        </w:rPr>
        <w:tab/>
      </w:r>
      <w:hyperlink r:id="rId21" w:history="1">
        <w:r w:rsidRPr="00B17E87">
          <w:rPr>
            <w:rStyle w:val="Hyperlink"/>
            <w:rFonts w:cs="Arial"/>
            <w:color w:val="auto"/>
            <w:u w:val="none"/>
          </w:rPr>
          <w:t>rbrundrett@ohiomfg.com</w:t>
        </w:r>
      </w:hyperlink>
    </w:p>
    <w:p w14:paraId="1DB72A8E" w14:textId="77777777" w:rsidR="002336D6" w:rsidRDefault="002336D6" w:rsidP="002336D6">
      <w:pPr>
        <w:tabs>
          <w:tab w:val="left" w:pos="4320"/>
        </w:tabs>
        <w:rPr>
          <w:rFonts w:cs="Arial"/>
        </w:rPr>
      </w:pPr>
    </w:p>
    <w:p w14:paraId="68A2249D" w14:textId="1BD50E5F" w:rsidR="002336D6" w:rsidRPr="002336D6" w:rsidRDefault="002336D6" w:rsidP="002336D6">
      <w:pPr>
        <w:ind w:left="4320" w:hanging="4320"/>
        <w:rPr>
          <w:rFonts w:cs="Arial"/>
          <w:smallCaps/>
          <w:color w:val="000000"/>
        </w:rPr>
      </w:pPr>
      <w:r>
        <w:rPr>
          <w:rFonts w:cs="Arial"/>
          <w:b/>
          <w:smallCaps/>
          <w:color w:val="000000"/>
        </w:rPr>
        <w:tab/>
      </w:r>
      <w:r w:rsidRPr="00547F79">
        <w:rPr>
          <w:rFonts w:ascii="Arial Bold" w:hAnsi="Arial Bold" w:cs="Arial"/>
          <w:b/>
          <w:smallCaps/>
        </w:rPr>
        <w:t xml:space="preserve">On Behalf of </w:t>
      </w:r>
      <w:r>
        <w:rPr>
          <w:rFonts w:ascii="Arial Bold" w:hAnsi="Arial Bold" w:cs="Arial"/>
          <w:b/>
          <w:smallCaps/>
        </w:rPr>
        <w:t>Ohio Manufacturers’ Association</w:t>
      </w:r>
      <w:r w:rsidRPr="00547F79">
        <w:rPr>
          <w:rFonts w:ascii="Arial Bold" w:hAnsi="Arial Bold" w:cs="Arial"/>
          <w:b/>
          <w:smallCaps/>
        </w:rPr>
        <w:t xml:space="preserve"> Energy Group</w:t>
      </w:r>
    </w:p>
    <w:p w14:paraId="10BC1712" w14:textId="77777777" w:rsidR="00771E22" w:rsidRDefault="00771E22" w:rsidP="00705781">
      <w:pPr>
        <w:ind w:left="4320" w:hanging="4320"/>
        <w:jc w:val="both"/>
        <w:rPr>
          <w:rFonts w:cs="Arial"/>
          <w:b/>
          <w:smallCaps/>
          <w:color w:val="000000"/>
        </w:rPr>
      </w:pPr>
    </w:p>
    <w:p w14:paraId="1ACDC716" w14:textId="77777777" w:rsidR="00771E22" w:rsidRDefault="00771E22" w:rsidP="00705781">
      <w:pPr>
        <w:ind w:left="4320" w:hanging="4320"/>
        <w:jc w:val="both"/>
        <w:rPr>
          <w:rFonts w:cs="Arial"/>
          <w:b/>
          <w:smallCaps/>
          <w:color w:val="000000"/>
        </w:rPr>
        <w:sectPr w:rsidR="00771E22" w:rsidSect="0064093F">
          <w:headerReference w:type="default" r:id="rId22"/>
          <w:footerReference w:type="default" r:id="rId23"/>
          <w:headerReference w:type="first" r:id="rId24"/>
          <w:footerReference w:type="first" r:id="rId25"/>
          <w:pgSz w:w="12240" w:h="15840" w:code="1"/>
          <w:pgMar w:top="1440" w:right="1440" w:bottom="1440" w:left="1440" w:header="720" w:footer="720" w:gutter="0"/>
          <w:pgNumType w:start="1"/>
          <w:cols w:space="720"/>
          <w:titlePg/>
          <w:docGrid w:linePitch="360"/>
        </w:sectPr>
      </w:pPr>
    </w:p>
    <w:p w14:paraId="5083B4D3" w14:textId="306B1D7F" w:rsidR="0093110F" w:rsidRPr="0093110F" w:rsidRDefault="0093110F" w:rsidP="00CF3D04">
      <w:pPr>
        <w:jc w:val="center"/>
        <w:rPr>
          <w:rFonts w:eastAsia="Times New Roman" w:cs="Arial"/>
          <w:b/>
          <w:color w:val="000000"/>
        </w:rPr>
      </w:pPr>
      <w:r w:rsidRPr="0093110F">
        <w:rPr>
          <w:rFonts w:eastAsia="Times New Roman" w:cs="Arial"/>
          <w:b/>
          <w:color w:val="000000"/>
        </w:rPr>
        <w:lastRenderedPageBreak/>
        <w:t>BEFORE</w:t>
      </w:r>
    </w:p>
    <w:p w14:paraId="67BCE8A1" w14:textId="77777777" w:rsidR="0093110F" w:rsidRPr="0093110F" w:rsidRDefault="0093110F" w:rsidP="0093110F">
      <w:pPr>
        <w:jc w:val="center"/>
        <w:rPr>
          <w:rFonts w:eastAsia="Times New Roman" w:cs="Arial"/>
          <w:b/>
          <w:color w:val="000000"/>
        </w:rPr>
      </w:pPr>
      <w:r w:rsidRPr="0093110F">
        <w:rPr>
          <w:rFonts w:eastAsia="Times New Roman" w:cs="Arial"/>
          <w:b/>
          <w:color w:val="000000"/>
        </w:rPr>
        <w:t>THE PUBLIC UTILITIES COMMISSION OF OHIO</w:t>
      </w:r>
    </w:p>
    <w:p w14:paraId="55354A7E" w14:textId="77777777" w:rsidR="0093110F" w:rsidRPr="0093110F" w:rsidRDefault="0093110F" w:rsidP="0093110F">
      <w:pPr>
        <w:rPr>
          <w:rFonts w:eastAsia="Times New Roman" w:cs="Arial"/>
        </w:rPr>
      </w:pPr>
    </w:p>
    <w:p w14:paraId="7877B416" w14:textId="77777777" w:rsidR="0093110F" w:rsidRPr="0093110F" w:rsidRDefault="0093110F" w:rsidP="0093110F">
      <w:pPr>
        <w:rPr>
          <w:rFonts w:eastAsia="Times New Roman"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7"/>
        <w:gridCol w:w="468"/>
        <w:gridCol w:w="4315"/>
      </w:tblGrid>
      <w:tr w:rsidR="00AF7DA8" w:rsidRPr="0093110F" w14:paraId="758F5D5A" w14:textId="77777777" w:rsidTr="00EE0C5C">
        <w:tc>
          <w:tcPr>
            <w:tcW w:w="4567" w:type="dxa"/>
            <w:vMerge w:val="restart"/>
          </w:tcPr>
          <w:p w14:paraId="2344BAE9" w14:textId="77777777" w:rsidR="00AF7DA8" w:rsidRPr="0093110F" w:rsidRDefault="00AF7DA8" w:rsidP="00EE0C5C">
            <w:pPr>
              <w:rPr>
                <w:rFonts w:eastAsia="Times New Roman" w:cs="Arial"/>
              </w:rPr>
            </w:pPr>
            <w:r>
              <w:rPr>
                <w:rFonts w:eastAsia="Times New Roman" w:cs="Arial"/>
              </w:rPr>
              <w:t>In the Matter of the Commission’s Investigation of Submetering in the State of Ohio</w:t>
            </w:r>
          </w:p>
        </w:tc>
        <w:tc>
          <w:tcPr>
            <w:tcW w:w="468" w:type="dxa"/>
          </w:tcPr>
          <w:p w14:paraId="1EC34D7F" w14:textId="77777777" w:rsidR="00AF7DA8" w:rsidRPr="0093110F" w:rsidRDefault="00AF7DA8" w:rsidP="00EE0C5C">
            <w:pPr>
              <w:rPr>
                <w:rFonts w:eastAsia="Times New Roman" w:cs="Arial"/>
              </w:rPr>
            </w:pPr>
          </w:p>
        </w:tc>
        <w:tc>
          <w:tcPr>
            <w:tcW w:w="4315" w:type="dxa"/>
          </w:tcPr>
          <w:p w14:paraId="4580B43D" w14:textId="77777777" w:rsidR="00AF7DA8" w:rsidRPr="0093110F" w:rsidRDefault="00AF7DA8" w:rsidP="00EE0C5C">
            <w:pPr>
              <w:rPr>
                <w:rFonts w:eastAsia="Times New Roman" w:cs="Arial"/>
              </w:rPr>
            </w:pPr>
          </w:p>
        </w:tc>
      </w:tr>
      <w:tr w:rsidR="00AF7DA8" w:rsidRPr="0093110F" w14:paraId="6FDD27D1" w14:textId="77777777" w:rsidTr="00EE0C5C">
        <w:tc>
          <w:tcPr>
            <w:tcW w:w="4567" w:type="dxa"/>
            <w:vMerge/>
          </w:tcPr>
          <w:p w14:paraId="17FD33B1" w14:textId="77777777" w:rsidR="00AF7DA8" w:rsidRPr="0093110F" w:rsidRDefault="00AF7DA8" w:rsidP="00EE0C5C">
            <w:pPr>
              <w:rPr>
                <w:rFonts w:eastAsia="Times New Roman" w:cs="Arial"/>
              </w:rPr>
            </w:pPr>
          </w:p>
        </w:tc>
        <w:tc>
          <w:tcPr>
            <w:tcW w:w="468" w:type="dxa"/>
          </w:tcPr>
          <w:p w14:paraId="67B4D9A7" w14:textId="77777777" w:rsidR="00AF7DA8" w:rsidRPr="0093110F" w:rsidRDefault="00AF7DA8" w:rsidP="00EE0C5C">
            <w:pPr>
              <w:rPr>
                <w:rFonts w:eastAsia="Times New Roman" w:cs="Arial"/>
              </w:rPr>
            </w:pPr>
          </w:p>
        </w:tc>
        <w:tc>
          <w:tcPr>
            <w:tcW w:w="4315" w:type="dxa"/>
          </w:tcPr>
          <w:p w14:paraId="200EB908" w14:textId="77777777" w:rsidR="00AF7DA8" w:rsidRPr="0093110F" w:rsidRDefault="00AF7DA8" w:rsidP="00EE0C5C">
            <w:pPr>
              <w:rPr>
                <w:rFonts w:eastAsia="Times New Roman" w:cs="Arial"/>
              </w:rPr>
            </w:pPr>
            <w:r>
              <w:rPr>
                <w:rFonts w:eastAsia="Times New Roman" w:cs="Arial"/>
              </w:rPr>
              <w:t>Case No. 15-1594-AU-COI</w:t>
            </w:r>
          </w:p>
        </w:tc>
      </w:tr>
      <w:tr w:rsidR="00AF7DA8" w:rsidRPr="0093110F" w14:paraId="0367BEF7" w14:textId="77777777" w:rsidTr="00EE0C5C">
        <w:tc>
          <w:tcPr>
            <w:tcW w:w="4567" w:type="dxa"/>
            <w:vMerge/>
          </w:tcPr>
          <w:p w14:paraId="124D7ACF" w14:textId="77777777" w:rsidR="00AF7DA8" w:rsidRPr="0093110F" w:rsidRDefault="00AF7DA8" w:rsidP="00EE0C5C">
            <w:pPr>
              <w:rPr>
                <w:rFonts w:eastAsia="Times New Roman" w:cs="Arial"/>
              </w:rPr>
            </w:pPr>
          </w:p>
        </w:tc>
        <w:tc>
          <w:tcPr>
            <w:tcW w:w="468" w:type="dxa"/>
          </w:tcPr>
          <w:p w14:paraId="416D10AB" w14:textId="77777777" w:rsidR="00AF7DA8" w:rsidRPr="0093110F" w:rsidRDefault="00AF7DA8" w:rsidP="00EE0C5C">
            <w:pPr>
              <w:rPr>
                <w:rFonts w:eastAsia="Times New Roman" w:cs="Arial"/>
              </w:rPr>
            </w:pPr>
          </w:p>
        </w:tc>
        <w:tc>
          <w:tcPr>
            <w:tcW w:w="4315" w:type="dxa"/>
          </w:tcPr>
          <w:p w14:paraId="1025562D" w14:textId="77777777" w:rsidR="00AF7DA8" w:rsidRPr="0093110F" w:rsidRDefault="00AF7DA8" w:rsidP="00EE0C5C">
            <w:pPr>
              <w:rPr>
                <w:rFonts w:eastAsia="Times New Roman" w:cs="Arial"/>
              </w:rPr>
            </w:pPr>
          </w:p>
        </w:tc>
      </w:tr>
    </w:tbl>
    <w:p w14:paraId="17EBF4DD" w14:textId="77777777" w:rsidR="007D6F85" w:rsidRDefault="007D6F85" w:rsidP="0093110F">
      <w:pPr>
        <w:tabs>
          <w:tab w:val="left" w:pos="503"/>
        </w:tabs>
        <w:jc w:val="both"/>
        <w:rPr>
          <w:rFonts w:eastAsia="Times New Roman" w:cs="Arial"/>
        </w:rPr>
      </w:pPr>
    </w:p>
    <w:p w14:paraId="382F5E7A" w14:textId="77777777" w:rsidR="00625435" w:rsidRPr="0093110F" w:rsidRDefault="00625435" w:rsidP="0093110F">
      <w:pPr>
        <w:tabs>
          <w:tab w:val="left" w:pos="503"/>
        </w:tabs>
        <w:jc w:val="both"/>
        <w:rPr>
          <w:rFonts w:eastAsia="Times New Roman" w:cs="Arial"/>
        </w:rPr>
      </w:pPr>
    </w:p>
    <w:p w14:paraId="56DBEC9E" w14:textId="77777777" w:rsidR="0093110F" w:rsidRPr="0093110F" w:rsidRDefault="0093110F" w:rsidP="0093110F">
      <w:pPr>
        <w:pBdr>
          <w:top w:val="single" w:sz="12" w:space="1" w:color="auto"/>
        </w:pBdr>
        <w:jc w:val="both"/>
        <w:rPr>
          <w:rFonts w:eastAsia="Calibri" w:cs="Arial"/>
          <w:b/>
          <w:szCs w:val="22"/>
        </w:rPr>
      </w:pPr>
    </w:p>
    <w:p w14:paraId="4E115FEF" w14:textId="7BDC7D8B" w:rsidR="0093110F" w:rsidRPr="0093110F" w:rsidRDefault="0093110F" w:rsidP="0093110F">
      <w:pPr>
        <w:pBdr>
          <w:top w:val="single" w:sz="12" w:space="1" w:color="auto"/>
        </w:pBdr>
        <w:jc w:val="center"/>
        <w:rPr>
          <w:rFonts w:eastAsia="Calibri" w:cs="Arial"/>
          <w:b/>
          <w:szCs w:val="22"/>
        </w:rPr>
      </w:pPr>
      <w:r w:rsidRPr="0093110F">
        <w:rPr>
          <w:rFonts w:eastAsia="Calibri" w:cs="Arial"/>
          <w:b/>
          <w:szCs w:val="22"/>
        </w:rPr>
        <w:t>MEMORANDUM IN SUPPORT</w:t>
      </w:r>
    </w:p>
    <w:p w14:paraId="0B9A3B4E" w14:textId="77777777" w:rsidR="0093110F" w:rsidRPr="0093110F" w:rsidRDefault="0093110F" w:rsidP="0093110F">
      <w:pPr>
        <w:pBdr>
          <w:bottom w:val="single" w:sz="12" w:space="1" w:color="auto"/>
        </w:pBdr>
        <w:jc w:val="both"/>
        <w:rPr>
          <w:rFonts w:eastAsia="Calibri" w:cs="Arial"/>
          <w:b/>
          <w:szCs w:val="22"/>
        </w:rPr>
      </w:pPr>
    </w:p>
    <w:p w14:paraId="36E1CCE5" w14:textId="77777777" w:rsidR="0093110F" w:rsidRPr="0093110F" w:rsidRDefault="0093110F" w:rsidP="0093110F">
      <w:pPr>
        <w:tabs>
          <w:tab w:val="left" w:pos="503"/>
        </w:tabs>
        <w:jc w:val="both"/>
        <w:rPr>
          <w:rFonts w:eastAsia="Times New Roman" w:cs="Arial"/>
        </w:rPr>
      </w:pPr>
    </w:p>
    <w:p w14:paraId="0F7E3174" w14:textId="77777777" w:rsidR="0093110F" w:rsidRPr="0093110F" w:rsidRDefault="0093110F" w:rsidP="0093110F">
      <w:pPr>
        <w:tabs>
          <w:tab w:val="left" w:pos="503"/>
        </w:tabs>
        <w:jc w:val="both"/>
        <w:rPr>
          <w:rFonts w:eastAsia="Times New Roman" w:cs="Arial"/>
        </w:rPr>
      </w:pPr>
    </w:p>
    <w:p w14:paraId="773BF4D2" w14:textId="77777777" w:rsidR="0093110F" w:rsidRPr="002C4FAC" w:rsidRDefault="0093110F" w:rsidP="00625435">
      <w:pPr>
        <w:pStyle w:val="Heading1"/>
        <w:rPr>
          <w:rFonts w:eastAsia="Times New Roman"/>
        </w:rPr>
      </w:pPr>
      <w:bookmarkStart w:id="3" w:name="_Toc470773472"/>
      <w:bookmarkStart w:id="4" w:name="_Toc470782970"/>
      <w:bookmarkStart w:id="5" w:name="_Toc470878120"/>
      <w:bookmarkStart w:id="6" w:name="_Toc471291638"/>
      <w:bookmarkStart w:id="7" w:name="_Toc471458088"/>
      <w:r w:rsidRPr="002C4FAC">
        <w:rPr>
          <w:rFonts w:eastAsia="Times New Roman"/>
        </w:rPr>
        <w:t>INTRODUCTION</w:t>
      </w:r>
      <w:bookmarkEnd w:id="3"/>
      <w:bookmarkEnd w:id="4"/>
      <w:bookmarkEnd w:id="5"/>
      <w:bookmarkEnd w:id="6"/>
      <w:bookmarkEnd w:id="7"/>
    </w:p>
    <w:p w14:paraId="5F936F6B" w14:textId="569F8CB1" w:rsidR="00F01B32" w:rsidRDefault="00717ADF" w:rsidP="002C4FAC">
      <w:pPr>
        <w:tabs>
          <w:tab w:val="left" w:pos="720"/>
        </w:tabs>
        <w:spacing w:line="480" w:lineRule="auto"/>
        <w:ind w:firstLine="720"/>
        <w:jc w:val="both"/>
        <w:rPr>
          <w:rFonts w:cs="Arial"/>
          <w:iCs/>
        </w:rPr>
      </w:pPr>
      <w:r>
        <w:rPr>
          <w:rFonts w:cs="Arial"/>
          <w:iCs/>
        </w:rPr>
        <w:t xml:space="preserve">In this investigation, the Commission is addressing </w:t>
      </w:r>
      <w:r w:rsidR="00B62938">
        <w:rPr>
          <w:rFonts w:cs="Arial"/>
          <w:iCs/>
        </w:rPr>
        <w:t xml:space="preserve">a significant public interest question </w:t>
      </w:r>
      <w:r>
        <w:rPr>
          <w:rFonts w:cs="Arial"/>
          <w:iCs/>
        </w:rPr>
        <w:t xml:space="preserve">regarding its ability to </w:t>
      </w:r>
      <w:r w:rsidR="00102952">
        <w:rPr>
          <w:rFonts w:cs="Arial"/>
          <w:iCs/>
        </w:rPr>
        <w:t>regulate</w:t>
      </w:r>
      <w:r>
        <w:rPr>
          <w:rFonts w:cs="Arial"/>
          <w:iCs/>
        </w:rPr>
        <w:t xml:space="preserve"> </w:t>
      </w:r>
      <w:r w:rsidR="00406C39">
        <w:rPr>
          <w:rFonts w:cs="Arial"/>
          <w:iCs/>
        </w:rPr>
        <w:t>submetering</w:t>
      </w:r>
      <w:r>
        <w:rPr>
          <w:rFonts w:cs="Arial"/>
          <w:iCs/>
        </w:rPr>
        <w:t xml:space="preserve">.  As the Office of the Ohio Consumers’ Counsel has repeatedly demonstrated, residential customers served in facilities with submetering arrangements are often victims of pricing and service problems that are </w:t>
      </w:r>
      <w:r w:rsidR="00172D86">
        <w:rPr>
          <w:rFonts w:cs="Arial"/>
          <w:iCs/>
        </w:rPr>
        <w:t>obviously unfair</w:t>
      </w:r>
      <w:r w:rsidR="003E1A88">
        <w:rPr>
          <w:rFonts w:cs="Arial"/>
          <w:iCs/>
        </w:rPr>
        <w:t xml:space="preserve"> and unreasonable</w:t>
      </w:r>
      <w:r w:rsidR="00172D86">
        <w:rPr>
          <w:rFonts w:cs="Arial"/>
          <w:iCs/>
        </w:rPr>
        <w:t xml:space="preserve">.  To the extent that it is permitted under Ohio law to address the issues presented by </w:t>
      </w:r>
      <w:r w:rsidR="003E1A88">
        <w:rPr>
          <w:rFonts w:cs="Arial"/>
          <w:iCs/>
        </w:rPr>
        <w:t>submetering</w:t>
      </w:r>
      <w:r w:rsidR="00172D86">
        <w:rPr>
          <w:rFonts w:cs="Arial"/>
          <w:iCs/>
        </w:rPr>
        <w:t xml:space="preserve">, the Commission should </w:t>
      </w:r>
      <w:r w:rsidR="003E1A88">
        <w:rPr>
          <w:rFonts w:cs="Arial"/>
          <w:iCs/>
        </w:rPr>
        <w:t>use that authority</w:t>
      </w:r>
      <w:r w:rsidR="00172D86">
        <w:rPr>
          <w:rFonts w:cs="Arial"/>
          <w:iCs/>
        </w:rPr>
        <w:t>.  At the same time, however, the Commission must address these pr</w:t>
      </w:r>
      <w:r w:rsidR="00523419">
        <w:rPr>
          <w:rFonts w:cs="Arial"/>
          <w:iCs/>
        </w:rPr>
        <w:t xml:space="preserve">oblems in ways that do not create collateral problems for those arrangements for redistribution of utility services in the </w:t>
      </w:r>
      <w:r w:rsidR="007F3DCC">
        <w:rPr>
          <w:rFonts w:cs="Arial"/>
          <w:iCs/>
        </w:rPr>
        <w:t xml:space="preserve">nonresidential </w:t>
      </w:r>
      <w:r w:rsidR="00523419">
        <w:rPr>
          <w:rFonts w:cs="Arial"/>
          <w:iCs/>
        </w:rPr>
        <w:t xml:space="preserve">sector that do not require and are not subject to Commission supervision.  The </w:t>
      </w:r>
      <w:r w:rsidR="002D2B4E">
        <w:rPr>
          <w:rFonts w:cs="Arial"/>
          <w:iCs/>
        </w:rPr>
        <w:t>Finding and Order</w:t>
      </w:r>
      <w:r w:rsidR="00523419">
        <w:rPr>
          <w:rFonts w:cs="Arial"/>
          <w:iCs/>
        </w:rPr>
        <w:t xml:space="preserve"> in this case failed to meet that commonly understood goal.</w:t>
      </w:r>
      <w:r w:rsidR="009405DE">
        <w:rPr>
          <w:rFonts w:cs="Arial"/>
          <w:iCs/>
        </w:rPr>
        <w:t xml:space="preserve">  As a result, IEU-Ohio, </w:t>
      </w:r>
      <w:r w:rsidR="00DA576F">
        <w:rPr>
          <w:rFonts w:cs="Arial"/>
          <w:iCs/>
        </w:rPr>
        <w:t>OHA</w:t>
      </w:r>
      <w:r w:rsidR="009405DE">
        <w:rPr>
          <w:rFonts w:cs="Arial"/>
          <w:iCs/>
        </w:rPr>
        <w:t>, and OMA</w:t>
      </w:r>
      <w:r w:rsidR="00DA576F">
        <w:rPr>
          <w:rFonts w:cs="Arial"/>
          <w:iCs/>
        </w:rPr>
        <w:t xml:space="preserve"> are </w:t>
      </w:r>
      <w:r w:rsidR="00F01B32">
        <w:rPr>
          <w:rFonts w:cs="Arial"/>
          <w:iCs/>
        </w:rPr>
        <w:t>seeking rehearing to urge the Commission to tailor its response based on the tools it already has.</w:t>
      </w:r>
    </w:p>
    <w:p w14:paraId="626C6F91" w14:textId="77777777" w:rsidR="00B042E1" w:rsidRDefault="00B042E1" w:rsidP="002C4FAC">
      <w:pPr>
        <w:tabs>
          <w:tab w:val="left" w:pos="720"/>
        </w:tabs>
        <w:spacing w:line="480" w:lineRule="auto"/>
        <w:ind w:firstLine="720"/>
        <w:jc w:val="both"/>
        <w:rPr>
          <w:rFonts w:cs="Arial"/>
          <w:iCs/>
        </w:rPr>
      </w:pPr>
    </w:p>
    <w:p w14:paraId="7500EC75" w14:textId="77777777" w:rsidR="00B042E1" w:rsidRDefault="00B042E1" w:rsidP="002C4FAC">
      <w:pPr>
        <w:tabs>
          <w:tab w:val="left" w:pos="720"/>
        </w:tabs>
        <w:spacing w:line="480" w:lineRule="auto"/>
        <w:ind w:firstLine="720"/>
        <w:jc w:val="both"/>
        <w:rPr>
          <w:rFonts w:cs="Arial"/>
          <w:iCs/>
        </w:rPr>
      </w:pPr>
    </w:p>
    <w:p w14:paraId="02DDA90E" w14:textId="77777777" w:rsidR="00406C39" w:rsidRDefault="00406C39" w:rsidP="002C4FAC">
      <w:pPr>
        <w:tabs>
          <w:tab w:val="left" w:pos="720"/>
        </w:tabs>
        <w:spacing w:line="480" w:lineRule="auto"/>
        <w:ind w:firstLine="720"/>
        <w:jc w:val="both"/>
        <w:rPr>
          <w:rFonts w:cs="Arial"/>
          <w:iCs/>
        </w:rPr>
      </w:pPr>
    </w:p>
    <w:p w14:paraId="59BAECBD" w14:textId="49B21956" w:rsidR="007A2663" w:rsidRPr="007A2663" w:rsidRDefault="00625435" w:rsidP="00625435">
      <w:pPr>
        <w:pStyle w:val="Heading1"/>
      </w:pPr>
      <w:bookmarkStart w:id="8" w:name="_Toc470773473"/>
      <w:bookmarkStart w:id="9" w:name="_Toc470782971"/>
      <w:bookmarkStart w:id="10" w:name="_Toc470878121"/>
      <w:bookmarkStart w:id="11" w:name="_Toc471291639"/>
      <w:bookmarkStart w:id="12" w:name="_Toc471458089"/>
      <w:r>
        <w:lastRenderedPageBreak/>
        <w:t>BACKGROUND</w:t>
      </w:r>
      <w:bookmarkEnd w:id="8"/>
      <w:bookmarkEnd w:id="9"/>
      <w:bookmarkEnd w:id="10"/>
      <w:bookmarkEnd w:id="11"/>
      <w:bookmarkEnd w:id="12"/>
    </w:p>
    <w:p w14:paraId="522C19A5" w14:textId="6269A1CC" w:rsidR="00A84F8E" w:rsidRPr="002C4FAC" w:rsidRDefault="009E4D22" w:rsidP="002C4FAC">
      <w:pPr>
        <w:tabs>
          <w:tab w:val="left" w:pos="720"/>
        </w:tabs>
        <w:spacing w:line="480" w:lineRule="auto"/>
        <w:ind w:firstLine="720"/>
        <w:jc w:val="both"/>
        <w:rPr>
          <w:rFonts w:eastAsia="Times New Roman" w:cs="Arial"/>
        </w:rPr>
      </w:pPr>
      <w:r w:rsidRPr="002C4FAC">
        <w:rPr>
          <w:rFonts w:cs="Arial"/>
          <w:iCs/>
        </w:rPr>
        <w:t xml:space="preserve">In </w:t>
      </w:r>
      <w:r w:rsidRPr="002C4FAC">
        <w:rPr>
          <w:rFonts w:cs="Arial"/>
          <w:i/>
          <w:iCs/>
        </w:rPr>
        <w:t xml:space="preserve">In re </w:t>
      </w:r>
      <w:r w:rsidR="00B0668B">
        <w:rPr>
          <w:rFonts w:cs="Arial"/>
          <w:i/>
          <w:iCs/>
        </w:rPr>
        <w:t xml:space="preserve">the Matter of the </w:t>
      </w:r>
      <w:r w:rsidRPr="002C4FAC">
        <w:rPr>
          <w:rFonts w:cs="Arial"/>
          <w:i/>
          <w:iCs/>
        </w:rPr>
        <w:t>Complaints of Inscho v. Shroyer's Mobile Homes,</w:t>
      </w:r>
      <w:r w:rsidRPr="002C4FAC">
        <w:rPr>
          <w:rFonts w:cs="Arial"/>
        </w:rPr>
        <w:t xml:space="preserve"> Case Nos. 90-182-WS-CSS, </w:t>
      </w:r>
      <w:r w:rsidRPr="002C4FAC">
        <w:rPr>
          <w:rFonts w:cs="Arial"/>
          <w:i/>
        </w:rPr>
        <w:t>et al</w:t>
      </w:r>
      <w:r w:rsidRPr="002C4FAC">
        <w:rPr>
          <w:rFonts w:cs="Arial"/>
        </w:rPr>
        <w:t>., (Feb. 27, 1992) (“</w:t>
      </w:r>
      <w:r w:rsidRPr="002C4FAC">
        <w:rPr>
          <w:rFonts w:cs="Arial"/>
          <w:i/>
        </w:rPr>
        <w:t>Shroyer</w:t>
      </w:r>
      <w:r w:rsidRPr="002C4FAC">
        <w:rPr>
          <w:rFonts w:cs="Arial"/>
        </w:rPr>
        <w:t>”</w:t>
      </w:r>
      <w:r w:rsidR="00556491">
        <w:rPr>
          <w:rFonts w:cs="Arial"/>
        </w:rPr>
        <w:t xml:space="preserve"> or “</w:t>
      </w:r>
      <w:r w:rsidR="00556491" w:rsidRPr="00556491">
        <w:rPr>
          <w:rFonts w:cs="Arial"/>
          <w:i/>
        </w:rPr>
        <w:t>Shroyer Test</w:t>
      </w:r>
      <w:r w:rsidR="00556491">
        <w:rPr>
          <w:rFonts w:cs="Arial"/>
        </w:rPr>
        <w:t>” as the context requires</w:t>
      </w:r>
      <w:r w:rsidRPr="002C4FAC">
        <w:rPr>
          <w:rFonts w:cs="Arial"/>
        </w:rPr>
        <w:t>), t</w:t>
      </w:r>
      <w:r w:rsidR="001C6852" w:rsidRPr="002C4FAC">
        <w:rPr>
          <w:rFonts w:eastAsia="Times New Roman" w:cs="Arial"/>
        </w:rPr>
        <w:t>he</w:t>
      </w:r>
      <w:r w:rsidR="00A84F8E" w:rsidRPr="002C4FAC">
        <w:rPr>
          <w:rFonts w:eastAsia="Times New Roman" w:cs="Arial"/>
        </w:rPr>
        <w:t xml:space="preserve"> Commission </w:t>
      </w:r>
      <w:r w:rsidRPr="002C4FAC">
        <w:rPr>
          <w:rFonts w:eastAsia="Times New Roman" w:cs="Arial"/>
        </w:rPr>
        <w:t xml:space="preserve">established </w:t>
      </w:r>
      <w:r w:rsidR="00BB55A9" w:rsidRPr="002C4FAC">
        <w:rPr>
          <w:rFonts w:eastAsia="Times New Roman" w:cs="Arial"/>
        </w:rPr>
        <w:t xml:space="preserve">a </w:t>
      </w:r>
      <w:r w:rsidR="00A84F8E" w:rsidRPr="002C4FAC">
        <w:rPr>
          <w:rFonts w:eastAsia="Times New Roman" w:cs="Arial"/>
        </w:rPr>
        <w:t xml:space="preserve">test (that the Supreme Court </w:t>
      </w:r>
      <w:r w:rsidR="000F7E4B">
        <w:rPr>
          <w:rFonts w:eastAsia="Times New Roman" w:cs="Arial"/>
        </w:rPr>
        <w:t xml:space="preserve">of </w:t>
      </w:r>
      <w:r w:rsidR="000F7E4B" w:rsidRPr="002C4FAC">
        <w:rPr>
          <w:rFonts w:eastAsia="Times New Roman" w:cs="Arial"/>
        </w:rPr>
        <w:t xml:space="preserve">Ohio </w:t>
      </w:r>
      <w:r w:rsidR="00A84F8E" w:rsidRPr="002C4FAC">
        <w:rPr>
          <w:rFonts w:eastAsia="Times New Roman" w:cs="Arial"/>
        </w:rPr>
        <w:t xml:space="preserve">(“Court”) affirmed in </w:t>
      </w:r>
      <w:r w:rsidR="00D64ABC" w:rsidRPr="002C4FAC">
        <w:rPr>
          <w:rFonts w:eastAsia="Times New Roman" w:cs="Arial"/>
          <w:i/>
        </w:rPr>
        <w:t>Pledger v. Pub. Util. Comm’n of Ohio</w:t>
      </w:r>
      <w:r w:rsidR="00D64ABC" w:rsidRPr="002C4FAC">
        <w:rPr>
          <w:rFonts w:eastAsia="Times New Roman" w:cs="Arial"/>
        </w:rPr>
        <w:t>, 109 Ohio St.3d 463 (2006) (“</w:t>
      </w:r>
      <w:r w:rsidR="00D64ABC" w:rsidRPr="002C4FAC">
        <w:rPr>
          <w:rFonts w:eastAsia="Times New Roman" w:cs="Arial"/>
          <w:i/>
        </w:rPr>
        <w:t>Pledger</w:t>
      </w:r>
      <w:r w:rsidR="00D64ABC" w:rsidRPr="002C4FAC">
        <w:rPr>
          <w:rFonts w:eastAsia="Times New Roman" w:cs="Arial"/>
        </w:rPr>
        <w:t>”)</w:t>
      </w:r>
      <w:r w:rsidR="00A84F8E" w:rsidRPr="002C4FAC">
        <w:rPr>
          <w:rFonts w:eastAsia="Times New Roman" w:cs="Arial"/>
        </w:rPr>
        <w:t xml:space="preserve">) to determine if a landlord providing certain services to a tenant falls within the definition of a public utility subject to the Commission’s regulation and supervision.  </w:t>
      </w:r>
      <w:r w:rsidR="000D5632" w:rsidRPr="002C4FAC">
        <w:rPr>
          <w:rFonts w:eastAsia="Times New Roman" w:cs="Arial"/>
        </w:rPr>
        <w:t>Under the</w:t>
      </w:r>
      <w:r w:rsidR="00BB55A9" w:rsidRPr="002C4FAC">
        <w:rPr>
          <w:rFonts w:eastAsia="Times New Roman" w:cs="Arial"/>
        </w:rPr>
        <w:t xml:space="preserve"> test, the Commission considers</w:t>
      </w:r>
      <w:r w:rsidR="000D5632" w:rsidRPr="002C4FAC">
        <w:rPr>
          <w:rFonts w:eastAsia="Times New Roman" w:cs="Arial"/>
        </w:rPr>
        <w:t xml:space="preserve"> three questions:</w:t>
      </w:r>
    </w:p>
    <w:p w14:paraId="00E0A470" w14:textId="77777777" w:rsidR="00A84F8E" w:rsidRPr="002C4FAC" w:rsidRDefault="00A84F8E" w:rsidP="002C4FAC">
      <w:pPr>
        <w:tabs>
          <w:tab w:val="left" w:pos="1026"/>
        </w:tabs>
        <w:ind w:left="1440" w:right="806" w:hanging="720"/>
        <w:jc w:val="both"/>
        <w:rPr>
          <w:rFonts w:eastAsia="Times New Roman" w:cs="Arial"/>
        </w:rPr>
      </w:pPr>
      <w:r w:rsidRPr="002C4FAC">
        <w:rPr>
          <w:rFonts w:eastAsia="Times New Roman" w:cs="Arial"/>
        </w:rPr>
        <w:t xml:space="preserve">1. </w:t>
      </w:r>
      <w:r w:rsidRPr="002C4FAC">
        <w:rPr>
          <w:rFonts w:eastAsia="Times New Roman" w:cs="Arial"/>
        </w:rPr>
        <w:tab/>
      </w:r>
      <w:r w:rsidRPr="002C4FAC">
        <w:rPr>
          <w:rFonts w:eastAsia="Times New Roman" w:cs="Arial"/>
        </w:rPr>
        <w:tab/>
        <w:t>Does the landlord avail itself of the special benefits available to public utilities (e.g. - public franchise, public right of way, or the right of eminent domain in the construction or operation of its service)?</w:t>
      </w:r>
    </w:p>
    <w:p w14:paraId="451119D4" w14:textId="77777777" w:rsidR="00A84F8E" w:rsidRPr="002C4FAC" w:rsidRDefault="00A84F8E" w:rsidP="002C4FAC">
      <w:pPr>
        <w:tabs>
          <w:tab w:val="left" w:pos="1026"/>
        </w:tabs>
        <w:ind w:left="1440" w:right="810" w:hanging="720"/>
        <w:jc w:val="both"/>
        <w:rPr>
          <w:rFonts w:eastAsia="Times New Roman" w:cs="Arial"/>
        </w:rPr>
      </w:pPr>
    </w:p>
    <w:p w14:paraId="3C18BC40" w14:textId="54C945A4" w:rsidR="00A84F8E" w:rsidRPr="002C4FAC" w:rsidRDefault="00A84F8E" w:rsidP="002C4FAC">
      <w:pPr>
        <w:tabs>
          <w:tab w:val="left" w:pos="1026"/>
        </w:tabs>
        <w:ind w:left="1440" w:right="810" w:hanging="720"/>
        <w:jc w:val="both"/>
        <w:rPr>
          <w:rFonts w:eastAsia="Times New Roman" w:cs="Arial"/>
        </w:rPr>
      </w:pPr>
      <w:r w:rsidRPr="002C4FAC">
        <w:rPr>
          <w:rFonts w:eastAsia="Times New Roman" w:cs="Arial"/>
        </w:rPr>
        <w:t xml:space="preserve">2. </w:t>
      </w:r>
      <w:r w:rsidRPr="002C4FAC">
        <w:rPr>
          <w:rFonts w:eastAsia="Times New Roman" w:cs="Arial"/>
        </w:rPr>
        <w:tab/>
      </w:r>
      <w:r w:rsidRPr="002C4FAC">
        <w:rPr>
          <w:rFonts w:eastAsia="Times New Roman" w:cs="Arial"/>
        </w:rPr>
        <w:tab/>
        <w:t xml:space="preserve">Does the landlord only provide the utility service to </w:t>
      </w:r>
      <w:r w:rsidR="00800526">
        <w:rPr>
          <w:rFonts w:eastAsia="Times New Roman" w:cs="Arial"/>
        </w:rPr>
        <w:t>its</w:t>
      </w:r>
      <w:r w:rsidR="00800526" w:rsidRPr="002C4FAC">
        <w:rPr>
          <w:rFonts w:eastAsia="Times New Roman" w:cs="Arial"/>
        </w:rPr>
        <w:t xml:space="preserve"> </w:t>
      </w:r>
      <w:r w:rsidRPr="002C4FAC">
        <w:rPr>
          <w:rFonts w:eastAsia="Times New Roman" w:cs="Arial"/>
        </w:rPr>
        <w:t>tenants rather than the general public?</w:t>
      </w:r>
    </w:p>
    <w:p w14:paraId="1BFAA736" w14:textId="77777777" w:rsidR="00A84F8E" w:rsidRPr="002C4FAC" w:rsidRDefault="00A84F8E" w:rsidP="002C4FAC">
      <w:pPr>
        <w:tabs>
          <w:tab w:val="left" w:pos="1026"/>
        </w:tabs>
        <w:ind w:left="1440" w:right="810" w:hanging="720"/>
        <w:jc w:val="both"/>
        <w:rPr>
          <w:rFonts w:eastAsia="Times New Roman" w:cs="Arial"/>
        </w:rPr>
      </w:pPr>
    </w:p>
    <w:p w14:paraId="79ED92CA" w14:textId="77777777" w:rsidR="00A84F8E" w:rsidRPr="002C4FAC" w:rsidRDefault="00A84F8E" w:rsidP="002C4FAC">
      <w:pPr>
        <w:tabs>
          <w:tab w:val="left" w:pos="1026"/>
        </w:tabs>
        <w:ind w:left="1440" w:right="810" w:hanging="720"/>
        <w:jc w:val="both"/>
        <w:rPr>
          <w:rFonts w:eastAsia="Times New Roman" w:cs="Arial"/>
        </w:rPr>
      </w:pPr>
      <w:r w:rsidRPr="002C4FAC">
        <w:rPr>
          <w:rFonts w:eastAsia="Times New Roman" w:cs="Arial"/>
        </w:rPr>
        <w:t>3.</w:t>
      </w:r>
      <w:r w:rsidRPr="002C4FAC">
        <w:rPr>
          <w:rFonts w:eastAsia="Times New Roman" w:cs="Arial"/>
        </w:rPr>
        <w:tab/>
      </w:r>
      <w:r w:rsidRPr="002C4FAC">
        <w:rPr>
          <w:rFonts w:eastAsia="Times New Roman" w:cs="Arial"/>
        </w:rPr>
        <w:tab/>
        <w:t>Is the provision of the utility service clearly ancillary to the landlord’s primary business?</w:t>
      </w:r>
    </w:p>
    <w:p w14:paraId="2A2536DC" w14:textId="77777777" w:rsidR="00A84F8E" w:rsidRPr="002C4FAC" w:rsidRDefault="00A84F8E" w:rsidP="002C4FAC">
      <w:pPr>
        <w:tabs>
          <w:tab w:val="left" w:pos="1026"/>
        </w:tabs>
        <w:ind w:left="1440" w:right="810" w:hanging="720"/>
        <w:jc w:val="both"/>
        <w:rPr>
          <w:rFonts w:eastAsia="Times New Roman" w:cs="Arial"/>
        </w:rPr>
      </w:pPr>
    </w:p>
    <w:p w14:paraId="70B669EA" w14:textId="18510754" w:rsidR="00A84F8E" w:rsidRPr="002C4FAC" w:rsidRDefault="00A84F8E" w:rsidP="002C4FAC">
      <w:pPr>
        <w:tabs>
          <w:tab w:val="left" w:pos="720"/>
        </w:tabs>
        <w:spacing w:line="480" w:lineRule="auto"/>
        <w:jc w:val="both"/>
        <w:rPr>
          <w:rFonts w:eastAsia="Times New Roman" w:cs="Arial"/>
        </w:rPr>
      </w:pPr>
      <w:r w:rsidRPr="002C4FAC">
        <w:rPr>
          <w:rFonts w:eastAsia="Times New Roman" w:cs="Arial"/>
          <w:i/>
          <w:iCs/>
        </w:rPr>
        <w:t>Shroyer</w:t>
      </w:r>
      <w:r w:rsidRPr="002C4FAC">
        <w:rPr>
          <w:rFonts w:eastAsia="Times New Roman" w:cs="Arial"/>
        </w:rPr>
        <w:t xml:space="preserve">, Opinion and Order at 4 (Feb. 27, 1992).  </w:t>
      </w:r>
      <w:r w:rsidRPr="002C4FAC">
        <w:rPr>
          <w:rFonts w:eastAsia="Times New Roman" w:cs="Arial"/>
          <w:i/>
        </w:rPr>
        <w:t>See, also,</w:t>
      </w:r>
      <w:r w:rsidRPr="002C4FAC">
        <w:rPr>
          <w:rFonts w:eastAsia="Times New Roman" w:cs="Arial"/>
        </w:rPr>
        <w:t xml:space="preserve"> </w:t>
      </w:r>
      <w:r w:rsidRPr="002C4FAC">
        <w:rPr>
          <w:rFonts w:eastAsia="Times New Roman" w:cs="Arial"/>
          <w:i/>
          <w:iCs/>
        </w:rPr>
        <w:t>Brooks, et al. v. Toledo Edison Co.</w:t>
      </w:r>
      <w:r w:rsidRPr="002C4FAC">
        <w:rPr>
          <w:rFonts w:eastAsia="Times New Roman" w:cs="Arial"/>
        </w:rPr>
        <w:t>,</w:t>
      </w:r>
      <w:r w:rsidRPr="002C4FAC">
        <w:rPr>
          <w:rFonts w:eastAsia="Times New Roman" w:cs="Arial"/>
          <w:i/>
          <w:iCs/>
        </w:rPr>
        <w:t xml:space="preserve"> </w:t>
      </w:r>
      <w:r w:rsidRPr="002C4FAC">
        <w:rPr>
          <w:rFonts w:eastAsia="Times New Roman" w:cs="Arial"/>
        </w:rPr>
        <w:t xml:space="preserve">Case No. 94-1987, Entry </w:t>
      </w:r>
      <w:r w:rsidR="00321976">
        <w:rPr>
          <w:rFonts w:eastAsia="Times New Roman" w:cs="Arial"/>
        </w:rPr>
        <w:t>at ¶¶ 9-</w:t>
      </w:r>
      <w:r w:rsidR="00562EA8">
        <w:rPr>
          <w:rFonts w:eastAsia="Times New Roman" w:cs="Arial"/>
        </w:rPr>
        <w:t>12</w:t>
      </w:r>
      <w:r w:rsidR="00321976">
        <w:rPr>
          <w:rFonts w:eastAsia="Times New Roman" w:cs="Arial"/>
        </w:rPr>
        <w:t xml:space="preserve"> </w:t>
      </w:r>
      <w:r w:rsidRPr="002C4FAC">
        <w:rPr>
          <w:rFonts w:eastAsia="Times New Roman" w:cs="Arial"/>
        </w:rPr>
        <w:t>(Mar. 16, 1995) (“</w:t>
      </w:r>
      <w:r w:rsidRPr="002C4FAC">
        <w:rPr>
          <w:rFonts w:eastAsia="Times New Roman" w:cs="Arial"/>
          <w:i/>
        </w:rPr>
        <w:t>Brooks</w:t>
      </w:r>
      <w:r w:rsidRPr="002C4FAC">
        <w:rPr>
          <w:rFonts w:eastAsia="Times New Roman" w:cs="Arial"/>
        </w:rPr>
        <w:t>”).</w:t>
      </w:r>
    </w:p>
    <w:p w14:paraId="210A279A" w14:textId="6013337A" w:rsidR="008E3BF4" w:rsidRPr="002C4FAC" w:rsidRDefault="00664A97" w:rsidP="002C4FAC">
      <w:pPr>
        <w:spacing w:line="480" w:lineRule="auto"/>
        <w:ind w:firstLine="720"/>
        <w:jc w:val="both"/>
        <w:rPr>
          <w:rFonts w:cs="Arial"/>
        </w:rPr>
      </w:pPr>
      <w:r w:rsidRPr="002C4FAC">
        <w:rPr>
          <w:rFonts w:cs="Arial"/>
        </w:rPr>
        <w:t xml:space="preserve">The Commission reviewed the application of the </w:t>
      </w:r>
      <w:r w:rsidRPr="00B82FB7">
        <w:rPr>
          <w:rFonts w:cs="Arial"/>
          <w:i/>
        </w:rPr>
        <w:t>Shroyer Test</w:t>
      </w:r>
      <w:r w:rsidRPr="002C4FAC">
        <w:rPr>
          <w:rFonts w:cs="Arial"/>
        </w:rPr>
        <w:t xml:space="preserve"> in this proceeding i</w:t>
      </w:r>
      <w:r w:rsidR="00A84F8E" w:rsidRPr="002C4FAC">
        <w:rPr>
          <w:rFonts w:cs="Arial"/>
        </w:rPr>
        <w:t>n response to a complaint filed by a condominium owner that alleged that he was being charged unlawful rates for utility services</w:t>
      </w:r>
      <w:r w:rsidR="0085259D" w:rsidRPr="002C4FAC">
        <w:rPr>
          <w:rFonts w:cs="Arial"/>
        </w:rPr>
        <w:t xml:space="preserve">. </w:t>
      </w:r>
      <w:r w:rsidR="00A84F8E" w:rsidRPr="002C4FAC">
        <w:rPr>
          <w:rFonts w:cs="Arial"/>
        </w:rPr>
        <w:t xml:space="preserve"> </w:t>
      </w:r>
      <w:r w:rsidR="0085259D" w:rsidRPr="002C4FAC">
        <w:rPr>
          <w:rFonts w:cs="Arial"/>
        </w:rPr>
        <w:t xml:space="preserve">Entry </w:t>
      </w:r>
      <w:r w:rsidR="00625435">
        <w:rPr>
          <w:rFonts w:cs="Arial"/>
        </w:rPr>
        <w:t>(</w:t>
      </w:r>
      <w:r w:rsidR="0085259D" w:rsidRPr="002C4FAC">
        <w:rPr>
          <w:rFonts w:cs="Arial"/>
        </w:rPr>
        <w:t>Dec.</w:t>
      </w:r>
      <w:r w:rsidR="009F1FD7" w:rsidRPr="002C4FAC">
        <w:rPr>
          <w:rFonts w:cs="Arial"/>
        </w:rPr>
        <w:t xml:space="preserve"> 1</w:t>
      </w:r>
      <w:r w:rsidR="003B178A">
        <w:rPr>
          <w:rFonts w:cs="Arial"/>
        </w:rPr>
        <w:t>6, 2015</w:t>
      </w:r>
      <w:r w:rsidR="00625435">
        <w:rPr>
          <w:rFonts w:cs="Arial"/>
        </w:rPr>
        <w:t>)</w:t>
      </w:r>
      <w:r w:rsidR="009F1FD7" w:rsidRPr="002C4FAC">
        <w:rPr>
          <w:rFonts w:cs="Arial"/>
        </w:rPr>
        <w:t xml:space="preserve">.  </w:t>
      </w:r>
      <w:r w:rsidR="00E91A86" w:rsidRPr="002C4FAC">
        <w:rPr>
          <w:rFonts w:cs="Arial"/>
        </w:rPr>
        <w:t xml:space="preserve">In the Entry initiating the investigation, the Commission requested comments regarding whether it should continue to apply the </w:t>
      </w:r>
      <w:r w:rsidR="00AA4ACF" w:rsidRPr="00FF7F75">
        <w:rPr>
          <w:rFonts w:cs="Arial"/>
          <w:i/>
        </w:rPr>
        <w:t>Shroyer Test</w:t>
      </w:r>
      <w:r w:rsidR="00AA4ACF" w:rsidRPr="002C4FAC">
        <w:rPr>
          <w:rFonts w:cs="Arial"/>
        </w:rPr>
        <w:t xml:space="preserve"> and whether the test could be applied to condominiums.  </w:t>
      </w:r>
      <w:r w:rsidR="0085259D" w:rsidRPr="00B40B3F">
        <w:rPr>
          <w:rFonts w:cs="Arial"/>
          <w:i/>
        </w:rPr>
        <w:t>Id</w:t>
      </w:r>
      <w:r w:rsidR="0085259D" w:rsidRPr="002C4FAC">
        <w:rPr>
          <w:rFonts w:cs="Arial"/>
        </w:rPr>
        <w:t>., ¶</w:t>
      </w:r>
      <w:r w:rsidR="00D17D91" w:rsidRPr="002C4FAC">
        <w:rPr>
          <w:rFonts w:cs="Arial"/>
        </w:rPr>
        <w:t xml:space="preserve"> </w:t>
      </w:r>
      <w:r w:rsidR="00C52DB9" w:rsidRPr="002C4FAC">
        <w:rPr>
          <w:rFonts w:cs="Arial"/>
        </w:rPr>
        <w:t>3</w:t>
      </w:r>
      <w:r w:rsidR="0085259D" w:rsidRPr="002C4FAC">
        <w:rPr>
          <w:rFonts w:cs="Arial"/>
        </w:rPr>
        <w:t xml:space="preserve">.  </w:t>
      </w:r>
      <w:r w:rsidR="00AA4ACF" w:rsidRPr="002C4FAC">
        <w:rPr>
          <w:rFonts w:cs="Arial"/>
        </w:rPr>
        <w:t xml:space="preserve">Interested </w:t>
      </w:r>
      <w:r w:rsidR="001D126E" w:rsidRPr="002C4FAC">
        <w:rPr>
          <w:rFonts w:cs="Arial"/>
        </w:rPr>
        <w:t>persons</w:t>
      </w:r>
      <w:r w:rsidR="00AA4ACF" w:rsidRPr="002C4FAC">
        <w:rPr>
          <w:rFonts w:cs="Arial"/>
        </w:rPr>
        <w:t xml:space="preserve"> filed Comments and Reply Comments on January 21, 2016 and February 5, 2016, respectively.</w:t>
      </w:r>
    </w:p>
    <w:p w14:paraId="1D9E0083" w14:textId="54D06F19" w:rsidR="00944309" w:rsidRPr="002C4FAC" w:rsidRDefault="00A2059E" w:rsidP="002C4FAC">
      <w:pPr>
        <w:spacing w:line="480" w:lineRule="auto"/>
        <w:ind w:firstLine="720"/>
        <w:jc w:val="both"/>
        <w:rPr>
          <w:rFonts w:cs="Arial"/>
        </w:rPr>
      </w:pPr>
      <w:r w:rsidRPr="002C4FAC">
        <w:rPr>
          <w:rFonts w:cs="Arial"/>
        </w:rPr>
        <w:t xml:space="preserve">The Commission issued </w:t>
      </w:r>
      <w:r w:rsidR="00D17D91" w:rsidRPr="002C4FAC">
        <w:rPr>
          <w:rFonts w:cs="Arial"/>
        </w:rPr>
        <w:t>a</w:t>
      </w:r>
      <w:r w:rsidRPr="002C4FAC">
        <w:rPr>
          <w:rFonts w:cs="Arial"/>
        </w:rPr>
        <w:t xml:space="preserve"> Finding and Order on December 7, 2016.  In the Finding and Order, the Commission </w:t>
      </w:r>
      <w:r w:rsidR="00944309" w:rsidRPr="002C4FAC">
        <w:rPr>
          <w:rFonts w:cs="Arial"/>
        </w:rPr>
        <w:t>stated that it would</w:t>
      </w:r>
      <w:r w:rsidR="00D17D91" w:rsidRPr="002C4FAC">
        <w:rPr>
          <w:rFonts w:cs="Arial"/>
        </w:rPr>
        <w:t xml:space="preserve"> continue to apply the </w:t>
      </w:r>
      <w:r w:rsidR="00D17D91" w:rsidRPr="00FF7F75">
        <w:rPr>
          <w:rFonts w:cs="Arial"/>
          <w:i/>
        </w:rPr>
        <w:t>Shroyer T</w:t>
      </w:r>
      <w:r w:rsidR="00944309" w:rsidRPr="00FF7F75">
        <w:rPr>
          <w:rFonts w:cs="Arial"/>
          <w:i/>
        </w:rPr>
        <w:t>est</w:t>
      </w:r>
      <w:r w:rsidR="00944309" w:rsidRPr="002C4FAC">
        <w:rPr>
          <w:rFonts w:cs="Arial"/>
        </w:rPr>
        <w:t xml:space="preserve">, but </w:t>
      </w:r>
      <w:r w:rsidR="00944309" w:rsidRPr="002C4FAC">
        <w:rPr>
          <w:rFonts w:cs="Arial"/>
        </w:rPr>
        <w:lastRenderedPageBreak/>
        <w:t xml:space="preserve">would extend its application to condominium associations, submetering companies, and other similarly situated entities on a case by case basis.  </w:t>
      </w:r>
      <w:r w:rsidR="00923531" w:rsidRPr="002C4FAC">
        <w:rPr>
          <w:rFonts w:cs="Arial"/>
        </w:rPr>
        <w:t>Finding and Order at ¶</w:t>
      </w:r>
      <w:r w:rsidR="00E461C4" w:rsidRPr="002C4FAC">
        <w:rPr>
          <w:rFonts w:cs="Arial"/>
        </w:rPr>
        <w:t>¶</w:t>
      </w:r>
      <w:r w:rsidR="00923531" w:rsidRPr="002C4FAC">
        <w:rPr>
          <w:rFonts w:cs="Arial"/>
        </w:rPr>
        <w:t xml:space="preserve"> 16</w:t>
      </w:r>
      <w:r w:rsidR="00E461C4" w:rsidRPr="002C4FAC">
        <w:rPr>
          <w:rFonts w:cs="Arial"/>
        </w:rPr>
        <w:t>-17</w:t>
      </w:r>
      <w:r w:rsidR="00923531" w:rsidRPr="002C4FAC">
        <w:rPr>
          <w:rFonts w:cs="Arial"/>
        </w:rPr>
        <w:t xml:space="preserve">.  </w:t>
      </w:r>
      <w:r w:rsidR="00944309" w:rsidRPr="002C4FAC">
        <w:rPr>
          <w:rFonts w:cs="Arial"/>
        </w:rPr>
        <w:t xml:space="preserve">Additionally, the </w:t>
      </w:r>
      <w:r w:rsidR="001D126E" w:rsidRPr="002C4FAC">
        <w:rPr>
          <w:rFonts w:cs="Arial"/>
        </w:rPr>
        <w:t>Commission</w:t>
      </w:r>
      <w:r w:rsidR="00944309" w:rsidRPr="002C4FAC">
        <w:rPr>
          <w:rFonts w:cs="Arial"/>
        </w:rPr>
        <w:t xml:space="preserve"> </w:t>
      </w:r>
      <w:r w:rsidR="001D126E" w:rsidRPr="002C4FAC">
        <w:rPr>
          <w:rFonts w:cs="Arial"/>
        </w:rPr>
        <w:t>stated</w:t>
      </w:r>
      <w:r w:rsidR="00944309" w:rsidRPr="002C4FAC">
        <w:rPr>
          <w:rFonts w:cs="Arial"/>
        </w:rPr>
        <w:t xml:space="preserve"> that, if a landlord or other entity resells or redistributes utility services and charges the end user a threshold percentage above the total bill charges for a </w:t>
      </w:r>
      <w:r w:rsidR="00A303EF" w:rsidRPr="002C4FAC">
        <w:rPr>
          <w:rFonts w:cs="Arial"/>
        </w:rPr>
        <w:t>similarly</w:t>
      </w:r>
      <w:r w:rsidR="00A303EF">
        <w:rPr>
          <w:rFonts w:cs="Arial"/>
        </w:rPr>
        <w:t>-</w:t>
      </w:r>
      <w:r w:rsidR="00944309" w:rsidRPr="002C4FAC">
        <w:rPr>
          <w:rFonts w:cs="Arial"/>
        </w:rPr>
        <w:t xml:space="preserve">situated customer served by the utility’s tariff rates, </w:t>
      </w:r>
      <w:r w:rsidR="005019D1">
        <w:rPr>
          <w:rFonts w:cs="Arial"/>
        </w:rPr>
        <w:t xml:space="preserve">an electric utility’s </w:t>
      </w:r>
      <w:r w:rsidR="00944309" w:rsidRPr="002C4FAC">
        <w:rPr>
          <w:rFonts w:cs="Arial"/>
        </w:rPr>
        <w:t xml:space="preserve">standard service offer, </w:t>
      </w:r>
      <w:r w:rsidR="000A7DD0" w:rsidRPr="002C4FAC">
        <w:rPr>
          <w:rFonts w:cs="Arial"/>
        </w:rPr>
        <w:t>o</w:t>
      </w:r>
      <w:r w:rsidR="000A7DD0">
        <w:rPr>
          <w:rFonts w:cs="Arial"/>
        </w:rPr>
        <w:t>r</w:t>
      </w:r>
      <w:r w:rsidR="000A7DD0" w:rsidRPr="002C4FAC">
        <w:rPr>
          <w:rFonts w:cs="Arial"/>
        </w:rPr>
        <w:t xml:space="preserve"> </w:t>
      </w:r>
      <w:r w:rsidR="000A7DD0">
        <w:rPr>
          <w:rFonts w:cs="Arial"/>
        </w:rPr>
        <w:t xml:space="preserve">a </w:t>
      </w:r>
      <w:r w:rsidR="00944309" w:rsidRPr="002C4FAC">
        <w:rPr>
          <w:rFonts w:cs="Arial"/>
        </w:rPr>
        <w:t>natural gas</w:t>
      </w:r>
      <w:r w:rsidR="005019D1">
        <w:rPr>
          <w:rFonts w:cs="Arial"/>
        </w:rPr>
        <w:t xml:space="preserve"> company’s standard</w:t>
      </w:r>
      <w:r w:rsidR="00944309" w:rsidRPr="002C4FAC">
        <w:rPr>
          <w:rFonts w:cs="Arial"/>
        </w:rPr>
        <w:t xml:space="preserve"> choice offer, then the high bill charges will create a rebuttable presumption that the provision of service is not ancillary to the landlord or other entity’s business. </w:t>
      </w:r>
      <w:r w:rsidR="00CF3D04">
        <w:rPr>
          <w:rFonts w:cs="Arial"/>
        </w:rPr>
        <w:t xml:space="preserve"> </w:t>
      </w:r>
      <w:r w:rsidR="00923531" w:rsidRPr="000B2F8E">
        <w:rPr>
          <w:rFonts w:cs="Arial"/>
          <w:i/>
        </w:rPr>
        <w:t>Id</w:t>
      </w:r>
      <w:r w:rsidR="00923531" w:rsidRPr="002C4FAC">
        <w:rPr>
          <w:rFonts w:cs="Arial"/>
        </w:rPr>
        <w:t xml:space="preserve">., ¶ </w:t>
      </w:r>
      <w:r w:rsidR="00F42511" w:rsidRPr="002C4FAC">
        <w:rPr>
          <w:rFonts w:cs="Arial"/>
        </w:rPr>
        <w:t>18</w:t>
      </w:r>
      <w:r w:rsidR="004C57A5">
        <w:rPr>
          <w:rFonts w:cs="Arial"/>
        </w:rPr>
        <w:t xml:space="preserve"> (“Relative Price Test”)</w:t>
      </w:r>
      <w:r w:rsidR="00F42511" w:rsidRPr="002C4FAC">
        <w:rPr>
          <w:rFonts w:cs="Arial"/>
        </w:rPr>
        <w:t xml:space="preserve">.  </w:t>
      </w:r>
      <w:r w:rsidR="00944309" w:rsidRPr="002C4FAC">
        <w:rPr>
          <w:rFonts w:cs="Arial"/>
        </w:rPr>
        <w:t xml:space="preserve">The </w:t>
      </w:r>
      <w:r w:rsidR="001D126E" w:rsidRPr="002C4FAC">
        <w:rPr>
          <w:rFonts w:cs="Arial"/>
        </w:rPr>
        <w:t xml:space="preserve">Commission requested additional comments to address the </w:t>
      </w:r>
      <w:r w:rsidR="00630700" w:rsidRPr="002C4FAC">
        <w:rPr>
          <w:rFonts w:cs="Arial"/>
        </w:rPr>
        <w:t>“reasonable threshold percentage to establish a rebuttable presumption for which the provision of utility service is not ancillary to the</w:t>
      </w:r>
      <w:r w:rsidR="003416D5" w:rsidRPr="002C4FAC">
        <w:rPr>
          <w:rFonts w:cs="Arial"/>
        </w:rPr>
        <w:t xml:space="preserve"> landlord’s or other entity’s primary business.” </w:t>
      </w:r>
      <w:r w:rsidR="000B2F8E">
        <w:rPr>
          <w:rFonts w:cs="Arial"/>
        </w:rPr>
        <w:t xml:space="preserve"> </w:t>
      </w:r>
      <w:r w:rsidR="00923531" w:rsidRPr="000B2F8E">
        <w:rPr>
          <w:rFonts w:cs="Arial"/>
          <w:i/>
        </w:rPr>
        <w:t>Id</w:t>
      </w:r>
      <w:r w:rsidR="00923531" w:rsidRPr="002C4FAC">
        <w:rPr>
          <w:rFonts w:cs="Arial"/>
        </w:rPr>
        <w:t>.,</w:t>
      </w:r>
      <w:r w:rsidR="003416D5" w:rsidRPr="002C4FAC">
        <w:rPr>
          <w:rFonts w:cs="Arial"/>
        </w:rPr>
        <w:t xml:space="preserve"> ¶</w:t>
      </w:r>
      <w:r w:rsidR="00923531" w:rsidRPr="002C4FAC">
        <w:rPr>
          <w:rFonts w:cs="Arial"/>
        </w:rPr>
        <w:t xml:space="preserve"> </w:t>
      </w:r>
      <w:r w:rsidR="003416D5" w:rsidRPr="002C4FAC">
        <w:rPr>
          <w:rFonts w:cs="Arial"/>
        </w:rPr>
        <w:t>22.</w:t>
      </w:r>
      <w:r w:rsidR="002F40D3" w:rsidRPr="002C4FAC">
        <w:rPr>
          <w:rFonts w:cs="Arial"/>
        </w:rPr>
        <w:t xml:space="preserve">  Finally, the Commission stated </w:t>
      </w:r>
      <w:r w:rsidR="00BB558E" w:rsidRPr="002C4FAC">
        <w:rPr>
          <w:rFonts w:cs="Arial"/>
        </w:rPr>
        <w:t>that “failure of onl</w:t>
      </w:r>
      <w:r w:rsidR="002F40D3" w:rsidRPr="002C4FAC">
        <w:rPr>
          <w:rFonts w:cs="Arial"/>
        </w:rPr>
        <w:t xml:space="preserve">y one </w:t>
      </w:r>
      <w:r w:rsidR="00BB558E" w:rsidRPr="002C4FAC">
        <w:rPr>
          <w:rFonts w:cs="Arial"/>
        </w:rPr>
        <w:t>of</w:t>
      </w:r>
      <w:r w:rsidR="002F40D3" w:rsidRPr="002C4FAC">
        <w:rPr>
          <w:rFonts w:cs="Arial"/>
        </w:rPr>
        <w:t xml:space="preserve"> the three prongs of the </w:t>
      </w:r>
      <w:r w:rsidR="002F40D3" w:rsidRPr="000B2F8E">
        <w:rPr>
          <w:rFonts w:cs="Arial"/>
          <w:i/>
        </w:rPr>
        <w:t>Shroyer Test</w:t>
      </w:r>
      <w:r w:rsidR="002F40D3" w:rsidRPr="002C4FAC">
        <w:rPr>
          <w:rFonts w:cs="Arial"/>
        </w:rPr>
        <w:t xml:space="preserve"> is sufficient to demonstrate that an entity is unlawfully operating as a public utility.”  </w:t>
      </w:r>
      <w:r w:rsidR="002F40D3" w:rsidRPr="000B2F8E">
        <w:rPr>
          <w:rFonts w:cs="Arial"/>
          <w:i/>
        </w:rPr>
        <w:t>Id</w:t>
      </w:r>
      <w:r w:rsidR="002F40D3" w:rsidRPr="002C4FAC">
        <w:rPr>
          <w:rFonts w:cs="Arial"/>
        </w:rPr>
        <w:t>., ¶ 20.</w:t>
      </w:r>
    </w:p>
    <w:p w14:paraId="51865298" w14:textId="7A4B4961" w:rsidR="00A2059E" w:rsidRDefault="00346B25" w:rsidP="002C4FAC">
      <w:pPr>
        <w:spacing w:line="480" w:lineRule="auto"/>
        <w:ind w:firstLine="720"/>
        <w:jc w:val="both"/>
        <w:rPr>
          <w:rFonts w:cs="Arial"/>
        </w:rPr>
      </w:pPr>
      <w:r w:rsidRPr="002C4FAC">
        <w:rPr>
          <w:rFonts w:cs="Arial"/>
        </w:rPr>
        <w:t>Because the Commission’s changes to the applicatio</w:t>
      </w:r>
      <w:r w:rsidR="00DD0DDE" w:rsidRPr="002C4FAC">
        <w:rPr>
          <w:rFonts w:cs="Arial"/>
        </w:rPr>
        <w:t xml:space="preserve">n of the </w:t>
      </w:r>
      <w:r w:rsidR="00DD0DDE" w:rsidRPr="000B2F8E">
        <w:rPr>
          <w:rFonts w:cs="Arial"/>
          <w:i/>
        </w:rPr>
        <w:t>Shroyer Test</w:t>
      </w:r>
      <w:r w:rsidR="00DD0DDE" w:rsidRPr="002C4FAC">
        <w:rPr>
          <w:rFonts w:cs="Arial"/>
        </w:rPr>
        <w:t xml:space="preserve"> are both unlawful and unreasonable, the Commission should grant rehearing.  On rehearing, the Commission should reverse its determination that </w:t>
      </w:r>
      <w:r w:rsidR="000B2F8E" w:rsidRPr="002C4FAC">
        <w:rPr>
          <w:rFonts w:cs="Arial"/>
        </w:rPr>
        <w:t>an</w:t>
      </w:r>
      <w:r w:rsidR="00DD0DDE" w:rsidRPr="002C4FAC">
        <w:rPr>
          <w:rFonts w:cs="Arial"/>
        </w:rPr>
        <w:t xml:space="preserve"> entity is a public utility if it violates any of the </w:t>
      </w:r>
      <w:r w:rsidR="00DD0DDE" w:rsidRPr="000B2F8E">
        <w:rPr>
          <w:rFonts w:cs="Arial"/>
          <w:i/>
        </w:rPr>
        <w:t>Shroyer</w:t>
      </w:r>
      <w:r w:rsidR="00DD0DDE" w:rsidRPr="002C4FAC">
        <w:rPr>
          <w:rFonts w:cs="Arial"/>
        </w:rPr>
        <w:t xml:space="preserve"> prongs</w:t>
      </w:r>
      <w:r w:rsidR="007F04F6" w:rsidRPr="002C4FAC">
        <w:rPr>
          <w:rFonts w:cs="Arial"/>
        </w:rPr>
        <w:t xml:space="preserve"> and its attempt to define when the provision of utility service is not ancillary by reference to an arbitrarily based </w:t>
      </w:r>
      <w:r w:rsidR="00B00D02" w:rsidRPr="002C4FAC">
        <w:rPr>
          <w:rFonts w:cs="Arial"/>
        </w:rPr>
        <w:t>“threshold percentage.”</w:t>
      </w:r>
    </w:p>
    <w:p w14:paraId="03CFB9C0" w14:textId="77777777" w:rsidR="00D71E2B" w:rsidRDefault="00D71E2B" w:rsidP="002C4FAC">
      <w:pPr>
        <w:spacing w:line="480" w:lineRule="auto"/>
        <w:ind w:firstLine="720"/>
        <w:jc w:val="both"/>
        <w:rPr>
          <w:rFonts w:cs="Arial"/>
        </w:rPr>
      </w:pPr>
    </w:p>
    <w:p w14:paraId="660708AD" w14:textId="77777777" w:rsidR="00D71E2B" w:rsidRDefault="00D71E2B" w:rsidP="002C4FAC">
      <w:pPr>
        <w:spacing w:line="480" w:lineRule="auto"/>
        <w:ind w:firstLine="720"/>
        <w:jc w:val="both"/>
        <w:rPr>
          <w:rFonts w:cs="Arial"/>
        </w:rPr>
      </w:pPr>
    </w:p>
    <w:p w14:paraId="36E4BAD4" w14:textId="77777777" w:rsidR="00D71E2B" w:rsidRDefault="00D71E2B" w:rsidP="002C4FAC">
      <w:pPr>
        <w:spacing w:line="480" w:lineRule="auto"/>
        <w:ind w:firstLine="720"/>
        <w:jc w:val="both"/>
        <w:rPr>
          <w:rFonts w:cs="Arial"/>
        </w:rPr>
      </w:pPr>
    </w:p>
    <w:p w14:paraId="7FE01E1E" w14:textId="77777777" w:rsidR="00D71E2B" w:rsidRPr="002C4FAC" w:rsidRDefault="00D71E2B" w:rsidP="002C4FAC">
      <w:pPr>
        <w:spacing w:line="480" w:lineRule="auto"/>
        <w:ind w:firstLine="720"/>
        <w:jc w:val="both"/>
        <w:rPr>
          <w:rFonts w:cs="Arial"/>
        </w:rPr>
      </w:pPr>
    </w:p>
    <w:p w14:paraId="5E8BED54" w14:textId="0E911753" w:rsidR="00BB558E" w:rsidRPr="002C4FAC" w:rsidRDefault="003E4F89" w:rsidP="006D0CD9">
      <w:pPr>
        <w:pStyle w:val="Heading1"/>
      </w:pPr>
      <w:bookmarkStart w:id="13" w:name="_Toc470773474"/>
      <w:bookmarkStart w:id="14" w:name="_Toc470782972"/>
      <w:bookmarkStart w:id="15" w:name="_Toc470878122"/>
      <w:bookmarkStart w:id="16" w:name="_Toc471291640"/>
      <w:bookmarkStart w:id="17" w:name="_Toc471458090"/>
      <w:r>
        <w:lastRenderedPageBreak/>
        <w:t>ARGUMENT</w:t>
      </w:r>
      <w:bookmarkEnd w:id="13"/>
      <w:bookmarkEnd w:id="14"/>
      <w:bookmarkEnd w:id="15"/>
      <w:bookmarkEnd w:id="16"/>
      <w:bookmarkEnd w:id="17"/>
    </w:p>
    <w:p w14:paraId="6F4FBA1B" w14:textId="3A1EAD43" w:rsidR="00BB558E" w:rsidRDefault="005D760B" w:rsidP="006D0CD9">
      <w:pPr>
        <w:pStyle w:val="Heading2"/>
        <w:spacing w:after="0"/>
      </w:pPr>
      <w:bookmarkStart w:id="18" w:name="_Toc470773475"/>
      <w:bookmarkStart w:id="19" w:name="_Toc470782973"/>
      <w:bookmarkStart w:id="20" w:name="_Toc470878123"/>
      <w:bookmarkStart w:id="21" w:name="_Toc471291641"/>
      <w:bookmarkStart w:id="22" w:name="_Toc471458091"/>
      <w:r>
        <w:t xml:space="preserve">Assignment of Error I:  The Finding and Order is unlawful and unreasonable because the Commission’s finding that it can lawfully determine that </w:t>
      </w:r>
      <w:r w:rsidR="003C45D4">
        <w:t>an entity</w:t>
      </w:r>
      <w:r>
        <w:t xml:space="preserve"> is operating as a public utility if the Commission finds that </w:t>
      </w:r>
      <w:r w:rsidR="003C45D4">
        <w:t>the entity fails</w:t>
      </w:r>
      <w:r>
        <w:t xml:space="preserve"> one of the prongs of the </w:t>
      </w:r>
      <w:r w:rsidRPr="00150F55">
        <w:rPr>
          <w:i/>
        </w:rPr>
        <w:t>Shroyer Test</w:t>
      </w:r>
      <w:r>
        <w:t xml:space="preserve"> violates statutory requirements and established precedent that a finding that an entity is a public utility is a mixed question of law and fact</w:t>
      </w:r>
      <w:bookmarkEnd w:id="18"/>
      <w:bookmarkEnd w:id="19"/>
      <w:bookmarkEnd w:id="20"/>
      <w:bookmarkEnd w:id="21"/>
      <w:bookmarkEnd w:id="22"/>
    </w:p>
    <w:p w14:paraId="286BA5E4" w14:textId="77777777" w:rsidR="005D760B" w:rsidRPr="002C4FAC" w:rsidRDefault="005D760B" w:rsidP="002C4FAC">
      <w:pPr>
        <w:jc w:val="both"/>
        <w:rPr>
          <w:rFonts w:cs="Arial"/>
          <w:b/>
        </w:rPr>
      </w:pPr>
    </w:p>
    <w:p w14:paraId="1AB63DD5" w14:textId="77777777" w:rsidR="00AD67B9" w:rsidRPr="002C4FAC" w:rsidRDefault="00AD67B9" w:rsidP="002C4FA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jc w:val="both"/>
        <w:rPr>
          <w:rFonts w:eastAsia="Times New Roman" w:cs="Arial"/>
        </w:rPr>
      </w:pPr>
      <w:r w:rsidRPr="002C4FAC">
        <w:rPr>
          <w:rFonts w:eastAsia="Times New Roman" w:cs="Arial"/>
        </w:rPr>
        <w:t xml:space="preserve">The Commission is a creature of statute; it has only that jurisdiction and authority as provided by the General Assembly.  </w:t>
      </w:r>
      <w:r w:rsidRPr="002C4FAC">
        <w:rPr>
          <w:rFonts w:eastAsia="Times New Roman" w:cs="Arial"/>
          <w:i/>
        </w:rPr>
        <w:t>Columbus S. Power Co. v. Pub. Util. Comm’n of Ohio</w:t>
      </w:r>
      <w:r w:rsidRPr="002C4FAC">
        <w:rPr>
          <w:rFonts w:eastAsia="Times New Roman" w:cs="Arial"/>
        </w:rPr>
        <w:t xml:space="preserve">, 67 Ohio St.3d 535, 537 (1993).  Ohio law limits the Commission’s jurisdiction to “public utilities” as that term is defined in Title 49 of the Ohio Revised Code.  </w:t>
      </w:r>
      <w:r w:rsidRPr="002C4FAC">
        <w:rPr>
          <w:rFonts w:eastAsia="Times New Roman" w:cs="Arial"/>
          <w:i/>
        </w:rPr>
        <w:t>See</w:t>
      </w:r>
      <w:r w:rsidRPr="002C4FAC">
        <w:rPr>
          <w:rFonts w:eastAsia="Times New Roman" w:cs="Arial"/>
        </w:rPr>
        <w:t xml:space="preserve"> R.C. 4905.02 and 4905.03.  </w:t>
      </w:r>
    </w:p>
    <w:p w14:paraId="5C6ED63D" w14:textId="77777777" w:rsidR="00AD67B9" w:rsidRPr="002C4FAC" w:rsidRDefault="00AD67B9" w:rsidP="002C4FA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jc w:val="both"/>
        <w:rPr>
          <w:rFonts w:eastAsia="Times New Roman" w:cs="Arial"/>
        </w:rPr>
      </w:pPr>
      <w:r w:rsidRPr="002C4FAC">
        <w:rPr>
          <w:rFonts w:eastAsia="Times New Roman" w:cs="Arial"/>
        </w:rPr>
        <w:t>Under R.C. 4905.02, “every corporation, company, copartnership, person, or association, the lessees, trustees, or receivers of the foregoing, defined in Section 4905.03 of the Revised Code, including any public utility that operates its utility not for profit,” is a public utility.  R.C. 4905.03 provides the functional or operating characteristics for various types of public utilities such as a water-works company, sewage disposal company, or an electric light company.</w:t>
      </w:r>
      <w:r w:rsidRPr="002C4FAC">
        <w:rPr>
          <w:rFonts w:eastAsia="Times New Roman" w:cs="Arial"/>
          <w:vertAlign w:val="superscript"/>
        </w:rPr>
        <w:footnoteReference w:id="2"/>
      </w:r>
      <w:r w:rsidRPr="002C4FAC">
        <w:rPr>
          <w:rFonts w:eastAsia="Times New Roman" w:cs="Arial"/>
        </w:rPr>
        <w:t xml:space="preserve">  The functional definitions also specify that public </w:t>
      </w:r>
      <w:r w:rsidRPr="002C4FAC">
        <w:rPr>
          <w:rFonts w:eastAsia="Times New Roman" w:cs="Arial"/>
        </w:rPr>
        <w:lastRenderedPageBreak/>
        <w:t xml:space="preserve">utility status is confined to persons engaged in the business of performing the function with regard to consumers in Ohio.  </w:t>
      </w:r>
      <w:r w:rsidRPr="002C4FAC">
        <w:rPr>
          <w:rFonts w:eastAsia="Times New Roman" w:cs="Arial"/>
          <w:i/>
        </w:rPr>
        <w:t>In the Matter of the Application of The Procter &amp; Gamble Company for Relief From Compliance With the Obligations Imposed by Title 49 of the Ohio Revised Code</w:t>
      </w:r>
      <w:r w:rsidRPr="002C4FAC">
        <w:rPr>
          <w:rFonts w:eastAsia="Times New Roman" w:cs="Arial"/>
        </w:rPr>
        <w:t xml:space="preserve">, Case No. 03-725-HC-ARJ, Entry at 2 (Apr. 10, 2003).  </w:t>
      </w:r>
    </w:p>
    <w:p w14:paraId="231DD567" w14:textId="359A510C" w:rsidR="00AD67B9" w:rsidRPr="002C4FAC" w:rsidRDefault="00AD67B9" w:rsidP="002C4FAC">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uto"/>
        <w:ind w:firstLine="720"/>
        <w:jc w:val="both"/>
        <w:rPr>
          <w:rFonts w:eastAsia="Times New Roman" w:cs="Arial"/>
        </w:rPr>
      </w:pPr>
      <w:r w:rsidRPr="002C4FAC">
        <w:rPr>
          <w:rFonts w:eastAsia="Times New Roman" w:cs="Arial"/>
        </w:rPr>
        <w:t xml:space="preserve">Statutory exceptions also may prevent the Commission from exercising regulatory authority over the provision of services.  </w:t>
      </w:r>
      <w:r w:rsidR="007A2250" w:rsidRPr="002C4FAC">
        <w:rPr>
          <w:rFonts w:eastAsia="Times New Roman" w:cs="Arial"/>
        </w:rPr>
        <w:t>For example</w:t>
      </w:r>
      <w:r w:rsidRPr="002C4FAC">
        <w:rPr>
          <w:rFonts w:eastAsia="Times New Roman" w:cs="Arial"/>
        </w:rPr>
        <w:t xml:space="preserve">, the Commission lacks jurisdiction over cooperative and municipal electric light companies.  R.C. 4905.02(A).  Also, R.C. 4905.03(E) provides, “The commission, upon application made to it, may relieve any producer or gatherer of natural gas, defined in this section as a gas company or a natural gas company, of compliance with the obligations imposed by this chapter and Chapters 4901., 4903., 4907., 4909., 4921., and 4923. of the Revised Code, so long as the producer or gatherer is not affiliated with or under the control of a gas company or a natural gas company engaged in the transportation or distribution of natural gas, or so long as the producer or gatherer does not engage in the distribution of natural gas to consumers.”  </w:t>
      </w:r>
      <w:r w:rsidRPr="002C4FAC">
        <w:rPr>
          <w:rFonts w:eastAsia="Times New Roman" w:cs="Arial"/>
          <w:i/>
        </w:rPr>
        <w:t>See, e.g., In the Matter of the Application of American Landfill Gas Company for Relief from Compliance with the Obligations Imposed by Chapters 4901, 4903, 4905, 4907, 4909, 4921, and 4923 of the Ohio Revised Code</w:t>
      </w:r>
      <w:r w:rsidRPr="002C4FAC">
        <w:rPr>
          <w:rFonts w:eastAsia="Times New Roman" w:cs="Arial"/>
        </w:rPr>
        <w:t xml:space="preserve">, Case No. 97-194-GA-ARJ, Entry at 2 (Apr. 17, 1997).  Under a statutory exception, the Commission </w:t>
      </w:r>
      <w:r w:rsidR="001E2AB6">
        <w:rPr>
          <w:rFonts w:eastAsia="Times New Roman" w:cs="Arial"/>
        </w:rPr>
        <w:t xml:space="preserve">also </w:t>
      </w:r>
      <w:r w:rsidRPr="002C4FAC">
        <w:rPr>
          <w:rFonts w:eastAsia="Times New Roman" w:cs="Arial"/>
        </w:rPr>
        <w:t xml:space="preserve">concluded that a non-profit cooperative arrangement for the joint operation of a sewage treatment facility by industrial customers was not subject to the Commission’s regulatory jurisdiction.  </w:t>
      </w:r>
      <w:r w:rsidRPr="002C4FAC">
        <w:rPr>
          <w:rFonts w:eastAsia="Times New Roman" w:cs="Arial"/>
          <w:i/>
        </w:rPr>
        <w:t>In the Matter of the Application of Hissong-Kenworth, Inc. Requesting a Declaration Regarding its Public Utility Status</w:t>
      </w:r>
      <w:r w:rsidRPr="002C4FAC">
        <w:rPr>
          <w:rFonts w:eastAsia="Times New Roman" w:cs="Arial"/>
        </w:rPr>
        <w:t xml:space="preserve">, Case No. 84-565-ST-ARJ, Entry at 1 (May 22, 1984).  </w:t>
      </w:r>
    </w:p>
    <w:p w14:paraId="39624DF7" w14:textId="7730DDA9" w:rsidR="00AD67B9" w:rsidRPr="002C4FAC" w:rsidRDefault="00AD67B9" w:rsidP="008843F5">
      <w:pPr>
        <w:tabs>
          <w:tab w:val="left" w:pos="720"/>
        </w:tabs>
        <w:spacing w:line="480" w:lineRule="auto"/>
        <w:ind w:firstLine="720"/>
        <w:jc w:val="both"/>
        <w:rPr>
          <w:rFonts w:eastAsia="Times New Roman" w:cs="Arial"/>
        </w:rPr>
      </w:pPr>
      <w:r w:rsidRPr="002C4FAC">
        <w:rPr>
          <w:rFonts w:eastAsia="Times New Roman" w:cs="Arial"/>
        </w:rPr>
        <w:lastRenderedPageBreak/>
        <w:t xml:space="preserve">“The statutory definitions, however, are not self-applying.”  </w:t>
      </w:r>
      <w:r w:rsidRPr="002C4FAC">
        <w:rPr>
          <w:rFonts w:eastAsia="Times New Roman" w:cs="Arial"/>
          <w:i/>
        </w:rPr>
        <w:t>Pledger</w:t>
      </w:r>
      <w:r w:rsidRPr="002C4FAC">
        <w:rPr>
          <w:rFonts w:eastAsia="Times New Roman" w:cs="Arial"/>
        </w:rPr>
        <w:t>, 109 Ohio St.3d</w:t>
      </w:r>
      <w:r w:rsidR="00B96C74" w:rsidRPr="002C4FAC">
        <w:rPr>
          <w:rFonts w:eastAsia="Times New Roman" w:cs="Arial"/>
        </w:rPr>
        <w:t xml:space="preserve"> at 465</w:t>
      </w:r>
      <w:r w:rsidRPr="002C4FAC">
        <w:rPr>
          <w:rFonts w:eastAsia="Times New Roman" w:cs="Arial"/>
        </w:rPr>
        <w:t xml:space="preserve">.  </w:t>
      </w:r>
      <w:r w:rsidR="00880969" w:rsidRPr="002C4FAC">
        <w:rPr>
          <w:rFonts w:eastAsia="Times New Roman" w:cs="Arial"/>
        </w:rPr>
        <w:t xml:space="preserve">Prior to the adoption of the </w:t>
      </w:r>
      <w:r w:rsidR="00880969" w:rsidRPr="00D25A8C">
        <w:rPr>
          <w:rFonts w:eastAsia="Times New Roman" w:cs="Arial"/>
          <w:i/>
        </w:rPr>
        <w:t>Shroyer Test</w:t>
      </w:r>
      <w:r w:rsidR="00880969" w:rsidRPr="002C4FAC">
        <w:rPr>
          <w:rFonts w:eastAsia="Times New Roman" w:cs="Arial"/>
        </w:rPr>
        <w:t>, the Commission determined whether an entity was a public utility within the meaning of R.C. 4905.02 and 4905.03 upon a review of “all facts and circumstances presented.”</w:t>
      </w:r>
      <w:r w:rsidR="00880969" w:rsidRPr="002C4FAC">
        <w:rPr>
          <w:rFonts w:cs="Arial"/>
          <w:color w:val="373739"/>
        </w:rPr>
        <w:t xml:space="preserve"> </w:t>
      </w:r>
      <w:r w:rsidR="00880969">
        <w:rPr>
          <w:rFonts w:cs="Arial"/>
          <w:color w:val="373739"/>
        </w:rPr>
        <w:t xml:space="preserve"> </w:t>
      </w:r>
      <w:r w:rsidR="00880969" w:rsidRPr="002C4FAC">
        <w:rPr>
          <w:rFonts w:eastAsia="Times New Roman" w:cs="Arial"/>
          <w:i/>
        </w:rPr>
        <w:t>In the Matter of the Complaint of Ken Meek, Complainant, v. Gem Boat Service, Inc., Gem Beach Marina, Inc., and Paul Grummel, Respondents</w:t>
      </w:r>
      <w:r w:rsidR="00880969" w:rsidRPr="002C4FAC">
        <w:rPr>
          <w:rFonts w:eastAsia="Times New Roman" w:cs="Arial"/>
        </w:rPr>
        <w:t>, 1987 Ohio PUC LEXIS 1335 at *19 (Mar. 3, 1987) (“</w:t>
      </w:r>
      <w:r w:rsidR="00880969" w:rsidRPr="002C4FAC">
        <w:rPr>
          <w:rFonts w:eastAsia="Times New Roman" w:cs="Arial"/>
          <w:i/>
        </w:rPr>
        <w:t>Gem Beach</w:t>
      </w:r>
      <w:r w:rsidR="00880969" w:rsidRPr="002C4FAC">
        <w:rPr>
          <w:rFonts w:eastAsia="Times New Roman" w:cs="Arial"/>
        </w:rPr>
        <w:t xml:space="preserve">”).  </w:t>
      </w:r>
      <w:r w:rsidR="00A83F20">
        <w:rPr>
          <w:rFonts w:eastAsia="Times New Roman" w:cs="Arial"/>
        </w:rPr>
        <w:t xml:space="preserve">In </w:t>
      </w:r>
      <w:r w:rsidR="00A83F20" w:rsidRPr="00A83F20">
        <w:rPr>
          <w:rFonts w:eastAsia="Times New Roman" w:cs="Arial"/>
          <w:i/>
        </w:rPr>
        <w:t>Shroyer</w:t>
      </w:r>
      <w:r w:rsidRPr="002C4FAC">
        <w:rPr>
          <w:rFonts w:eastAsia="Times New Roman" w:cs="Arial"/>
        </w:rPr>
        <w:t xml:space="preserve">, the Commission </w:t>
      </w:r>
      <w:r w:rsidR="00A83F20">
        <w:rPr>
          <w:rFonts w:eastAsia="Times New Roman" w:cs="Arial"/>
        </w:rPr>
        <w:t>adopted a</w:t>
      </w:r>
      <w:r w:rsidRPr="002C4FAC">
        <w:rPr>
          <w:rFonts w:eastAsia="Times New Roman" w:cs="Arial"/>
        </w:rPr>
        <w:t xml:space="preserve"> three-part test</w:t>
      </w:r>
      <w:r w:rsidRPr="002C4FAC">
        <w:rPr>
          <w:rFonts w:eastAsia="Times New Roman" w:cs="Arial"/>
          <w:vertAlign w:val="superscript"/>
        </w:rPr>
        <w:footnoteReference w:id="3"/>
      </w:r>
      <w:r w:rsidRPr="002C4FAC">
        <w:rPr>
          <w:rFonts w:eastAsia="Times New Roman" w:cs="Arial"/>
        </w:rPr>
        <w:t xml:space="preserve"> (that the Court has affirmed in </w:t>
      </w:r>
      <w:r w:rsidRPr="002C4FAC">
        <w:rPr>
          <w:rFonts w:eastAsia="Times New Roman" w:cs="Arial"/>
          <w:i/>
        </w:rPr>
        <w:t>Pledger</w:t>
      </w:r>
      <w:r w:rsidRPr="002C4FAC">
        <w:rPr>
          <w:rFonts w:eastAsia="Times New Roman" w:cs="Arial"/>
        </w:rPr>
        <w:t>) to determine if a landlord providing certain services to a tenant falls within the definition of a public utility subject to the Commission</w:t>
      </w:r>
      <w:r w:rsidR="008843F5">
        <w:rPr>
          <w:rFonts w:eastAsia="Times New Roman" w:cs="Arial"/>
        </w:rPr>
        <w:t xml:space="preserve">’s regulation and supervision.  </w:t>
      </w:r>
      <w:r w:rsidRPr="002C4FAC">
        <w:rPr>
          <w:rFonts w:eastAsia="Times New Roman" w:cs="Arial"/>
          <w:i/>
          <w:iCs/>
        </w:rPr>
        <w:t>Shroyer</w:t>
      </w:r>
      <w:r w:rsidRPr="002C4FAC">
        <w:rPr>
          <w:rFonts w:eastAsia="Times New Roman" w:cs="Arial"/>
        </w:rPr>
        <w:t xml:space="preserve">, Opinion and Order at 4 (Feb. 27, 1992).  </w:t>
      </w:r>
    </w:p>
    <w:p w14:paraId="0B55C5B7" w14:textId="63745715" w:rsidR="00AD67B9" w:rsidRPr="002C4FAC" w:rsidRDefault="00AD67B9" w:rsidP="002C4FAC">
      <w:pPr>
        <w:tabs>
          <w:tab w:val="left" w:pos="720"/>
        </w:tabs>
        <w:spacing w:line="480" w:lineRule="auto"/>
        <w:ind w:firstLine="720"/>
        <w:jc w:val="both"/>
        <w:rPr>
          <w:rFonts w:eastAsia="Times New Roman" w:cs="Arial"/>
        </w:rPr>
      </w:pPr>
      <w:r w:rsidRPr="002C4FAC">
        <w:rPr>
          <w:rFonts w:eastAsia="Times New Roman" w:cs="Arial"/>
        </w:rPr>
        <w:t xml:space="preserve">The Commission has extended the </w:t>
      </w:r>
      <w:r w:rsidRPr="002C4FAC">
        <w:rPr>
          <w:rFonts w:eastAsia="Times New Roman" w:cs="Arial"/>
          <w:i/>
        </w:rPr>
        <w:t>Shroyer</w:t>
      </w:r>
      <w:r w:rsidRPr="002C4FAC">
        <w:rPr>
          <w:rFonts w:eastAsia="Times New Roman" w:cs="Arial"/>
        </w:rPr>
        <w:t xml:space="preserve"> test to commercial tenancies</w:t>
      </w:r>
      <w:r w:rsidR="006419E1">
        <w:rPr>
          <w:rFonts w:eastAsia="Times New Roman" w:cs="Arial"/>
        </w:rPr>
        <w:t xml:space="preserve"> in </w:t>
      </w:r>
      <w:r w:rsidR="006419E1" w:rsidRPr="006419E1">
        <w:rPr>
          <w:rFonts w:eastAsia="Times New Roman" w:cs="Arial"/>
          <w:i/>
        </w:rPr>
        <w:t>Brooks</w:t>
      </w:r>
      <w:r w:rsidRPr="002C4FAC">
        <w:rPr>
          <w:rFonts w:eastAsia="Times New Roman" w:cs="Arial"/>
        </w:rPr>
        <w:t xml:space="preserve">.  In </w:t>
      </w:r>
      <w:r w:rsidR="006419E1" w:rsidRPr="006419E1">
        <w:rPr>
          <w:rFonts w:eastAsia="Times New Roman" w:cs="Arial"/>
        </w:rPr>
        <w:t>that case</w:t>
      </w:r>
      <w:r w:rsidRPr="002C4FAC">
        <w:rPr>
          <w:rFonts w:eastAsia="Times New Roman" w:cs="Arial"/>
        </w:rPr>
        <w:t xml:space="preserve">, commercial tenants of a mall sued the landlords, stating that the landlords were violating a resale restriction in the Toledo Edison tariffs and that the landlords were operating illegally as public utilities.  The tenants also alleged that the landlords were operating as agents of Toledo Edison.  </w:t>
      </w:r>
      <w:r w:rsidRPr="002C4FAC">
        <w:rPr>
          <w:rFonts w:eastAsia="Times New Roman" w:cs="Arial"/>
          <w:i/>
        </w:rPr>
        <w:t>Brooks</w:t>
      </w:r>
      <w:r w:rsidRPr="002C4FAC">
        <w:rPr>
          <w:rFonts w:eastAsia="Times New Roman" w:cs="Arial"/>
        </w:rPr>
        <w:t xml:space="preserve">, Entry at </w:t>
      </w:r>
      <w:r w:rsidR="002F0611">
        <w:rPr>
          <w:rFonts w:eastAsia="Times New Roman" w:cs="Arial"/>
        </w:rPr>
        <w:t xml:space="preserve">¶ </w:t>
      </w:r>
      <w:r w:rsidRPr="002C4FAC">
        <w:rPr>
          <w:rFonts w:eastAsia="Times New Roman" w:cs="Arial"/>
        </w:rPr>
        <w:t>2</w:t>
      </w:r>
      <w:r w:rsidR="00562EA8">
        <w:rPr>
          <w:rFonts w:eastAsia="Times New Roman" w:cs="Arial"/>
        </w:rPr>
        <w:t xml:space="preserve"> (Mar. 16, 1995)</w:t>
      </w:r>
      <w:r w:rsidRPr="002C4FAC">
        <w:rPr>
          <w:rFonts w:eastAsia="Times New Roman" w:cs="Arial"/>
        </w:rPr>
        <w:t xml:space="preserve">.  Applying </w:t>
      </w:r>
      <w:r w:rsidRPr="002C4FAC">
        <w:rPr>
          <w:rFonts w:eastAsia="Times New Roman" w:cs="Arial"/>
          <w:i/>
        </w:rPr>
        <w:t>Shroyer</w:t>
      </w:r>
      <w:r w:rsidRPr="002C4FAC">
        <w:rPr>
          <w:rFonts w:eastAsia="Times New Roman" w:cs="Arial"/>
        </w:rPr>
        <w:t xml:space="preserve">, the Commission dismissed the complaint against the landlords.  The Commission found that the </w:t>
      </w:r>
      <w:r w:rsidRPr="002C4FAC">
        <w:rPr>
          <w:rFonts w:eastAsia="Times New Roman" w:cs="Arial"/>
          <w:i/>
        </w:rPr>
        <w:t>Shroyer</w:t>
      </w:r>
      <w:r w:rsidR="006419E1">
        <w:rPr>
          <w:rFonts w:eastAsia="Times New Roman" w:cs="Arial"/>
        </w:rPr>
        <w:t xml:space="preserve"> </w:t>
      </w:r>
      <w:r w:rsidR="006419E1" w:rsidRPr="006419E1">
        <w:rPr>
          <w:rFonts w:eastAsia="Times New Roman" w:cs="Arial"/>
          <w:i/>
        </w:rPr>
        <w:t>T</w:t>
      </w:r>
      <w:r w:rsidRPr="006419E1">
        <w:rPr>
          <w:rFonts w:eastAsia="Times New Roman" w:cs="Arial"/>
          <w:i/>
        </w:rPr>
        <w:t>est</w:t>
      </w:r>
      <w:r w:rsidRPr="002C4FAC">
        <w:rPr>
          <w:rFonts w:eastAsia="Times New Roman" w:cs="Arial"/>
        </w:rPr>
        <w:t xml:space="preserve"> provides adequate criteria for distinguishing entities which operate as </w:t>
      </w:r>
      <w:r w:rsidRPr="002C4FAC">
        <w:rPr>
          <w:rFonts w:eastAsia="Times New Roman" w:cs="Arial"/>
          <w:i/>
        </w:rPr>
        <w:t>de facto</w:t>
      </w:r>
      <w:r w:rsidRPr="002C4FAC">
        <w:rPr>
          <w:rFonts w:eastAsia="Times New Roman" w:cs="Arial"/>
        </w:rPr>
        <w:t xml:space="preserve"> public utilities.  </w:t>
      </w:r>
      <w:r w:rsidRPr="002C4FAC">
        <w:rPr>
          <w:rFonts w:eastAsia="Times New Roman" w:cs="Arial"/>
          <w:i/>
        </w:rPr>
        <w:t>Id</w:t>
      </w:r>
      <w:r w:rsidRPr="002C4FAC">
        <w:rPr>
          <w:rFonts w:eastAsia="Times New Roman" w:cs="Arial"/>
        </w:rPr>
        <w:t xml:space="preserve">., Entry at </w:t>
      </w:r>
      <w:r w:rsidR="002F0611">
        <w:rPr>
          <w:rFonts w:eastAsia="Times New Roman" w:cs="Arial"/>
        </w:rPr>
        <w:t>¶ 10.</w:t>
      </w:r>
      <w:r w:rsidRPr="002C4FAC">
        <w:rPr>
          <w:rFonts w:eastAsia="Times New Roman" w:cs="Arial"/>
        </w:rPr>
        <w:t xml:space="preserve">  The Commission also dismissed the claim that the landlords may be acting as agents of Toledo Edison; even if the landlords were agents of Toledo Edison, the “assumed agency relationship does not </w:t>
      </w:r>
      <w:r w:rsidRPr="002C4FAC">
        <w:rPr>
          <w:rFonts w:eastAsia="Times New Roman" w:cs="Arial"/>
        </w:rPr>
        <w:lastRenderedPageBreak/>
        <w:t xml:space="preserve">transform [the landlord] into a public utility subject to [the Commission’s] jurisdiction.”  </w:t>
      </w:r>
      <w:r w:rsidRPr="002C4FAC">
        <w:rPr>
          <w:rFonts w:eastAsia="Times New Roman" w:cs="Arial"/>
          <w:i/>
        </w:rPr>
        <w:t>Id</w:t>
      </w:r>
      <w:r w:rsidRPr="002C4FAC">
        <w:rPr>
          <w:rFonts w:eastAsia="Times New Roman" w:cs="Arial"/>
        </w:rPr>
        <w:t>.</w:t>
      </w:r>
      <w:r w:rsidR="005307A1">
        <w:rPr>
          <w:rFonts w:eastAsia="Times New Roman" w:cs="Arial"/>
        </w:rPr>
        <w:t xml:space="preserve"> at ¶ 11.</w:t>
      </w:r>
    </w:p>
    <w:p w14:paraId="748EADCE" w14:textId="483809F5" w:rsidR="00AD67B9" w:rsidRPr="002C4FAC" w:rsidRDefault="00AD67B9" w:rsidP="002C4FAC">
      <w:pPr>
        <w:spacing w:line="480" w:lineRule="auto"/>
        <w:ind w:firstLine="720"/>
        <w:jc w:val="both"/>
        <w:rPr>
          <w:rFonts w:eastAsia="Times New Roman" w:cs="Arial"/>
        </w:rPr>
      </w:pPr>
      <w:r w:rsidRPr="002C4FAC">
        <w:rPr>
          <w:rFonts w:eastAsia="Times New Roman" w:cs="Arial"/>
        </w:rPr>
        <w:t xml:space="preserve">The commercial tenants also sued Toledo Edison because Toledo Edison failed to enforce its tariff that contained a restriction on resale of electric service.  In a separate decision, the Commission dismissed the complaint against Toledo Edison, holding that the utility company had no valid right or interest in restricting redistribution and resale by a landlord if the landlord was not acting as a public utility and the landlord owned the property on which the redistribution took place.  </w:t>
      </w:r>
      <w:r w:rsidRPr="002C4FAC">
        <w:rPr>
          <w:rFonts w:eastAsia="Times New Roman" w:cs="Arial"/>
          <w:i/>
        </w:rPr>
        <w:t xml:space="preserve">Brooks, </w:t>
      </w:r>
      <w:r w:rsidR="006A139E">
        <w:rPr>
          <w:rFonts w:eastAsia="Times New Roman" w:cs="Arial"/>
        </w:rPr>
        <w:t>Entry at 13</w:t>
      </w:r>
      <w:r w:rsidR="00E0349F">
        <w:rPr>
          <w:rFonts w:eastAsia="Times New Roman" w:cs="Arial"/>
        </w:rPr>
        <w:t>-17</w:t>
      </w:r>
      <w:r w:rsidRPr="002C4FAC">
        <w:rPr>
          <w:rFonts w:eastAsia="Times New Roman" w:cs="Arial"/>
        </w:rPr>
        <w:t xml:space="preserve"> (May 8, 1996).</w:t>
      </w:r>
      <w:r w:rsidRPr="002C4FAC">
        <w:rPr>
          <w:rFonts w:eastAsia="Times New Roman" w:cs="Arial"/>
          <w:vertAlign w:val="superscript"/>
        </w:rPr>
        <w:footnoteReference w:id="4"/>
      </w:r>
    </w:p>
    <w:p w14:paraId="20AEBE1C" w14:textId="35A99C3F" w:rsidR="00AD67B9" w:rsidRPr="002C4FAC" w:rsidRDefault="00AD67B9" w:rsidP="002C4FAC">
      <w:pPr>
        <w:spacing w:line="480" w:lineRule="auto"/>
        <w:ind w:firstLine="720"/>
        <w:jc w:val="both"/>
        <w:rPr>
          <w:rFonts w:cs="Arial"/>
        </w:rPr>
      </w:pPr>
      <w:r w:rsidRPr="002C4FAC">
        <w:rPr>
          <w:rFonts w:eastAsia="Times New Roman" w:cs="Arial"/>
        </w:rPr>
        <w:t xml:space="preserve">The enactment of Amended Substitute Senate Bill 3 (“SB3”) did not alter the Commission’s determinations regarding the nature and scope of functional activities that give rise to public utility status.  Following its decision in </w:t>
      </w:r>
      <w:r w:rsidRPr="002C4FAC">
        <w:rPr>
          <w:rFonts w:eastAsia="Times New Roman" w:cs="Arial"/>
          <w:i/>
        </w:rPr>
        <w:t>Brooks</w:t>
      </w:r>
      <w:r w:rsidRPr="002C4FAC">
        <w:rPr>
          <w:rFonts w:eastAsia="Times New Roman" w:cs="Arial"/>
        </w:rPr>
        <w:t xml:space="preserve">, the Commission stated, “[N]othing in SB3 … requires or warrants the Commission to change its position that such landlords are not electric light companies.”  </w:t>
      </w:r>
      <w:r w:rsidRPr="002C4FAC">
        <w:rPr>
          <w:rFonts w:cs="Arial"/>
          <w:i/>
          <w:iCs/>
        </w:rPr>
        <w:t xml:space="preserve">In the Matter of the Application of First-Energy Corp. on Behalf of Ohio Edison Company, The Cleveland Electric Illuminating Company, and The Toledo Edison Company for Approval of Their Transition Plans and for Authorization to Collect Transition Revenues, </w:t>
      </w:r>
      <w:r w:rsidRPr="002C4FAC">
        <w:rPr>
          <w:rFonts w:cs="Arial"/>
        </w:rPr>
        <w:t xml:space="preserve">PUCO Case Nos. 99-1212-EL-ETP, </w:t>
      </w:r>
      <w:r w:rsidRPr="002C4FAC">
        <w:rPr>
          <w:rFonts w:cs="Arial"/>
          <w:i/>
        </w:rPr>
        <w:t>et al</w:t>
      </w:r>
      <w:r w:rsidRPr="002C4FAC">
        <w:rPr>
          <w:rFonts w:cs="Arial"/>
        </w:rPr>
        <w:t>., Entry at 3 (January 18, 2001) (“</w:t>
      </w:r>
      <w:r w:rsidRPr="002C4FAC">
        <w:rPr>
          <w:rFonts w:cs="Arial"/>
          <w:i/>
        </w:rPr>
        <w:t>FirstEnergy</w:t>
      </w:r>
      <w:r w:rsidRPr="002C4FAC">
        <w:rPr>
          <w:rFonts w:cs="Arial"/>
        </w:rPr>
        <w:t>”).</w:t>
      </w:r>
      <w:r w:rsidRPr="002C4FAC">
        <w:rPr>
          <w:rFonts w:cs="Arial"/>
          <w:vertAlign w:val="superscript"/>
        </w:rPr>
        <w:footnoteReference w:id="5"/>
      </w:r>
      <w:r w:rsidRPr="002C4FAC">
        <w:rPr>
          <w:rFonts w:cs="Arial"/>
        </w:rPr>
        <w:t xml:space="preserve">  Additionally, the Commission concluded that a landlord was not an “aggregator” because that designation was inconsistent with </w:t>
      </w:r>
      <w:r w:rsidRPr="002C4FAC">
        <w:rPr>
          <w:rFonts w:cs="Arial"/>
        </w:rPr>
        <w:lastRenderedPageBreak/>
        <w:t xml:space="preserve">prior holdings and would lead to unnecessary regulation and possibly costly reconfiguration of electric facilities.  </w:t>
      </w:r>
      <w:r w:rsidRPr="002C4FAC">
        <w:rPr>
          <w:rFonts w:cs="Arial"/>
          <w:i/>
        </w:rPr>
        <w:t>Id</w:t>
      </w:r>
      <w:r w:rsidRPr="002C4FAC">
        <w:rPr>
          <w:rFonts w:cs="Arial"/>
        </w:rPr>
        <w:t>.</w:t>
      </w:r>
      <w:r w:rsidR="0017189D">
        <w:rPr>
          <w:rStyle w:val="FootnoteReference"/>
          <w:rFonts w:cs="Arial"/>
        </w:rPr>
        <w:footnoteReference w:id="6"/>
      </w:r>
    </w:p>
    <w:p w14:paraId="670568A6" w14:textId="3B572F81" w:rsidR="00211E0F" w:rsidRDefault="00AD67B9" w:rsidP="002C4FAC">
      <w:pPr>
        <w:spacing w:line="480" w:lineRule="auto"/>
        <w:ind w:firstLine="720"/>
        <w:jc w:val="both"/>
        <w:rPr>
          <w:rFonts w:eastAsia="Times New Roman" w:cs="Arial"/>
        </w:rPr>
      </w:pPr>
      <w:r w:rsidRPr="002C4FAC">
        <w:rPr>
          <w:rFonts w:eastAsia="Times New Roman" w:cs="Arial"/>
        </w:rPr>
        <w:t xml:space="preserve">The Commission’s </w:t>
      </w:r>
      <w:r w:rsidR="00A9150A">
        <w:rPr>
          <w:rFonts w:eastAsia="Times New Roman" w:cs="Arial"/>
        </w:rPr>
        <w:t xml:space="preserve">decisions prior to </w:t>
      </w:r>
      <w:r w:rsidR="00A9150A" w:rsidRPr="003E07E8">
        <w:rPr>
          <w:rFonts w:eastAsia="Times New Roman" w:cs="Arial"/>
          <w:i/>
        </w:rPr>
        <w:t>Shroyer</w:t>
      </w:r>
      <w:r w:rsidR="00A9150A">
        <w:rPr>
          <w:rFonts w:eastAsia="Times New Roman" w:cs="Arial"/>
        </w:rPr>
        <w:t xml:space="preserve"> and the later adoption of the </w:t>
      </w:r>
      <w:r w:rsidRPr="002C4FAC">
        <w:rPr>
          <w:rFonts w:eastAsia="Times New Roman" w:cs="Arial"/>
        </w:rPr>
        <w:t>three-</w:t>
      </w:r>
      <w:r w:rsidR="00941B43">
        <w:rPr>
          <w:rFonts w:eastAsia="Times New Roman" w:cs="Arial"/>
        </w:rPr>
        <w:t>prong</w:t>
      </w:r>
      <w:r w:rsidRPr="002C4FAC">
        <w:rPr>
          <w:rFonts w:eastAsia="Times New Roman" w:cs="Arial"/>
        </w:rPr>
        <w:t xml:space="preserve"> test in landlord-tenant cases </w:t>
      </w:r>
      <w:r w:rsidR="00A9150A">
        <w:rPr>
          <w:rFonts w:eastAsia="Times New Roman" w:cs="Arial"/>
        </w:rPr>
        <w:t>follow</w:t>
      </w:r>
      <w:r w:rsidRPr="002C4FAC">
        <w:rPr>
          <w:rFonts w:eastAsia="Times New Roman" w:cs="Arial"/>
        </w:rPr>
        <w:t xml:space="preserve"> from the Court’s admonition that the determination whether a person is a “public utility” is a mixed question of law and fact.  </w:t>
      </w:r>
      <w:r w:rsidRPr="002C4FAC">
        <w:rPr>
          <w:rFonts w:eastAsia="Times New Roman" w:cs="Arial"/>
          <w:i/>
          <w:iCs/>
        </w:rPr>
        <w:t>A &amp; B Refuse Disposers, Inc. v. Board of Ravenna Twp. Trustees</w:t>
      </w:r>
      <w:r w:rsidRPr="002C4FAC">
        <w:rPr>
          <w:rFonts w:eastAsia="Times New Roman" w:cs="Arial"/>
        </w:rPr>
        <w:t xml:space="preserve">, 64 Ohio St.3d 385, 387 (1992).  In the determination whether an entity is acting as a public utility, the Court stated, “The main and frequently most important attribute of a public utility is a devotion of an essential good or service to the general public which has a legal right to demand or receive this good or service.”  </w:t>
      </w:r>
      <w:r w:rsidRPr="002C4FAC">
        <w:rPr>
          <w:rFonts w:eastAsia="Times New Roman" w:cs="Arial"/>
          <w:i/>
        </w:rPr>
        <w:t>Id</w:t>
      </w:r>
      <w:r w:rsidRPr="002C4FAC">
        <w:rPr>
          <w:rFonts w:eastAsia="Times New Roman" w:cs="Arial"/>
        </w:rPr>
        <w:t xml:space="preserve">.  </w:t>
      </w:r>
      <w:r w:rsidRPr="002C4FAC">
        <w:rPr>
          <w:rFonts w:eastAsia="Times New Roman" w:cs="Arial"/>
          <w:i/>
          <w:iCs/>
        </w:rPr>
        <w:t xml:space="preserve">See, also, </w:t>
      </w:r>
      <w:r w:rsidRPr="002C4FAC">
        <w:rPr>
          <w:rFonts w:eastAsia="Times New Roman" w:cs="Arial"/>
          <w:i/>
        </w:rPr>
        <w:t>Southern Ohio Power Co. v. Public Util. Comm. of Ohio</w:t>
      </w:r>
      <w:r w:rsidRPr="002C4FAC">
        <w:rPr>
          <w:rFonts w:eastAsia="Times New Roman" w:cs="Arial"/>
        </w:rPr>
        <w:t xml:space="preserve">, 110 Ohio St. 246, 252 (1924).  This factor requires that the business, in order to qualify as a public utility, must “provide its good or service to the public indiscriminately and reasonably.”  </w:t>
      </w:r>
      <w:r w:rsidRPr="002C4FAC">
        <w:rPr>
          <w:rFonts w:eastAsia="Times New Roman" w:cs="Arial"/>
          <w:i/>
          <w:iCs/>
        </w:rPr>
        <w:t>A &amp; B Refuse Disposers</w:t>
      </w:r>
      <w:r w:rsidRPr="002C4FAC">
        <w:rPr>
          <w:rFonts w:eastAsia="Times New Roman" w:cs="Arial"/>
          <w:i/>
        </w:rPr>
        <w:t>, Inc</w:t>
      </w:r>
      <w:r w:rsidRPr="002C4FAC">
        <w:rPr>
          <w:rFonts w:eastAsia="Times New Roman" w:cs="Arial"/>
        </w:rPr>
        <w:t xml:space="preserve">., 64 Ohio St.3d at 387.  “The second characteristic of a public utility most often addressed by courts is whether the entity, public or private, conducts its operations in such a manner as to be a matter of public concern.”  </w:t>
      </w:r>
      <w:r w:rsidRPr="002C4FAC">
        <w:rPr>
          <w:rFonts w:eastAsia="Times New Roman" w:cs="Arial"/>
          <w:i/>
        </w:rPr>
        <w:t>Id</w:t>
      </w:r>
      <w:r w:rsidRPr="002C4FAC">
        <w:rPr>
          <w:rFonts w:eastAsia="Times New Roman" w:cs="Arial"/>
        </w:rPr>
        <w:t xml:space="preserve">. at 388.  The Court, however, noted that no one factor is controlling and several factors must be weighed to determine whether the company’s business is conducted in such a manner as to become a matter of public concern.  </w:t>
      </w:r>
      <w:r w:rsidRPr="002C4FAC">
        <w:rPr>
          <w:rFonts w:eastAsia="Times New Roman" w:cs="Arial"/>
          <w:i/>
          <w:iCs/>
        </w:rPr>
        <w:t>Id</w:t>
      </w:r>
      <w:r w:rsidRPr="002C4FAC">
        <w:rPr>
          <w:rFonts w:eastAsia="Times New Roman" w:cs="Arial"/>
        </w:rPr>
        <w:t xml:space="preserve">. </w:t>
      </w:r>
      <w:r w:rsidR="00E93481" w:rsidRPr="002C4FAC">
        <w:rPr>
          <w:rFonts w:eastAsia="Times New Roman" w:cs="Arial"/>
        </w:rPr>
        <w:t xml:space="preserve"> </w:t>
      </w:r>
    </w:p>
    <w:p w14:paraId="629FEFDE" w14:textId="20BACD5F" w:rsidR="00AD67B9" w:rsidRPr="002C4FAC" w:rsidRDefault="00AD67B9" w:rsidP="002C4FAC">
      <w:pPr>
        <w:spacing w:line="480" w:lineRule="auto"/>
        <w:ind w:firstLine="720"/>
        <w:jc w:val="both"/>
        <w:rPr>
          <w:rFonts w:eastAsia="Times New Roman" w:cs="Arial"/>
        </w:rPr>
      </w:pPr>
      <w:r w:rsidRPr="002C4FAC">
        <w:rPr>
          <w:rFonts w:eastAsia="Times New Roman" w:cs="Arial"/>
        </w:rPr>
        <w:t xml:space="preserve">As this case law demonstrates, the Court and the Commission have long recognized that factual differences matter.  Simply labelling something as a “utility service” is not sufficient to support a determination that a particular arrangement should </w:t>
      </w:r>
      <w:r w:rsidRPr="002C4FAC">
        <w:rPr>
          <w:rFonts w:eastAsia="Times New Roman" w:cs="Arial"/>
        </w:rPr>
        <w:lastRenderedPageBreak/>
        <w:t>be subject to and receive the benefits of public utility status.</w:t>
      </w:r>
      <w:r w:rsidRPr="002C4FAC">
        <w:rPr>
          <w:rFonts w:eastAsia="Times New Roman" w:cs="Arial"/>
          <w:vertAlign w:val="superscript"/>
        </w:rPr>
        <w:footnoteReference w:id="7"/>
      </w:r>
      <w:r w:rsidRPr="002C4FAC">
        <w:rPr>
          <w:rFonts w:eastAsia="Times New Roman" w:cs="Arial"/>
        </w:rPr>
        <w:t xml:space="preserve">  </w:t>
      </w:r>
      <w:r w:rsidR="003C45D4">
        <w:rPr>
          <w:rFonts w:eastAsia="Times New Roman" w:cs="Arial"/>
        </w:rPr>
        <w:t>Nor is any one attribute controlling in a determination whether an entity is a public utility.</w:t>
      </w:r>
    </w:p>
    <w:p w14:paraId="2A28B9C1" w14:textId="164889F5" w:rsidR="006619F4" w:rsidRPr="00C533F5" w:rsidRDefault="00211E0F" w:rsidP="00C533F5">
      <w:pPr>
        <w:spacing w:line="480" w:lineRule="auto"/>
        <w:ind w:firstLine="720"/>
        <w:jc w:val="both"/>
        <w:rPr>
          <w:rFonts w:cs="Arial"/>
        </w:rPr>
      </w:pPr>
      <w:r>
        <w:rPr>
          <w:rFonts w:eastAsia="Times New Roman" w:cs="Arial"/>
        </w:rPr>
        <w:t>Likewise</w:t>
      </w:r>
      <w:r w:rsidR="00AD67B9" w:rsidRPr="002C4FAC">
        <w:rPr>
          <w:rFonts w:eastAsia="Times New Roman" w:cs="Arial"/>
        </w:rPr>
        <w:t>, these differences are important to business operations.  Not</w:t>
      </w:r>
      <w:r w:rsidR="00AD67B9" w:rsidRPr="002C4FAC">
        <w:rPr>
          <w:rFonts w:cs="Arial"/>
        </w:rPr>
        <w:t xml:space="preserve"> all arrangements that allow an ultimate consumer of electricity, natural gas, water, or wastewater treatment services to obtain such service from or through another consumer or separate entity have a purpose, nature, or scope that is sufficient to cause the arrangement to fall within the common law or statutory definition of a “public utility.”  It is often the case in Ohio that multiple non-residential consumers are located on property, such as a campus, which includes facilities, plant, and equipment that allow each consumer to receive electricity, natural gas, water or wastewater treatment services through a “master-meter,” or jointly or individually owned facilities, plant, or equipment.  These arrangements arise voluntarily and have become more common over time because corporations have spun off or separated individual business units that may have separate corporate identities even if commonly owned.  Typically, these arrangements are ancillary to and not the primary purpose of the relationship between the individual </w:t>
      </w:r>
      <w:r w:rsidR="00C533F5">
        <w:rPr>
          <w:rFonts w:cs="Arial"/>
        </w:rPr>
        <w:t xml:space="preserve">non-residential consumers.  </w:t>
      </w:r>
      <w:r w:rsidR="00AD67B9" w:rsidRPr="002C4FAC">
        <w:rPr>
          <w:rFonts w:eastAsia="Times New Roman" w:cs="Arial"/>
        </w:rPr>
        <w:t xml:space="preserve">Under well-understood Ohio statutes and judicial and administrative orders, these arrangements are not and should not be subject to the Commission’s regulatory supervision.  </w:t>
      </w:r>
    </w:p>
    <w:p w14:paraId="776AD9AE" w14:textId="69E50494" w:rsidR="00E00424" w:rsidRPr="002C4FAC" w:rsidRDefault="00E00424" w:rsidP="002C4FAC">
      <w:pPr>
        <w:spacing w:line="480" w:lineRule="auto"/>
        <w:jc w:val="both"/>
        <w:rPr>
          <w:rFonts w:eastAsia="Times New Roman" w:cs="Arial"/>
        </w:rPr>
      </w:pPr>
      <w:r w:rsidRPr="002C4FAC">
        <w:rPr>
          <w:rFonts w:eastAsia="Times New Roman" w:cs="Arial"/>
        </w:rPr>
        <w:tab/>
      </w:r>
      <w:r w:rsidR="00EF1930">
        <w:rPr>
          <w:rFonts w:eastAsia="Times New Roman" w:cs="Arial"/>
        </w:rPr>
        <w:t xml:space="preserve">Following the Commission’s Finding and Order in this </w:t>
      </w:r>
      <w:r w:rsidR="00781B37">
        <w:rPr>
          <w:rFonts w:eastAsia="Times New Roman" w:cs="Arial"/>
        </w:rPr>
        <w:t>investigation</w:t>
      </w:r>
      <w:r w:rsidR="00EF1930">
        <w:rPr>
          <w:rFonts w:eastAsia="Times New Roman" w:cs="Arial"/>
        </w:rPr>
        <w:t xml:space="preserve">, however, business arrangements that </w:t>
      </w:r>
      <w:r w:rsidR="00781B37">
        <w:rPr>
          <w:rFonts w:eastAsia="Times New Roman" w:cs="Arial"/>
        </w:rPr>
        <w:t>have</w:t>
      </w:r>
      <w:r w:rsidR="00EF1930">
        <w:rPr>
          <w:rFonts w:eastAsia="Times New Roman" w:cs="Arial"/>
        </w:rPr>
        <w:t xml:space="preserve"> not </w:t>
      </w:r>
      <w:r w:rsidR="00781B37">
        <w:rPr>
          <w:rFonts w:eastAsia="Times New Roman" w:cs="Arial"/>
        </w:rPr>
        <w:t>been</w:t>
      </w:r>
      <w:r w:rsidR="00EF1930">
        <w:rPr>
          <w:rFonts w:eastAsia="Times New Roman" w:cs="Arial"/>
        </w:rPr>
        <w:t xml:space="preserve"> subject to Commission jurisdiction are in </w:t>
      </w:r>
      <w:r w:rsidR="00EF1930">
        <w:rPr>
          <w:rFonts w:eastAsia="Times New Roman" w:cs="Arial"/>
        </w:rPr>
        <w:lastRenderedPageBreak/>
        <w:t xml:space="preserve">jeopardy of being </w:t>
      </w:r>
      <w:r w:rsidR="00781B37">
        <w:rPr>
          <w:rFonts w:eastAsia="Times New Roman" w:cs="Arial"/>
        </w:rPr>
        <w:t>swept under</w:t>
      </w:r>
      <w:r w:rsidR="00EF1930">
        <w:rPr>
          <w:rFonts w:eastAsia="Times New Roman" w:cs="Arial"/>
        </w:rPr>
        <w:t xml:space="preserve"> the Commission’s supervision.  </w:t>
      </w:r>
      <w:r w:rsidR="00AC3C38">
        <w:rPr>
          <w:rFonts w:eastAsia="Times New Roman" w:cs="Arial"/>
        </w:rPr>
        <w:t>In particular, t</w:t>
      </w:r>
      <w:r w:rsidRPr="002C4FAC">
        <w:rPr>
          <w:rFonts w:eastAsia="Times New Roman" w:cs="Arial"/>
        </w:rPr>
        <w:t xml:space="preserve">he Commission’s change to the </w:t>
      </w:r>
      <w:r w:rsidRPr="005A5543">
        <w:rPr>
          <w:rFonts w:eastAsia="Times New Roman" w:cs="Arial"/>
          <w:i/>
        </w:rPr>
        <w:t>Shroyer Test</w:t>
      </w:r>
      <w:r w:rsidR="00B93705" w:rsidRPr="002C4FAC">
        <w:rPr>
          <w:rFonts w:eastAsia="Times New Roman" w:cs="Arial"/>
        </w:rPr>
        <w:t xml:space="preserve"> that </w:t>
      </w:r>
      <w:r w:rsidR="00E16B7A">
        <w:rPr>
          <w:rFonts w:eastAsia="Times New Roman" w:cs="Arial"/>
        </w:rPr>
        <w:t>would base a finding that an entity is a public utility based on a finding that it failed any prong</w:t>
      </w:r>
      <w:r w:rsidR="00B93705" w:rsidRPr="002C4FAC">
        <w:rPr>
          <w:rFonts w:eastAsia="Times New Roman" w:cs="Arial"/>
        </w:rPr>
        <w:t xml:space="preserve"> will lead to unlawful and unreasonable determinations that entities are operating as public utilities.</w:t>
      </w:r>
      <w:r w:rsidR="00B023CE" w:rsidRPr="002C4FAC">
        <w:rPr>
          <w:rFonts w:eastAsia="Times New Roman" w:cs="Arial"/>
        </w:rPr>
        <w:t xml:space="preserve">  For example, an entity may offer to provide water service to others</w:t>
      </w:r>
      <w:r w:rsidR="00AA4AD2">
        <w:rPr>
          <w:rFonts w:eastAsia="Times New Roman" w:cs="Arial"/>
        </w:rPr>
        <w:t xml:space="preserve"> on a campus</w:t>
      </w:r>
      <w:r w:rsidR="00B023CE" w:rsidRPr="002C4FAC">
        <w:rPr>
          <w:rFonts w:eastAsia="Times New Roman" w:cs="Arial"/>
        </w:rPr>
        <w:t xml:space="preserve"> to amortize the cost of extending lines.  </w:t>
      </w:r>
      <w:r w:rsidR="00674A73" w:rsidRPr="002C4FAC">
        <w:rPr>
          <w:rFonts w:eastAsia="Times New Roman" w:cs="Arial"/>
        </w:rPr>
        <w:t>If the</w:t>
      </w:r>
      <w:r w:rsidR="00B023CE" w:rsidRPr="002C4FAC">
        <w:rPr>
          <w:rFonts w:eastAsia="Times New Roman" w:cs="Arial"/>
        </w:rPr>
        <w:t xml:space="preserve"> Commission conclude</w:t>
      </w:r>
      <w:r w:rsidR="00674A73" w:rsidRPr="002C4FAC">
        <w:rPr>
          <w:rFonts w:eastAsia="Times New Roman" w:cs="Arial"/>
        </w:rPr>
        <w:t>d</w:t>
      </w:r>
      <w:r w:rsidR="00B023CE" w:rsidRPr="002C4FAC">
        <w:rPr>
          <w:rFonts w:eastAsia="Times New Roman" w:cs="Arial"/>
        </w:rPr>
        <w:t xml:space="preserve"> that the provision of that ser</w:t>
      </w:r>
      <w:r w:rsidR="00674A73" w:rsidRPr="002C4FAC">
        <w:rPr>
          <w:rFonts w:eastAsia="Times New Roman" w:cs="Arial"/>
        </w:rPr>
        <w:t>vice is to the general public, the entity may be subject to Commission regulation as a public utility a</w:t>
      </w:r>
      <w:r w:rsidR="00B023CE" w:rsidRPr="002C4FAC">
        <w:rPr>
          <w:rFonts w:eastAsia="Times New Roman" w:cs="Arial"/>
        </w:rPr>
        <w:t xml:space="preserve">lthough the entity has not availed itself of </w:t>
      </w:r>
      <w:r w:rsidR="00D23C2E" w:rsidRPr="002C4FAC">
        <w:rPr>
          <w:rFonts w:eastAsia="Times New Roman" w:cs="Arial"/>
        </w:rPr>
        <w:t>the special benefits available to public utilities and the service is ancillary to its business</w:t>
      </w:r>
      <w:r w:rsidR="00C563A4" w:rsidRPr="002C4FAC">
        <w:rPr>
          <w:rFonts w:eastAsia="Times New Roman" w:cs="Arial"/>
        </w:rPr>
        <w:t>.  This result simply makes no sense and would not be a lawful extension of Commission regulation.</w:t>
      </w:r>
    </w:p>
    <w:p w14:paraId="5DB0D151" w14:textId="6F0591AE" w:rsidR="001E1BD4" w:rsidRDefault="00936847" w:rsidP="002C4FAC">
      <w:pPr>
        <w:spacing w:line="480" w:lineRule="auto"/>
        <w:jc w:val="both"/>
        <w:rPr>
          <w:rFonts w:eastAsia="Times New Roman" w:cs="Arial"/>
        </w:rPr>
      </w:pPr>
      <w:r w:rsidRPr="002C4FAC">
        <w:rPr>
          <w:rFonts w:eastAsia="Times New Roman" w:cs="Arial"/>
        </w:rPr>
        <w:tab/>
        <w:t xml:space="preserve">The potential for misapplication of the </w:t>
      </w:r>
      <w:r w:rsidR="00451CE6">
        <w:rPr>
          <w:rFonts w:eastAsia="Times New Roman" w:cs="Arial"/>
        </w:rPr>
        <w:t>Relative Price Test</w:t>
      </w:r>
      <w:r w:rsidR="00C428B7" w:rsidRPr="002C4FAC">
        <w:rPr>
          <w:rFonts w:eastAsia="Times New Roman" w:cs="Arial"/>
        </w:rPr>
        <w:t xml:space="preserve"> </w:t>
      </w:r>
      <w:r w:rsidRPr="002C4FAC">
        <w:rPr>
          <w:rFonts w:eastAsia="Times New Roman" w:cs="Arial"/>
        </w:rPr>
        <w:t xml:space="preserve">to conclude that an entity is a public utility is </w:t>
      </w:r>
      <w:r w:rsidR="00AA4AD2">
        <w:rPr>
          <w:rFonts w:eastAsia="Times New Roman" w:cs="Arial"/>
        </w:rPr>
        <w:t>another</w:t>
      </w:r>
      <w:r w:rsidRPr="002C4FAC">
        <w:rPr>
          <w:rFonts w:eastAsia="Times New Roman" w:cs="Arial"/>
        </w:rPr>
        <w:t xml:space="preserve"> example of the error inherent in the Commission’s </w:t>
      </w:r>
      <w:r w:rsidR="00A4531C" w:rsidRPr="002C4FAC">
        <w:rPr>
          <w:rFonts w:eastAsia="Times New Roman" w:cs="Arial"/>
        </w:rPr>
        <w:t xml:space="preserve">revision of the </w:t>
      </w:r>
      <w:r w:rsidR="00A4531C" w:rsidRPr="009F494A">
        <w:rPr>
          <w:rFonts w:eastAsia="Times New Roman" w:cs="Arial"/>
          <w:i/>
        </w:rPr>
        <w:t>Shroyer Test</w:t>
      </w:r>
      <w:r w:rsidR="00A4531C" w:rsidRPr="002C4FAC">
        <w:rPr>
          <w:rFonts w:eastAsia="Times New Roman" w:cs="Arial"/>
        </w:rPr>
        <w:t>.  If an entity prices its service at a</w:t>
      </w:r>
      <w:r w:rsidR="00523E02">
        <w:rPr>
          <w:rFonts w:eastAsia="Times New Roman" w:cs="Arial"/>
        </w:rPr>
        <w:t>n</w:t>
      </w:r>
      <w:r w:rsidR="00A4531C" w:rsidRPr="002C4FAC">
        <w:rPr>
          <w:rFonts w:eastAsia="Times New Roman" w:cs="Arial"/>
        </w:rPr>
        <w:t xml:space="preserve"> amount above an alternative available from the utility, </w:t>
      </w:r>
      <w:r w:rsidR="008A6E9F" w:rsidRPr="002C4FAC">
        <w:rPr>
          <w:rFonts w:eastAsia="Times New Roman" w:cs="Arial"/>
        </w:rPr>
        <w:t>the Commission will presume</w:t>
      </w:r>
      <w:r w:rsidR="00A4531C" w:rsidRPr="002C4FAC">
        <w:rPr>
          <w:rFonts w:eastAsia="Times New Roman" w:cs="Arial"/>
        </w:rPr>
        <w:t xml:space="preserve"> that </w:t>
      </w:r>
      <w:r w:rsidR="008A6E9F" w:rsidRPr="002C4FAC">
        <w:rPr>
          <w:rFonts w:eastAsia="Times New Roman" w:cs="Arial"/>
        </w:rPr>
        <w:t>the entity’s</w:t>
      </w:r>
      <w:r w:rsidR="00A4531C" w:rsidRPr="002C4FAC">
        <w:rPr>
          <w:rFonts w:eastAsia="Times New Roman" w:cs="Arial"/>
        </w:rPr>
        <w:t xml:space="preserve"> provision of utility service is </w:t>
      </w:r>
      <w:r w:rsidR="008A6E9F" w:rsidRPr="002C4FAC">
        <w:rPr>
          <w:rFonts w:eastAsia="Times New Roman" w:cs="Arial"/>
        </w:rPr>
        <w:t xml:space="preserve">not ancillary and </w:t>
      </w:r>
      <w:r w:rsidR="009F494A">
        <w:rPr>
          <w:rFonts w:eastAsia="Times New Roman" w:cs="Arial"/>
        </w:rPr>
        <w:t xml:space="preserve">then could </w:t>
      </w:r>
      <w:r w:rsidR="008A6E9F" w:rsidRPr="002C4FAC">
        <w:rPr>
          <w:rFonts w:eastAsia="Times New Roman" w:cs="Arial"/>
        </w:rPr>
        <w:t xml:space="preserve">conclude that the entity is a public utility on the basis that it “failed” </w:t>
      </w:r>
      <w:r w:rsidR="00E11F66" w:rsidRPr="002C4FAC">
        <w:rPr>
          <w:rFonts w:eastAsia="Times New Roman" w:cs="Arial"/>
        </w:rPr>
        <w:t xml:space="preserve">one of the three prongs </w:t>
      </w:r>
      <w:r w:rsidR="008A6E9F" w:rsidRPr="002C4FAC">
        <w:rPr>
          <w:rFonts w:eastAsia="Times New Roman" w:cs="Arial"/>
        </w:rPr>
        <w:t xml:space="preserve">of the </w:t>
      </w:r>
      <w:r w:rsidR="008A6E9F" w:rsidRPr="009F494A">
        <w:rPr>
          <w:rFonts w:eastAsia="Times New Roman" w:cs="Arial"/>
          <w:i/>
        </w:rPr>
        <w:t>Shroyer Test</w:t>
      </w:r>
      <w:r w:rsidR="008A6E9F" w:rsidRPr="002C4FAC">
        <w:rPr>
          <w:rFonts w:eastAsia="Times New Roman" w:cs="Arial"/>
        </w:rPr>
        <w:t>.</w:t>
      </w:r>
      <w:r w:rsidR="00EE3A8D" w:rsidRPr="002C4FAC">
        <w:rPr>
          <w:rFonts w:eastAsia="Times New Roman" w:cs="Arial"/>
        </w:rPr>
        <w:t xml:space="preserve">  </w:t>
      </w:r>
      <w:r w:rsidR="00E11F66" w:rsidRPr="002C4FAC">
        <w:rPr>
          <w:rFonts w:eastAsia="Times New Roman" w:cs="Arial"/>
        </w:rPr>
        <w:t xml:space="preserve">Thus, an entity’s demonstration that it is not </w:t>
      </w:r>
      <w:r w:rsidR="005D795E" w:rsidRPr="002C4FAC">
        <w:rPr>
          <w:rFonts w:eastAsia="Times New Roman" w:cs="Arial"/>
        </w:rPr>
        <w:t xml:space="preserve">claiming the rights of a utility to take property or offering a service to the public will not be relevant.  </w:t>
      </w:r>
      <w:r w:rsidR="00C75F40" w:rsidRPr="002C4FAC">
        <w:rPr>
          <w:rFonts w:eastAsia="Times New Roman" w:cs="Arial"/>
        </w:rPr>
        <w:t>T</w:t>
      </w:r>
      <w:r w:rsidR="00B538EB" w:rsidRPr="002C4FAC">
        <w:rPr>
          <w:rFonts w:eastAsia="Times New Roman" w:cs="Arial"/>
        </w:rPr>
        <w:t xml:space="preserve">he price of the service </w:t>
      </w:r>
      <w:r w:rsidR="00F1728C" w:rsidRPr="002C4FAC">
        <w:rPr>
          <w:rFonts w:eastAsia="Times New Roman" w:cs="Arial"/>
        </w:rPr>
        <w:t>becomes</w:t>
      </w:r>
      <w:r w:rsidR="00B538EB" w:rsidRPr="002C4FAC">
        <w:rPr>
          <w:rFonts w:eastAsia="Times New Roman" w:cs="Arial"/>
        </w:rPr>
        <w:t xml:space="preserve"> a substitute for a determination whether the entity is </w:t>
      </w:r>
      <w:r w:rsidR="000C57C8" w:rsidRPr="002C4FAC">
        <w:rPr>
          <w:rFonts w:eastAsia="Times New Roman" w:cs="Arial"/>
        </w:rPr>
        <w:t>engaged in the business of a public</w:t>
      </w:r>
      <w:r w:rsidR="00B538EB" w:rsidRPr="002C4FAC">
        <w:rPr>
          <w:rFonts w:eastAsia="Times New Roman" w:cs="Arial"/>
        </w:rPr>
        <w:t xml:space="preserve"> utility.  </w:t>
      </w:r>
    </w:p>
    <w:p w14:paraId="592DEDBB" w14:textId="43B2BDB7" w:rsidR="000409CB" w:rsidRPr="002C4FAC" w:rsidRDefault="00B538EB" w:rsidP="009D6B63">
      <w:pPr>
        <w:spacing w:line="480" w:lineRule="auto"/>
        <w:ind w:firstLine="720"/>
        <w:jc w:val="both"/>
        <w:rPr>
          <w:rFonts w:eastAsia="Times New Roman" w:cs="Arial"/>
        </w:rPr>
      </w:pPr>
      <w:r w:rsidRPr="002C4FAC">
        <w:rPr>
          <w:rFonts w:eastAsia="Times New Roman" w:cs="Arial"/>
        </w:rPr>
        <w:t xml:space="preserve">This </w:t>
      </w:r>
      <w:r w:rsidR="000C57C8" w:rsidRPr="002C4FAC">
        <w:rPr>
          <w:rFonts w:eastAsia="Times New Roman" w:cs="Arial"/>
        </w:rPr>
        <w:t xml:space="preserve">new approach to defining what is a public utility by reference to only one of the </w:t>
      </w:r>
      <w:r w:rsidR="000C57C8" w:rsidRPr="001E1BD4">
        <w:rPr>
          <w:rFonts w:eastAsia="Times New Roman" w:cs="Arial"/>
          <w:i/>
        </w:rPr>
        <w:t>Shroyer</w:t>
      </w:r>
      <w:r w:rsidR="000C57C8" w:rsidRPr="002C4FAC">
        <w:rPr>
          <w:rFonts w:eastAsia="Times New Roman" w:cs="Arial"/>
        </w:rPr>
        <w:t xml:space="preserve"> prongs</w:t>
      </w:r>
      <w:r w:rsidRPr="002C4FAC">
        <w:rPr>
          <w:rFonts w:eastAsia="Times New Roman" w:cs="Arial"/>
        </w:rPr>
        <w:t xml:space="preserve"> is likely to cast a </w:t>
      </w:r>
      <w:r w:rsidR="001E1BD4">
        <w:rPr>
          <w:rFonts w:eastAsia="Times New Roman" w:cs="Arial"/>
        </w:rPr>
        <w:t xml:space="preserve">wide </w:t>
      </w:r>
      <w:r w:rsidRPr="002C4FAC">
        <w:rPr>
          <w:rFonts w:eastAsia="Times New Roman" w:cs="Arial"/>
        </w:rPr>
        <w:t xml:space="preserve">net that collects questionable operations that result in price gouging of residential customers, but also </w:t>
      </w:r>
      <w:r w:rsidR="00C75F40" w:rsidRPr="002C4FAC">
        <w:rPr>
          <w:rFonts w:eastAsia="Times New Roman" w:cs="Arial"/>
        </w:rPr>
        <w:t>catches</w:t>
      </w:r>
      <w:r w:rsidRPr="002C4FAC">
        <w:rPr>
          <w:rFonts w:eastAsia="Times New Roman" w:cs="Arial"/>
        </w:rPr>
        <w:t xml:space="preserve"> other </w:t>
      </w:r>
      <w:r w:rsidR="00451CE6">
        <w:rPr>
          <w:rFonts w:eastAsia="Times New Roman" w:cs="Arial"/>
        </w:rPr>
        <w:t xml:space="preserve">non-residential </w:t>
      </w:r>
      <w:r w:rsidRPr="002C4FAC">
        <w:rPr>
          <w:rFonts w:eastAsia="Times New Roman" w:cs="Arial"/>
        </w:rPr>
        <w:t>arrangements for which no Commission intervention has ev</w:t>
      </w:r>
      <w:r w:rsidR="002E09A3" w:rsidRPr="002C4FAC">
        <w:rPr>
          <w:rFonts w:eastAsia="Times New Roman" w:cs="Arial"/>
        </w:rPr>
        <w:t xml:space="preserve">er been recognized or </w:t>
      </w:r>
      <w:r w:rsidR="002E09A3" w:rsidRPr="002C4FAC">
        <w:rPr>
          <w:rFonts w:eastAsia="Times New Roman" w:cs="Arial"/>
        </w:rPr>
        <w:lastRenderedPageBreak/>
        <w:t>warranted because they are voluntary arrangements between sophisticated parties.</w:t>
      </w:r>
      <w:r w:rsidR="004E5DAC" w:rsidRPr="002C4FAC">
        <w:rPr>
          <w:rFonts w:eastAsia="Times New Roman" w:cs="Arial"/>
        </w:rPr>
        <w:t xml:space="preserve">  When the Commission</w:t>
      </w:r>
      <w:r w:rsidR="0077046E" w:rsidRPr="002C4FAC">
        <w:rPr>
          <w:rFonts w:eastAsia="Times New Roman" w:cs="Arial"/>
        </w:rPr>
        <w:t xml:space="preserve"> adopted the </w:t>
      </w:r>
      <w:r w:rsidR="0077046E" w:rsidRPr="001E1BD4">
        <w:rPr>
          <w:rFonts w:eastAsia="Times New Roman" w:cs="Arial"/>
          <w:i/>
        </w:rPr>
        <w:t>Sh</w:t>
      </w:r>
      <w:r w:rsidR="004E5DAC" w:rsidRPr="001E1BD4">
        <w:rPr>
          <w:rFonts w:eastAsia="Times New Roman" w:cs="Arial"/>
          <w:i/>
        </w:rPr>
        <w:t>royer Test</w:t>
      </w:r>
      <w:r w:rsidR="004E5DAC" w:rsidRPr="002C4FAC">
        <w:rPr>
          <w:rFonts w:eastAsia="Times New Roman" w:cs="Arial"/>
        </w:rPr>
        <w:t>, it was well aw</w:t>
      </w:r>
      <w:r w:rsidR="005C47B2" w:rsidRPr="002C4FAC">
        <w:rPr>
          <w:rFonts w:eastAsia="Times New Roman" w:cs="Arial"/>
        </w:rPr>
        <w:t>are that too large a net was in</w:t>
      </w:r>
      <w:r w:rsidR="004E5DAC" w:rsidRPr="002C4FAC">
        <w:rPr>
          <w:rFonts w:eastAsia="Times New Roman" w:cs="Arial"/>
        </w:rPr>
        <w:t>consistent with its statutory authority</w:t>
      </w:r>
      <w:r w:rsidR="00D00DD1" w:rsidRPr="002C4FAC">
        <w:rPr>
          <w:rFonts w:eastAsia="Times New Roman" w:cs="Arial"/>
        </w:rPr>
        <w:t xml:space="preserve"> or its resources.  </w:t>
      </w:r>
      <w:r w:rsidR="00D00DD1" w:rsidRPr="002C4FAC">
        <w:rPr>
          <w:rFonts w:eastAsia="Times New Roman" w:cs="Arial"/>
          <w:i/>
        </w:rPr>
        <w:t>Shroyer</w:t>
      </w:r>
      <w:r w:rsidR="001E1BD4">
        <w:rPr>
          <w:rFonts w:eastAsia="Times New Roman" w:cs="Arial"/>
        </w:rPr>
        <w:t>, at 4</w:t>
      </w:r>
      <w:r w:rsidR="00D00DD1" w:rsidRPr="002C4FAC">
        <w:rPr>
          <w:rFonts w:eastAsia="Times New Roman" w:cs="Arial"/>
        </w:rPr>
        <w:t>.</w:t>
      </w:r>
      <w:r w:rsidR="004E5DAC" w:rsidRPr="002C4FAC">
        <w:rPr>
          <w:rFonts w:eastAsia="Times New Roman" w:cs="Arial"/>
        </w:rPr>
        <w:t xml:space="preserve"> </w:t>
      </w:r>
      <w:r w:rsidR="00092D57" w:rsidRPr="002C4FAC">
        <w:rPr>
          <w:rFonts w:eastAsia="Times New Roman" w:cs="Arial"/>
        </w:rPr>
        <w:t xml:space="preserve"> </w:t>
      </w:r>
      <w:r w:rsidR="00A7361F" w:rsidRPr="002C4FAC">
        <w:rPr>
          <w:rFonts w:eastAsia="Times New Roman" w:cs="Arial"/>
        </w:rPr>
        <w:t xml:space="preserve">In </w:t>
      </w:r>
      <w:r w:rsidR="0077046E" w:rsidRPr="002C4FAC">
        <w:rPr>
          <w:rFonts w:eastAsia="Times New Roman" w:cs="Arial"/>
        </w:rPr>
        <w:t>recognition</w:t>
      </w:r>
      <w:r w:rsidR="00A7361F" w:rsidRPr="002C4FAC">
        <w:rPr>
          <w:rFonts w:eastAsia="Times New Roman" w:cs="Arial"/>
        </w:rPr>
        <w:t xml:space="preserve"> of both its legal duties to protect the public interest and </w:t>
      </w:r>
      <w:r w:rsidR="0077046E" w:rsidRPr="002C4FAC">
        <w:rPr>
          <w:rFonts w:eastAsia="Times New Roman" w:cs="Arial"/>
        </w:rPr>
        <w:t xml:space="preserve">to </w:t>
      </w:r>
      <w:r w:rsidR="00A7361F" w:rsidRPr="002C4FAC">
        <w:rPr>
          <w:rFonts w:eastAsia="Times New Roman" w:cs="Arial"/>
        </w:rPr>
        <w:t xml:space="preserve">regulate responsibly, the Commission adopted </w:t>
      </w:r>
      <w:r w:rsidR="0077046E" w:rsidRPr="002C4FAC">
        <w:rPr>
          <w:rFonts w:eastAsia="Times New Roman" w:cs="Arial"/>
        </w:rPr>
        <w:t>t</w:t>
      </w:r>
      <w:r w:rsidR="000409CB" w:rsidRPr="002C4FAC">
        <w:rPr>
          <w:rFonts w:eastAsia="Times New Roman" w:cs="Arial"/>
        </w:rPr>
        <w:t xml:space="preserve">he </w:t>
      </w:r>
      <w:r w:rsidR="000409CB" w:rsidRPr="00C37F5A">
        <w:rPr>
          <w:rFonts w:eastAsia="Times New Roman" w:cs="Arial"/>
          <w:i/>
        </w:rPr>
        <w:t xml:space="preserve">Shroyer </w:t>
      </w:r>
      <w:r w:rsidR="00E41245" w:rsidRPr="00C37F5A">
        <w:rPr>
          <w:rFonts w:eastAsia="Times New Roman" w:cs="Arial"/>
          <w:i/>
        </w:rPr>
        <w:t>Test</w:t>
      </w:r>
      <w:r w:rsidR="00E41245" w:rsidRPr="002C4FAC">
        <w:rPr>
          <w:rFonts w:eastAsia="Times New Roman" w:cs="Arial"/>
        </w:rPr>
        <w:t xml:space="preserve">’s three separate prongs </w:t>
      </w:r>
      <w:r w:rsidR="000409CB" w:rsidRPr="002C4FAC">
        <w:rPr>
          <w:rFonts w:eastAsia="Times New Roman" w:cs="Arial"/>
        </w:rPr>
        <w:t xml:space="preserve">based on long experience, </w:t>
      </w:r>
      <w:r w:rsidR="00A7361F" w:rsidRPr="002C4FAC">
        <w:rPr>
          <w:rFonts w:eastAsia="Times New Roman" w:cs="Arial"/>
        </w:rPr>
        <w:t>a</w:t>
      </w:r>
      <w:r w:rsidR="0052772B" w:rsidRPr="002C4FAC">
        <w:rPr>
          <w:rFonts w:eastAsia="Times New Roman" w:cs="Arial"/>
        </w:rPr>
        <w:t>n understanding of the</w:t>
      </w:r>
      <w:r w:rsidR="00A7361F" w:rsidRPr="002C4FAC">
        <w:rPr>
          <w:rFonts w:eastAsia="Times New Roman" w:cs="Arial"/>
        </w:rPr>
        <w:t xml:space="preserve"> </w:t>
      </w:r>
      <w:r w:rsidR="000409CB" w:rsidRPr="002C4FAC">
        <w:rPr>
          <w:rFonts w:eastAsia="Times New Roman" w:cs="Arial"/>
        </w:rPr>
        <w:t>common law and statutory principles</w:t>
      </w:r>
      <w:r w:rsidR="0052772B" w:rsidRPr="002C4FAC">
        <w:rPr>
          <w:rFonts w:eastAsia="Times New Roman" w:cs="Arial"/>
        </w:rPr>
        <w:t xml:space="preserve"> defining a public utility status</w:t>
      </w:r>
      <w:r w:rsidR="000409CB" w:rsidRPr="002C4FAC">
        <w:rPr>
          <w:rFonts w:eastAsia="Times New Roman" w:cs="Arial"/>
        </w:rPr>
        <w:t xml:space="preserve">, and common sense.  </w:t>
      </w:r>
      <w:r w:rsidR="0052772B" w:rsidRPr="002C4FAC">
        <w:rPr>
          <w:rFonts w:eastAsia="Times New Roman" w:cs="Arial"/>
        </w:rPr>
        <w:t xml:space="preserve">The move to a new test </w:t>
      </w:r>
      <w:r w:rsidR="0077046E" w:rsidRPr="002C4FAC">
        <w:rPr>
          <w:rFonts w:eastAsia="Times New Roman" w:cs="Arial"/>
        </w:rPr>
        <w:t xml:space="preserve">that elevates any one </w:t>
      </w:r>
      <w:r w:rsidR="000F7DA8">
        <w:rPr>
          <w:rFonts w:eastAsia="Times New Roman" w:cs="Arial"/>
        </w:rPr>
        <w:t>prong</w:t>
      </w:r>
      <w:r w:rsidR="000F7DA8" w:rsidRPr="002C4FAC">
        <w:rPr>
          <w:rFonts w:eastAsia="Times New Roman" w:cs="Arial"/>
        </w:rPr>
        <w:t xml:space="preserve"> </w:t>
      </w:r>
      <w:r w:rsidR="0077046E" w:rsidRPr="002C4FAC">
        <w:rPr>
          <w:rFonts w:eastAsia="Times New Roman" w:cs="Arial"/>
        </w:rPr>
        <w:t xml:space="preserve">to a determination that an entity is a public utility </w:t>
      </w:r>
      <w:r w:rsidR="0052772B" w:rsidRPr="002C4FAC">
        <w:rPr>
          <w:rFonts w:eastAsia="Times New Roman" w:cs="Arial"/>
        </w:rPr>
        <w:t xml:space="preserve">so that price gouging is addressed is neither warranted by Ohio law </w:t>
      </w:r>
      <w:r w:rsidR="00092D57" w:rsidRPr="002C4FAC">
        <w:rPr>
          <w:rFonts w:eastAsia="Times New Roman" w:cs="Arial"/>
        </w:rPr>
        <w:t>n</w:t>
      </w:r>
      <w:r w:rsidR="0052772B" w:rsidRPr="002C4FAC">
        <w:rPr>
          <w:rFonts w:eastAsia="Times New Roman" w:cs="Arial"/>
        </w:rPr>
        <w:t>or reasonable.</w:t>
      </w:r>
    </w:p>
    <w:p w14:paraId="6CA30D11" w14:textId="30599440" w:rsidR="00265640" w:rsidRPr="002C4FAC" w:rsidRDefault="00A448B1" w:rsidP="004525E0">
      <w:pPr>
        <w:pStyle w:val="Heading2"/>
        <w:spacing w:after="0"/>
        <w:rPr>
          <w:rFonts w:eastAsia="Times New Roman"/>
        </w:rPr>
      </w:pPr>
      <w:bookmarkStart w:id="26" w:name="_Toc470773476"/>
      <w:bookmarkStart w:id="27" w:name="_Toc470782974"/>
      <w:bookmarkStart w:id="28" w:name="_Toc470878124"/>
      <w:bookmarkStart w:id="29" w:name="_Toc471291642"/>
      <w:bookmarkStart w:id="30" w:name="_Toc471458092"/>
      <w:r w:rsidRPr="002C4FAC">
        <w:rPr>
          <w:rFonts w:eastAsia="Times New Roman"/>
        </w:rPr>
        <w:t xml:space="preserve">Assignment of Error 2:  </w:t>
      </w:r>
      <w:r w:rsidR="00CD25C3" w:rsidRPr="002C4FAC">
        <w:rPr>
          <w:rFonts w:eastAsia="Times New Roman"/>
        </w:rPr>
        <w:t xml:space="preserve">The Finding and Order is unlawful and unreasonable because </w:t>
      </w:r>
      <w:r w:rsidR="00ED6B96">
        <w:rPr>
          <w:rFonts w:eastAsia="Times New Roman"/>
        </w:rPr>
        <w:t xml:space="preserve">the Commission’s creation of a </w:t>
      </w:r>
      <w:r w:rsidR="0014769C" w:rsidRPr="002C4FAC">
        <w:rPr>
          <w:rFonts w:eastAsia="Times New Roman"/>
        </w:rPr>
        <w:t>rebuttable presumption that an entity is a public utility based on a “</w:t>
      </w:r>
      <w:r w:rsidR="00304369">
        <w:rPr>
          <w:rFonts w:eastAsia="Times New Roman"/>
        </w:rPr>
        <w:t>Relative Price Test</w:t>
      </w:r>
      <w:r w:rsidR="0014769C" w:rsidRPr="002C4FAC">
        <w:rPr>
          <w:rFonts w:eastAsia="Times New Roman"/>
        </w:rPr>
        <w:t>”</w:t>
      </w:r>
      <w:r w:rsidRPr="002C4FAC">
        <w:rPr>
          <w:rFonts w:eastAsia="Times New Roman"/>
        </w:rPr>
        <w:t xml:space="preserve"> </w:t>
      </w:r>
      <w:r w:rsidR="00ED6B96">
        <w:rPr>
          <w:rFonts w:eastAsia="Times New Roman"/>
        </w:rPr>
        <w:t>is not based on a</w:t>
      </w:r>
      <w:r w:rsidRPr="002C4FAC">
        <w:rPr>
          <w:rFonts w:eastAsia="Times New Roman"/>
        </w:rPr>
        <w:t xml:space="preserve"> rational nexus between the proven facts and the presumed facts</w:t>
      </w:r>
      <w:bookmarkEnd w:id="26"/>
      <w:bookmarkEnd w:id="27"/>
      <w:bookmarkEnd w:id="28"/>
      <w:bookmarkEnd w:id="29"/>
      <w:bookmarkEnd w:id="30"/>
    </w:p>
    <w:p w14:paraId="54134B82" w14:textId="77777777" w:rsidR="007A6DFB" w:rsidRPr="002C4FAC" w:rsidRDefault="007A6DFB" w:rsidP="002C4FAC">
      <w:pPr>
        <w:jc w:val="both"/>
        <w:rPr>
          <w:rFonts w:eastAsia="Times New Roman" w:cs="Arial"/>
          <w:b/>
        </w:rPr>
      </w:pPr>
    </w:p>
    <w:p w14:paraId="5F734C9E" w14:textId="311C18D1" w:rsidR="00A448B1" w:rsidRPr="002C4FAC" w:rsidRDefault="00A448B1" w:rsidP="002C4FAC">
      <w:pPr>
        <w:spacing w:line="480" w:lineRule="auto"/>
        <w:jc w:val="both"/>
        <w:rPr>
          <w:rFonts w:eastAsia="Times New Roman" w:cs="Arial"/>
        </w:rPr>
      </w:pPr>
      <w:r w:rsidRPr="002C4FAC">
        <w:rPr>
          <w:rFonts w:eastAsia="Times New Roman" w:cs="Arial"/>
        </w:rPr>
        <w:tab/>
        <w:t xml:space="preserve">In the Finding and Order, the Commission </w:t>
      </w:r>
      <w:r w:rsidR="000A5338" w:rsidRPr="002C4FAC">
        <w:rPr>
          <w:rFonts w:eastAsia="Times New Roman" w:cs="Arial"/>
        </w:rPr>
        <w:t xml:space="preserve">modified the third prong of the </w:t>
      </w:r>
      <w:r w:rsidR="000A5338" w:rsidRPr="00E54FA2">
        <w:rPr>
          <w:rFonts w:eastAsia="Times New Roman" w:cs="Arial"/>
          <w:i/>
        </w:rPr>
        <w:t>Shroyer Test</w:t>
      </w:r>
      <w:r w:rsidR="000A5338" w:rsidRPr="002C4FAC">
        <w:rPr>
          <w:rFonts w:eastAsia="Times New Roman" w:cs="Arial"/>
        </w:rPr>
        <w:t xml:space="preserve"> to include a </w:t>
      </w:r>
      <w:r w:rsidR="004E60D3">
        <w:rPr>
          <w:rFonts w:eastAsia="Times New Roman" w:cs="Arial"/>
        </w:rPr>
        <w:t>Relative Price Test.  Under this new “</w:t>
      </w:r>
      <w:r w:rsidR="004E60D3" w:rsidRPr="00D050B4">
        <w:rPr>
          <w:rFonts w:eastAsia="Times New Roman" w:cs="Arial"/>
        </w:rPr>
        <w:t>Test</w:t>
      </w:r>
      <w:r w:rsidR="004E60D3">
        <w:rPr>
          <w:rFonts w:eastAsia="Times New Roman" w:cs="Arial"/>
        </w:rPr>
        <w:t>,” the Commission stated a rule of evidence that</w:t>
      </w:r>
      <w:r w:rsidR="000A5338" w:rsidRPr="002C4FAC">
        <w:rPr>
          <w:rFonts w:eastAsia="Times New Roman" w:cs="Arial"/>
        </w:rPr>
        <w:t xml:space="preserve"> the provision of a utility service is </w:t>
      </w:r>
      <w:r w:rsidR="00F358F7">
        <w:rPr>
          <w:rFonts w:eastAsia="Times New Roman" w:cs="Arial"/>
        </w:rPr>
        <w:t xml:space="preserve">presumed to be </w:t>
      </w:r>
      <w:r w:rsidR="000A5338" w:rsidRPr="002C4FAC">
        <w:rPr>
          <w:rFonts w:eastAsia="Times New Roman" w:cs="Arial"/>
        </w:rPr>
        <w:t xml:space="preserve">not ancillary to the landlord’s or </w:t>
      </w:r>
      <w:r w:rsidR="00E54FA2" w:rsidRPr="002C4FAC">
        <w:rPr>
          <w:rFonts w:eastAsia="Times New Roman" w:cs="Arial"/>
        </w:rPr>
        <w:t>other</w:t>
      </w:r>
      <w:r w:rsidR="000A5338" w:rsidRPr="002C4FAC">
        <w:rPr>
          <w:rFonts w:eastAsia="Times New Roman" w:cs="Arial"/>
        </w:rPr>
        <w:t xml:space="preserve"> entity’s primary business if the landlord or other entity charges the end user </w:t>
      </w:r>
      <w:r w:rsidR="002E58D5" w:rsidRPr="002C4FAC">
        <w:rPr>
          <w:rFonts w:eastAsia="Times New Roman" w:cs="Arial"/>
        </w:rPr>
        <w:t xml:space="preserve">a certain to-be-determined percentage above the total bill charges for a </w:t>
      </w:r>
      <w:r w:rsidR="00D27E74" w:rsidRPr="002C4FAC">
        <w:rPr>
          <w:rFonts w:eastAsia="Times New Roman" w:cs="Arial"/>
        </w:rPr>
        <w:t>similarly</w:t>
      </w:r>
      <w:r w:rsidR="00D27E74">
        <w:rPr>
          <w:rFonts w:eastAsia="Times New Roman" w:cs="Arial"/>
        </w:rPr>
        <w:t>-</w:t>
      </w:r>
      <w:r w:rsidR="002E58D5" w:rsidRPr="002C4FAC">
        <w:rPr>
          <w:rFonts w:eastAsia="Times New Roman" w:cs="Arial"/>
        </w:rPr>
        <w:t>situated customer served by the utility’s tariff rates, an electric utility’s standard service offer, or a natural gas company’s standard choice offer.  Finding and Order at ¶ 18.</w:t>
      </w:r>
      <w:r w:rsidR="00486F84" w:rsidRPr="002C4FAC">
        <w:rPr>
          <w:rFonts w:eastAsia="Times New Roman" w:cs="Arial"/>
        </w:rPr>
        <w:t xml:space="preserve">  The landlord or other entity then would have to present evidence to demonstrate that its provision of service was ancillary to its business.  </w:t>
      </w:r>
      <w:r w:rsidR="00486F84" w:rsidRPr="0058558E">
        <w:rPr>
          <w:rFonts w:eastAsia="Times New Roman" w:cs="Arial"/>
          <w:i/>
        </w:rPr>
        <w:t>Id.</w:t>
      </w:r>
      <w:r w:rsidR="00006793" w:rsidRPr="002C4FAC">
        <w:rPr>
          <w:rFonts w:eastAsia="Times New Roman" w:cs="Arial"/>
        </w:rPr>
        <w:t xml:space="preserve">  </w:t>
      </w:r>
      <w:r w:rsidR="00F55BF9" w:rsidRPr="002C4FAC">
        <w:rPr>
          <w:rFonts w:eastAsia="Times New Roman" w:cs="Arial"/>
        </w:rPr>
        <w:t>The Commission</w:t>
      </w:r>
      <w:r w:rsidR="00F55BF9">
        <w:rPr>
          <w:rFonts w:eastAsia="Times New Roman" w:cs="Arial"/>
        </w:rPr>
        <w:t xml:space="preserve"> introduced the Relative Price Test </w:t>
      </w:r>
      <w:r w:rsidR="00F55BF9" w:rsidRPr="002C4FAC">
        <w:rPr>
          <w:rFonts w:eastAsia="Times New Roman" w:cs="Arial"/>
        </w:rPr>
        <w:t xml:space="preserve">because of complaints that </w:t>
      </w:r>
      <w:r w:rsidR="00F55BF9">
        <w:rPr>
          <w:rFonts w:eastAsia="Times New Roman" w:cs="Arial"/>
        </w:rPr>
        <w:t>submetering companies are price-gouging residential customers</w:t>
      </w:r>
      <w:r w:rsidR="00F55BF9" w:rsidRPr="002C4FAC">
        <w:rPr>
          <w:rFonts w:eastAsia="Times New Roman" w:cs="Arial"/>
        </w:rPr>
        <w:t xml:space="preserve">.  </w:t>
      </w:r>
      <w:r w:rsidR="00F55BF9" w:rsidRPr="00274AD2">
        <w:rPr>
          <w:rFonts w:eastAsia="Times New Roman" w:cs="Arial"/>
          <w:i/>
        </w:rPr>
        <w:t>Id</w:t>
      </w:r>
      <w:r w:rsidR="00F55BF9" w:rsidRPr="002C4FAC">
        <w:rPr>
          <w:rFonts w:eastAsia="Times New Roman" w:cs="Arial"/>
        </w:rPr>
        <w:t xml:space="preserve">., ¶ 19.  </w:t>
      </w:r>
      <w:r w:rsidR="00006793" w:rsidRPr="002C4FAC">
        <w:rPr>
          <w:rFonts w:eastAsia="Times New Roman" w:cs="Arial"/>
        </w:rPr>
        <w:t xml:space="preserve">Because there is no rational nexus between the </w:t>
      </w:r>
      <w:r w:rsidR="00CA6595">
        <w:rPr>
          <w:rFonts w:eastAsia="Times New Roman" w:cs="Arial"/>
        </w:rPr>
        <w:t xml:space="preserve">relative </w:t>
      </w:r>
      <w:r w:rsidR="00006793" w:rsidRPr="002C4FAC">
        <w:rPr>
          <w:rFonts w:eastAsia="Times New Roman" w:cs="Arial"/>
        </w:rPr>
        <w:lastRenderedPageBreak/>
        <w:t xml:space="preserve">price of services and a determination that </w:t>
      </w:r>
      <w:r w:rsidR="005D5F8D" w:rsidRPr="002C4FAC">
        <w:rPr>
          <w:rFonts w:eastAsia="Times New Roman" w:cs="Arial"/>
        </w:rPr>
        <w:t xml:space="preserve">the provision of service is ancillary to the entity’s business, the Finding and Order is </w:t>
      </w:r>
      <w:r w:rsidR="003349A6">
        <w:rPr>
          <w:rFonts w:eastAsia="Times New Roman" w:cs="Arial"/>
        </w:rPr>
        <w:t xml:space="preserve">unreasonable and </w:t>
      </w:r>
      <w:r w:rsidR="005D5F8D" w:rsidRPr="002C4FAC">
        <w:rPr>
          <w:rFonts w:eastAsia="Times New Roman" w:cs="Arial"/>
        </w:rPr>
        <w:t>unconstitutional.</w:t>
      </w:r>
    </w:p>
    <w:p w14:paraId="40A2689B" w14:textId="5C9E6A5E" w:rsidR="005D5F8D" w:rsidRPr="002C4FAC" w:rsidRDefault="005D5F8D" w:rsidP="002C4FAC">
      <w:pPr>
        <w:spacing w:line="480" w:lineRule="auto"/>
        <w:jc w:val="both"/>
        <w:rPr>
          <w:rFonts w:eastAsia="Times New Roman" w:cs="Arial"/>
        </w:rPr>
      </w:pPr>
      <w:r w:rsidRPr="002C4FAC">
        <w:rPr>
          <w:rFonts w:eastAsia="Times New Roman" w:cs="Arial"/>
        </w:rPr>
        <w:tab/>
      </w:r>
      <w:r w:rsidR="00CB3303" w:rsidRPr="002C4FAC">
        <w:rPr>
          <w:rFonts w:eastAsia="Times New Roman" w:cs="Arial"/>
        </w:rPr>
        <w:t>As Professor Weinstein explains in his treatise on evidence, “[t]o be constitutional, a civil presumption</w:t>
      </w:r>
      <w:r w:rsidR="00A93AB2" w:rsidRPr="002C4FAC">
        <w:rPr>
          <w:rFonts w:eastAsia="Times New Roman" w:cs="Arial"/>
        </w:rPr>
        <w:t xml:space="preserve"> requires ‘</w:t>
      </w:r>
      <w:r w:rsidR="00CB3303" w:rsidRPr="002C4FAC">
        <w:rPr>
          <w:rFonts w:eastAsia="Times New Roman" w:cs="Arial"/>
        </w:rPr>
        <w:t>some rational connection between the fact proved and the ultimate fact presumed, and that the inference of one fact from proof of another shall not be so unreasonable as to be a purely arbitrary mandate.</w:t>
      </w:r>
      <w:r w:rsidR="00A93AB2" w:rsidRPr="002C4FAC">
        <w:rPr>
          <w:rFonts w:eastAsia="Times New Roman" w:cs="Arial"/>
        </w:rPr>
        <w:t>’</w:t>
      </w:r>
      <w:r w:rsidR="00CB3303" w:rsidRPr="002C4FAC">
        <w:rPr>
          <w:rFonts w:eastAsia="Times New Roman" w:cs="Arial"/>
        </w:rPr>
        <w:t>”</w:t>
      </w:r>
      <w:r w:rsidR="00A93AB2" w:rsidRPr="002C4FAC">
        <w:rPr>
          <w:rFonts w:eastAsia="Times New Roman" w:cs="Arial"/>
        </w:rPr>
        <w:t xml:space="preserve">  Weinstein’s Federal Evidence § 301.03, citing </w:t>
      </w:r>
      <w:r w:rsidR="00866CA1" w:rsidRPr="002C4FAC">
        <w:rPr>
          <w:rFonts w:eastAsia="Times New Roman" w:cs="Arial"/>
          <w:i/>
        </w:rPr>
        <w:t>Mobile, Jackson and Kansas City R.R. Co. v. Turnipseed</w:t>
      </w:r>
      <w:r w:rsidR="00866CA1" w:rsidRPr="002C4FAC">
        <w:rPr>
          <w:rFonts w:eastAsia="Times New Roman" w:cs="Arial"/>
        </w:rPr>
        <w:t xml:space="preserve">, 219 U.S. 35, 43-44 (1910).  The rational nexus requirement applies to the presumptions relied upon by administrative agencies.  </w:t>
      </w:r>
      <w:r w:rsidR="00B023F5" w:rsidRPr="00692B20">
        <w:rPr>
          <w:rFonts w:eastAsia="Times New Roman" w:cs="Arial"/>
          <w:i/>
        </w:rPr>
        <w:t xml:space="preserve">United </w:t>
      </w:r>
      <w:r w:rsidR="00B023F5" w:rsidRPr="008F7577">
        <w:rPr>
          <w:rFonts w:eastAsia="Times New Roman" w:cs="Arial"/>
          <w:i/>
        </w:rPr>
        <w:t>Scenic Artists, Local 82</w:t>
      </w:r>
      <w:r w:rsidR="00A51255" w:rsidRPr="00692B20">
        <w:rPr>
          <w:rFonts w:eastAsia="Times New Roman" w:cs="Arial"/>
          <w:i/>
        </w:rPr>
        <w:t>9</w:t>
      </w:r>
      <w:r w:rsidR="00B023F5" w:rsidRPr="008F7577">
        <w:rPr>
          <w:rFonts w:eastAsia="Times New Roman" w:cs="Arial"/>
          <w:i/>
        </w:rPr>
        <w:t xml:space="preserve"> v. NLRB</w:t>
      </w:r>
      <w:r w:rsidR="00B023F5" w:rsidRPr="008F7577">
        <w:rPr>
          <w:rFonts w:eastAsia="Times New Roman" w:cs="Arial"/>
        </w:rPr>
        <w:t>, 726 F</w:t>
      </w:r>
      <w:r w:rsidR="007B0A54" w:rsidRPr="00692B20">
        <w:rPr>
          <w:rFonts w:eastAsia="Times New Roman" w:cs="Arial"/>
        </w:rPr>
        <w:t>.</w:t>
      </w:r>
      <w:r w:rsidR="00B023F5" w:rsidRPr="008F7577">
        <w:rPr>
          <w:rFonts w:eastAsia="Times New Roman" w:cs="Arial"/>
        </w:rPr>
        <w:t>2d 1027, 1034 (D.C. Cir. 1985)</w:t>
      </w:r>
      <w:r w:rsidR="00B023F5" w:rsidRPr="002C4FAC">
        <w:rPr>
          <w:rFonts w:eastAsia="Times New Roman" w:cs="Arial"/>
        </w:rPr>
        <w:t xml:space="preserve">.  </w:t>
      </w:r>
      <w:r w:rsidR="00D67D9A" w:rsidRPr="002C4FAC">
        <w:rPr>
          <w:rFonts w:eastAsia="Times New Roman" w:cs="Arial"/>
        </w:rPr>
        <w:t>“</w:t>
      </w:r>
      <w:r w:rsidR="004F3CE6" w:rsidRPr="002C4FAC">
        <w:rPr>
          <w:rFonts w:eastAsia="Times New Roman" w:cs="Arial"/>
        </w:rPr>
        <w:t>Where such a nexus is lacking, the presumption is invalid.</w:t>
      </w:r>
      <w:r w:rsidR="00D67D9A" w:rsidRPr="002C4FAC">
        <w:rPr>
          <w:rFonts w:eastAsia="Times New Roman" w:cs="Arial"/>
        </w:rPr>
        <w:t>”</w:t>
      </w:r>
      <w:r w:rsidR="004F3CE6" w:rsidRPr="002C4FAC">
        <w:rPr>
          <w:rFonts w:eastAsia="Times New Roman" w:cs="Arial"/>
        </w:rPr>
        <w:t xml:space="preserve"> </w:t>
      </w:r>
      <w:r w:rsidR="00D67D9A" w:rsidRPr="002C4FAC">
        <w:rPr>
          <w:rFonts w:eastAsia="Times New Roman" w:cs="Arial"/>
          <w:i/>
        </w:rPr>
        <w:t>Id</w:t>
      </w:r>
      <w:r w:rsidR="00D67D9A" w:rsidRPr="002C4FAC">
        <w:rPr>
          <w:rFonts w:eastAsia="Times New Roman" w:cs="Arial"/>
        </w:rPr>
        <w:t xml:space="preserve">., citing </w:t>
      </w:r>
      <w:r w:rsidR="004F3CE6" w:rsidRPr="002C4FAC">
        <w:rPr>
          <w:rFonts w:eastAsia="Times New Roman" w:cs="Arial"/>
          <w:i/>
          <w:iCs/>
        </w:rPr>
        <w:t>United States Department of Agriculture v. Murry</w:t>
      </w:r>
      <w:r w:rsidR="004F3CE6" w:rsidRPr="002C4FAC">
        <w:rPr>
          <w:rFonts w:eastAsia="Times New Roman" w:cs="Arial"/>
        </w:rPr>
        <w:t xml:space="preserve">, 413 U.S. 508, 37 L. Ed. 2d 767, 93 S. Ct. 2832 (1973); </w:t>
      </w:r>
      <w:r w:rsidR="004F3CE6" w:rsidRPr="002C4FAC">
        <w:rPr>
          <w:rFonts w:eastAsia="Times New Roman" w:cs="Arial"/>
          <w:i/>
          <w:iCs/>
        </w:rPr>
        <w:t>Vlandis v. Kline</w:t>
      </w:r>
      <w:r w:rsidR="004F3CE6" w:rsidRPr="002C4FAC">
        <w:rPr>
          <w:rFonts w:eastAsia="Times New Roman" w:cs="Arial"/>
        </w:rPr>
        <w:t xml:space="preserve">, 412 U.S. 441, 37 L. Ed. 2d 63, 93 S. Ct. 2230 (1973); </w:t>
      </w:r>
      <w:r w:rsidR="004F3CE6" w:rsidRPr="002C4FAC">
        <w:rPr>
          <w:rFonts w:eastAsia="Times New Roman" w:cs="Arial"/>
          <w:i/>
          <w:iCs/>
        </w:rPr>
        <w:t>Holland Livestock Ranch v. United States</w:t>
      </w:r>
      <w:r w:rsidR="004F3CE6" w:rsidRPr="002C4FAC">
        <w:rPr>
          <w:rFonts w:eastAsia="Times New Roman" w:cs="Arial"/>
        </w:rPr>
        <w:t xml:space="preserve">, 543 F. Supp. 158 (D. Nev. 1982), </w:t>
      </w:r>
      <w:r w:rsidR="004F3CE6" w:rsidRPr="002C4FAC">
        <w:rPr>
          <w:rFonts w:eastAsia="Times New Roman" w:cs="Arial"/>
          <w:i/>
          <w:iCs/>
        </w:rPr>
        <w:t>aff'd</w:t>
      </w:r>
      <w:r w:rsidR="004F3CE6" w:rsidRPr="002C4FAC">
        <w:rPr>
          <w:rFonts w:eastAsia="Times New Roman" w:cs="Arial"/>
        </w:rPr>
        <w:t xml:space="preserve">, 714 F.2d 90 (9th Cir. 1983); </w:t>
      </w:r>
      <w:r w:rsidR="004F3CE6" w:rsidRPr="002C4FAC">
        <w:rPr>
          <w:rFonts w:eastAsia="Times New Roman" w:cs="Arial"/>
          <w:i/>
          <w:iCs/>
        </w:rPr>
        <w:t>United States v. Murff</w:t>
      </w:r>
      <w:r w:rsidR="004F3CE6" w:rsidRPr="002C4FAC">
        <w:rPr>
          <w:rFonts w:eastAsia="Times New Roman" w:cs="Arial"/>
        </w:rPr>
        <w:t xml:space="preserve">, 265 F.2d 504, 506 (2d Cir. 1959); </w:t>
      </w:r>
      <w:r w:rsidR="004F3CE6" w:rsidRPr="002C4FAC">
        <w:rPr>
          <w:rFonts w:eastAsia="Times New Roman" w:cs="Arial"/>
          <w:i/>
          <w:iCs/>
        </w:rPr>
        <w:t>Owens v. Roberts</w:t>
      </w:r>
      <w:r w:rsidR="004F3CE6" w:rsidRPr="002C4FAC">
        <w:rPr>
          <w:rFonts w:eastAsia="Times New Roman" w:cs="Arial"/>
        </w:rPr>
        <w:t>, 377 F. Supp. 45, 54-55 (M.D. Fla. 1974).</w:t>
      </w:r>
    </w:p>
    <w:p w14:paraId="1036B9BB" w14:textId="360D491A" w:rsidR="00370623" w:rsidRDefault="00370623" w:rsidP="002C4FAC">
      <w:pPr>
        <w:spacing w:line="480" w:lineRule="auto"/>
        <w:jc w:val="both"/>
        <w:rPr>
          <w:rFonts w:eastAsia="Times New Roman" w:cs="Arial"/>
        </w:rPr>
      </w:pPr>
      <w:r w:rsidRPr="002C4FAC">
        <w:rPr>
          <w:rFonts w:eastAsia="Times New Roman" w:cs="Arial"/>
        </w:rPr>
        <w:tab/>
      </w:r>
      <w:r w:rsidR="00CB4EF4">
        <w:rPr>
          <w:rFonts w:eastAsia="Times New Roman" w:cs="Arial"/>
        </w:rPr>
        <w:t xml:space="preserve">Under Ohio law, a public utility is defined by the </w:t>
      </w:r>
      <w:r w:rsidR="00A32551">
        <w:rPr>
          <w:rFonts w:eastAsia="Times New Roman" w:cs="Arial"/>
        </w:rPr>
        <w:t xml:space="preserve">functions </w:t>
      </w:r>
      <w:r w:rsidR="00CB4EF4">
        <w:rPr>
          <w:rFonts w:eastAsia="Times New Roman" w:cs="Arial"/>
        </w:rPr>
        <w:t xml:space="preserve">it performs.  </w:t>
      </w:r>
      <w:r w:rsidR="00263028" w:rsidRPr="002C4FAC">
        <w:rPr>
          <w:rFonts w:eastAsia="Times New Roman" w:cs="Arial"/>
        </w:rPr>
        <w:t xml:space="preserve">R.C. 4905.03 defines electric </w:t>
      </w:r>
      <w:r w:rsidR="0091707E">
        <w:rPr>
          <w:rFonts w:eastAsia="Times New Roman" w:cs="Arial"/>
        </w:rPr>
        <w:t xml:space="preserve">light </w:t>
      </w:r>
      <w:r w:rsidR="00263028" w:rsidRPr="002C4FAC">
        <w:rPr>
          <w:rFonts w:eastAsia="Times New Roman" w:cs="Arial"/>
        </w:rPr>
        <w:t>companies, natural gas companies, and wa</w:t>
      </w:r>
      <w:r w:rsidR="001D1712" w:rsidRPr="002C4FAC">
        <w:rPr>
          <w:rFonts w:eastAsia="Times New Roman" w:cs="Arial"/>
        </w:rPr>
        <w:t xml:space="preserve">ter-works </w:t>
      </w:r>
      <w:r w:rsidR="00CB4EF4">
        <w:rPr>
          <w:rFonts w:eastAsia="Times New Roman" w:cs="Arial"/>
        </w:rPr>
        <w:t xml:space="preserve">companies as companies that </w:t>
      </w:r>
      <w:r w:rsidR="00CE0EFA">
        <w:rPr>
          <w:rFonts w:eastAsia="Times New Roman" w:cs="Arial"/>
        </w:rPr>
        <w:t xml:space="preserve">supply electric services to consumers, </w:t>
      </w:r>
      <w:r w:rsidR="0026036C">
        <w:rPr>
          <w:rFonts w:eastAsia="Times New Roman" w:cs="Arial"/>
        </w:rPr>
        <w:t>supply natural gas for lighting, power, or heating</w:t>
      </w:r>
      <w:r w:rsidR="00B21FC4">
        <w:rPr>
          <w:rFonts w:eastAsia="Times New Roman" w:cs="Arial"/>
        </w:rPr>
        <w:t>,</w:t>
      </w:r>
      <w:r w:rsidR="00133EBE">
        <w:rPr>
          <w:rFonts w:eastAsia="Times New Roman" w:cs="Arial"/>
        </w:rPr>
        <w:t xml:space="preserve"> and </w:t>
      </w:r>
      <w:r w:rsidR="002A69E9">
        <w:rPr>
          <w:rFonts w:eastAsia="Times New Roman" w:cs="Arial"/>
        </w:rPr>
        <w:t xml:space="preserve">supply water </w:t>
      </w:r>
      <w:r w:rsidR="00B21FC4">
        <w:rPr>
          <w:rFonts w:eastAsia="Times New Roman" w:cs="Arial"/>
        </w:rPr>
        <w:t xml:space="preserve">through pipes </w:t>
      </w:r>
      <w:r w:rsidR="002A69E9">
        <w:rPr>
          <w:rFonts w:eastAsia="Times New Roman" w:cs="Arial"/>
        </w:rPr>
        <w:t>to consumers, respectively</w:t>
      </w:r>
      <w:r w:rsidR="001D1712" w:rsidRPr="002C4FAC">
        <w:rPr>
          <w:rFonts w:eastAsia="Times New Roman" w:cs="Arial"/>
        </w:rPr>
        <w:t xml:space="preserve">.  The </w:t>
      </w:r>
      <w:r w:rsidR="001D1712" w:rsidRPr="002A69E9">
        <w:rPr>
          <w:rFonts w:eastAsia="Times New Roman" w:cs="Arial"/>
          <w:i/>
        </w:rPr>
        <w:t>Shroyer Test</w:t>
      </w:r>
      <w:r w:rsidR="001D1712" w:rsidRPr="002C4FAC">
        <w:rPr>
          <w:rFonts w:eastAsia="Times New Roman" w:cs="Arial"/>
        </w:rPr>
        <w:t xml:space="preserve"> </w:t>
      </w:r>
      <w:r w:rsidR="00C14058" w:rsidRPr="002C4FAC">
        <w:rPr>
          <w:rFonts w:eastAsia="Times New Roman" w:cs="Arial"/>
        </w:rPr>
        <w:t>then addresses whether an entity is condu</w:t>
      </w:r>
      <w:r w:rsidR="005C18B8" w:rsidRPr="002C4FAC">
        <w:rPr>
          <w:rFonts w:eastAsia="Times New Roman" w:cs="Arial"/>
        </w:rPr>
        <w:t xml:space="preserve">cting this business in a manner that comes within the scope of that definition by looking </w:t>
      </w:r>
      <w:r w:rsidR="00591D51" w:rsidRPr="002C4FAC">
        <w:rPr>
          <w:rFonts w:eastAsia="Times New Roman" w:cs="Arial"/>
        </w:rPr>
        <w:t>at whether the entity is</w:t>
      </w:r>
      <w:r w:rsidR="005C18B8" w:rsidRPr="002C4FAC">
        <w:rPr>
          <w:rFonts w:eastAsia="Times New Roman" w:cs="Arial"/>
        </w:rPr>
        <w:t xml:space="preserve"> availing itself of the benefits available to a public utility, making the service available to the general public</w:t>
      </w:r>
      <w:r w:rsidR="002A3E9C" w:rsidRPr="002C4FAC">
        <w:rPr>
          <w:rFonts w:eastAsia="Times New Roman" w:cs="Arial"/>
        </w:rPr>
        <w:t>, and providing that service as its primary, rather than ancillary</w:t>
      </w:r>
      <w:r w:rsidR="00623F9B" w:rsidRPr="002C4FAC">
        <w:rPr>
          <w:rFonts w:eastAsia="Times New Roman" w:cs="Arial"/>
        </w:rPr>
        <w:t>,</w:t>
      </w:r>
      <w:r w:rsidR="002A3E9C" w:rsidRPr="002C4FAC">
        <w:rPr>
          <w:rFonts w:eastAsia="Times New Roman" w:cs="Arial"/>
        </w:rPr>
        <w:t xml:space="preserve"> business.  </w:t>
      </w:r>
    </w:p>
    <w:p w14:paraId="197C28E6" w14:textId="20D505CF" w:rsidR="002A3E9C" w:rsidRPr="002C4FAC" w:rsidRDefault="006F13C5" w:rsidP="00095339">
      <w:pPr>
        <w:spacing w:line="480" w:lineRule="auto"/>
        <w:ind w:firstLine="720"/>
        <w:jc w:val="both"/>
        <w:rPr>
          <w:rFonts w:eastAsia="Times New Roman" w:cs="Arial"/>
        </w:rPr>
      </w:pPr>
      <w:r>
        <w:lastRenderedPageBreak/>
        <w:t xml:space="preserve">The functional definition of what constitutes a public utility is a separate determination from the determination whether a public utility is pricing utility services at an excessive price.  </w:t>
      </w:r>
      <w:r w:rsidR="006C40D7">
        <w:t xml:space="preserve">The first issue is whether the entity if performing functions defined by Ohio law as constituting the provision of utility service.  </w:t>
      </w:r>
      <w:r>
        <w:t xml:space="preserve">If the entity </w:t>
      </w:r>
      <w:r w:rsidR="006C40D7">
        <w:t>found to be</w:t>
      </w:r>
      <w:r>
        <w:t xml:space="preserve"> a public utility </w:t>
      </w:r>
      <w:r w:rsidR="006C40D7">
        <w:t>because it provides services that are subject to the Commission’s jurisdiction</w:t>
      </w:r>
      <w:r>
        <w:t xml:space="preserve">, then the Commission must determine if the entity is providing a service that is price regulated or that is subject to market-based pricing.  </w:t>
      </w:r>
      <w:r w:rsidRPr="00C009D7">
        <w:rPr>
          <w:i/>
        </w:rPr>
        <w:t>See, e.g.,</w:t>
      </w:r>
      <w:r>
        <w:t xml:space="preserve"> R.C. 4928.05(A) (Commission regulation to apply price regulation to electric companies is limited).  Only if the service is provided by a public utility and is subject to price regulation may the Commission then apply the statutory requirements for price regulation to determine if the prices being charged are not lawful and reasonable.  R.C. 4905.26.  </w:t>
      </w:r>
      <w:r w:rsidR="00623F9B" w:rsidRPr="002C4FAC">
        <w:rPr>
          <w:rFonts w:eastAsia="Times New Roman" w:cs="Arial"/>
        </w:rPr>
        <w:t>As the Commission</w:t>
      </w:r>
      <w:r w:rsidR="007B69EC" w:rsidRPr="002C4FAC">
        <w:rPr>
          <w:rFonts w:eastAsia="Times New Roman" w:cs="Arial"/>
        </w:rPr>
        <w:t xml:space="preserve"> determined in </w:t>
      </w:r>
      <w:r w:rsidR="007B69EC" w:rsidRPr="00E41D8E">
        <w:rPr>
          <w:rFonts w:eastAsia="Times New Roman" w:cs="Arial"/>
          <w:i/>
        </w:rPr>
        <w:t>Sh</w:t>
      </w:r>
      <w:r w:rsidR="002E29BD" w:rsidRPr="00E41D8E">
        <w:rPr>
          <w:rFonts w:eastAsia="Times New Roman" w:cs="Arial"/>
          <w:i/>
        </w:rPr>
        <w:t>royer</w:t>
      </w:r>
      <w:r w:rsidR="002E29BD" w:rsidRPr="002C4FAC">
        <w:rPr>
          <w:rFonts w:eastAsia="Times New Roman" w:cs="Arial"/>
        </w:rPr>
        <w:t>, “</w:t>
      </w:r>
      <w:r w:rsidR="00E41D8E">
        <w:rPr>
          <w:rFonts w:eastAsia="Times New Roman" w:cs="Arial"/>
        </w:rPr>
        <w:t>[t]</w:t>
      </w:r>
      <w:r w:rsidR="00623F9B" w:rsidRPr="002C4FAC">
        <w:rPr>
          <w:rFonts w:eastAsia="Times New Roman" w:cs="Arial"/>
        </w:rPr>
        <w:t>he reasonableness of a separate charge for water service is only meaningful if the Commission has first established that it has jurisdiction over the entity providing the service.</w:t>
      </w:r>
      <w:r w:rsidR="002E29BD" w:rsidRPr="002C4FAC">
        <w:rPr>
          <w:rFonts w:eastAsia="Times New Roman" w:cs="Arial"/>
        </w:rPr>
        <w:t xml:space="preserve">”  </w:t>
      </w:r>
      <w:r w:rsidR="002E29BD" w:rsidRPr="00A87ECE">
        <w:rPr>
          <w:rFonts w:eastAsia="Times New Roman" w:cs="Arial"/>
          <w:i/>
        </w:rPr>
        <w:t>Shroyer</w:t>
      </w:r>
      <w:r w:rsidR="002E29BD" w:rsidRPr="002C4FAC">
        <w:rPr>
          <w:rFonts w:eastAsia="Times New Roman" w:cs="Arial"/>
        </w:rPr>
        <w:t xml:space="preserve">, at </w:t>
      </w:r>
      <w:r w:rsidR="00360362">
        <w:rPr>
          <w:rFonts w:eastAsia="Times New Roman" w:cs="Arial"/>
        </w:rPr>
        <w:t>4</w:t>
      </w:r>
      <w:r w:rsidR="002E29BD" w:rsidRPr="002C4FAC">
        <w:rPr>
          <w:rFonts w:eastAsia="Times New Roman" w:cs="Arial"/>
        </w:rPr>
        <w:t xml:space="preserve">.  </w:t>
      </w:r>
    </w:p>
    <w:p w14:paraId="3F33CCA4" w14:textId="3C104949" w:rsidR="00D81B8A" w:rsidRPr="002C4FAC" w:rsidRDefault="002E29BD" w:rsidP="00D81B8A">
      <w:pPr>
        <w:spacing w:line="480" w:lineRule="auto"/>
        <w:jc w:val="both"/>
        <w:rPr>
          <w:rFonts w:eastAsia="Times New Roman" w:cs="Arial"/>
        </w:rPr>
      </w:pPr>
      <w:r w:rsidRPr="002C4FAC">
        <w:rPr>
          <w:rFonts w:eastAsia="Times New Roman" w:cs="Arial"/>
        </w:rPr>
        <w:tab/>
      </w:r>
      <w:r w:rsidR="00D81B8A">
        <w:rPr>
          <w:rFonts w:eastAsia="Times New Roman" w:cs="Arial"/>
        </w:rPr>
        <w:t>Further</w:t>
      </w:r>
      <w:r w:rsidR="00B21FC4">
        <w:rPr>
          <w:rFonts w:eastAsia="Times New Roman" w:cs="Arial"/>
        </w:rPr>
        <w:t>,</w:t>
      </w:r>
      <w:r w:rsidR="00D81B8A">
        <w:rPr>
          <w:rFonts w:eastAsia="Times New Roman" w:cs="Arial"/>
        </w:rPr>
        <w:t xml:space="preserve"> the Commission fails to provide a reasoned explanation for expanding the definition of public utility to include the Relative Price Test.  </w:t>
      </w:r>
      <w:r w:rsidR="00D81B8A" w:rsidRPr="002C4FAC">
        <w:rPr>
          <w:rFonts w:eastAsia="Times New Roman" w:cs="Arial"/>
        </w:rPr>
        <w:t xml:space="preserve">Although the Commission seeks to justify the creation of a rebuttable presumption on the basis of some alleged change in circumstances due to the comments the Commission received regarding unreasonably high rates and charges </w:t>
      </w:r>
      <w:r w:rsidR="00B21FC4">
        <w:rPr>
          <w:rFonts w:eastAsia="Times New Roman" w:cs="Arial"/>
        </w:rPr>
        <w:t>for</w:t>
      </w:r>
      <w:r w:rsidR="00B21FC4" w:rsidRPr="002C4FAC">
        <w:rPr>
          <w:rFonts w:eastAsia="Times New Roman" w:cs="Arial"/>
        </w:rPr>
        <w:t xml:space="preserve"> </w:t>
      </w:r>
      <w:r w:rsidR="00D81B8A" w:rsidRPr="002C4FAC">
        <w:rPr>
          <w:rFonts w:eastAsia="Times New Roman" w:cs="Arial"/>
        </w:rPr>
        <w:t>resale or redistribution of services to sub</w:t>
      </w:r>
      <w:r w:rsidR="004973DF">
        <w:rPr>
          <w:rFonts w:eastAsia="Times New Roman" w:cs="Arial"/>
        </w:rPr>
        <w:t>-</w:t>
      </w:r>
      <w:r w:rsidR="00D81B8A" w:rsidRPr="002C4FAC">
        <w:rPr>
          <w:rFonts w:eastAsia="Times New Roman" w:cs="Arial"/>
        </w:rPr>
        <w:t xml:space="preserve">metered customers, Finding and Order at ¶ 19, the lack of connection that the Commission identified in </w:t>
      </w:r>
      <w:r w:rsidR="00D81B8A" w:rsidRPr="00685E38">
        <w:rPr>
          <w:rFonts w:eastAsia="Times New Roman" w:cs="Arial"/>
          <w:i/>
        </w:rPr>
        <w:t>Shroyer</w:t>
      </w:r>
      <w:r w:rsidR="00D81B8A" w:rsidRPr="002C4FAC">
        <w:rPr>
          <w:rFonts w:eastAsia="Times New Roman" w:cs="Arial"/>
        </w:rPr>
        <w:t xml:space="preserve"> is not changed because customers are complaining</w:t>
      </w:r>
      <w:r w:rsidR="002D551C">
        <w:rPr>
          <w:rFonts w:eastAsia="Times New Roman" w:cs="Arial"/>
        </w:rPr>
        <w:t xml:space="preserve"> legitimately</w:t>
      </w:r>
      <w:r w:rsidR="00D81B8A" w:rsidRPr="002C4FAC">
        <w:rPr>
          <w:rFonts w:eastAsia="Times New Roman" w:cs="Arial"/>
        </w:rPr>
        <w:t xml:space="preserve"> about prices.  In </w:t>
      </w:r>
      <w:r w:rsidR="00D81B8A" w:rsidRPr="00685E38">
        <w:rPr>
          <w:rFonts w:eastAsia="Times New Roman" w:cs="Arial"/>
          <w:i/>
        </w:rPr>
        <w:t>Shroyer</w:t>
      </w:r>
      <w:r w:rsidR="00D81B8A" w:rsidRPr="002C4FAC">
        <w:rPr>
          <w:rFonts w:eastAsia="Times New Roman" w:cs="Arial"/>
        </w:rPr>
        <w:t>,</w:t>
      </w:r>
      <w:r w:rsidR="005F4B5A">
        <w:rPr>
          <w:rFonts w:eastAsia="Times New Roman" w:cs="Arial"/>
        </w:rPr>
        <w:t xml:space="preserve"> for example,</w:t>
      </w:r>
      <w:r w:rsidR="00D81B8A" w:rsidRPr="002C4FAC">
        <w:rPr>
          <w:rFonts w:eastAsia="Times New Roman" w:cs="Arial"/>
        </w:rPr>
        <w:t xml:space="preserve"> the complainants raised a similar issue: the park owner</w:t>
      </w:r>
      <w:r w:rsidR="00D81B8A">
        <w:rPr>
          <w:rFonts w:eastAsia="Times New Roman" w:cs="Arial"/>
        </w:rPr>
        <w:t xml:space="preserve"> had attached meters to the complainants’ mobile homes and</w:t>
      </w:r>
      <w:r w:rsidR="00D81B8A" w:rsidRPr="002C4FAC">
        <w:rPr>
          <w:rFonts w:eastAsia="Times New Roman" w:cs="Arial"/>
        </w:rPr>
        <w:t xml:space="preserve"> was </w:t>
      </w:r>
      <w:r w:rsidR="00D81B8A" w:rsidRPr="002C4FAC">
        <w:rPr>
          <w:rFonts w:eastAsia="Times New Roman" w:cs="Arial"/>
        </w:rPr>
        <w:lastRenderedPageBreak/>
        <w:t xml:space="preserve">alleged to have improperly charged the complainants for water usage.  </w:t>
      </w:r>
      <w:r w:rsidR="00D81B8A" w:rsidRPr="00147660">
        <w:rPr>
          <w:rFonts w:eastAsia="Times New Roman" w:cs="Arial"/>
          <w:i/>
        </w:rPr>
        <w:t>Shroyer</w:t>
      </w:r>
      <w:r w:rsidR="00D81B8A" w:rsidRPr="002C4FAC">
        <w:rPr>
          <w:rFonts w:eastAsia="Times New Roman" w:cs="Arial"/>
        </w:rPr>
        <w:t xml:space="preserve">, at 2.  </w:t>
      </w:r>
      <w:r w:rsidR="005F4B5A">
        <w:rPr>
          <w:rFonts w:eastAsia="Times New Roman" w:cs="Arial"/>
        </w:rPr>
        <w:t>Not surprisingly, c</w:t>
      </w:r>
      <w:r w:rsidR="00D81B8A">
        <w:rPr>
          <w:rFonts w:eastAsia="Times New Roman" w:cs="Arial"/>
        </w:rPr>
        <w:t xml:space="preserve">omplaints about excess pricing </w:t>
      </w:r>
      <w:r w:rsidR="000A6C3F">
        <w:rPr>
          <w:rFonts w:eastAsia="Times New Roman" w:cs="Arial"/>
        </w:rPr>
        <w:t xml:space="preserve">also </w:t>
      </w:r>
      <w:r w:rsidR="00D81B8A">
        <w:rPr>
          <w:rFonts w:eastAsia="Times New Roman" w:cs="Arial"/>
        </w:rPr>
        <w:t>are the norm</w:t>
      </w:r>
      <w:r w:rsidR="000A6C3F">
        <w:rPr>
          <w:rFonts w:eastAsia="Times New Roman" w:cs="Arial"/>
        </w:rPr>
        <w:t xml:space="preserve"> in commercial lease cases addressed by the Commission</w:t>
      </w:r>
      <w:r w:rsidR="00D81B8A" w:rsidRPr="002C4FAC">
        <w:rPr>
          <w:rFonts w:eastAsia="Times New Roman" w:cs="Arial"/>
        </w:rPr>
        <w:t xml:space="preserve">.  </w:t>
      </w:r>
      <w:r w:rsidR="00D81B8A" w:rsidRPr="00D677D1">
        <w:rPr>
          <w:rFonts w:eastAsia="Times New Roman" w:cs="Arial"/>
          <w:i/>
        </w:rPr>
        <w:t>See, e.g., In the Matter of the Complaint of Toledo Premium Yogurt, Inc., v. Toledo Edison Company, New Towne Mall Company, New Towne Developers, and M.S. Management Associates, Inc.</w:t>
      </w:r>
      <w:r w:rsidR="00D81B8A" w:rsidRPr="00D677D1">
        <w:rPr>
          <w:rFonts w:eastAsia="Times New Roman" w:cs="Arial"/>
        </w:rPr>
        <w:t xml:space="preserve">, 1992 Ohio PUC LEXIS 850 (Sept. 17, 1992), </w:t>
      </w:r>
      <w:r w:rsidR="00D81B8A" w:rsidRPr="00D677D1">
        <w:rPr>
          <w:rFonts w:eastAsia="Times New Roman" w:cs="Arial"/>
          <w:i/>
        </w:rPr>
        <w:t>appeal dismissed</w:t>
      </w:r>
      <w:r w:rsidR="00D81B8A" w:rsidRPr="00D677D1">
        <w:rPr>
          <w:rFonts w:eastAsia="Times New Roman" w:cs="Arial"/>
        </w:rPr>
        <w:t xml:space="preserve">, </w:t>
      </w:r>
      <w:r w:rsidR="00D81B8A" w:rsidRPr="00D677D1">
        <w:rPr>
          <w:rFonts w:eastAsia="Times New Roman" w:cs="Arial"/>
          <w:i/>
        </w:rPr>
        <w:t>Toledo Premium Yogurt, Inc. v. Pub. Utils. Comm’n of Ohio</w:t>
      </w:r>
      <w:r w:rsidR="00D81B8A" w:rsidRPr="00D677D1">
        <w:rPr>
          <w:rFonts w:eastAsia="Times New Roman" w:cs="Arial"/>
        </w:rPr>
        <w:t>, 66 Ohio St.3d 1465 (1993).</w:t>
      </w:r>
      <w:r w:rsidR="00D81B8A" w:rsidRPr="002C4FAC">
        <w:rPr>
          <w:rFonts w:eastAsia="Times New Roman" w:cs="Arial"/>
        </w:rPr>
        <w:t xml:space="preserve">  </w:t>
      </w:r>
      <w:r w:rsidR="00D81B8A">
        <w:rPr>
          <w:rFonts w:eastAsia="Times New Roman" w:cs="Arial"/>
        </w:rPr>
        <w:t xml:space="preserve">Thus, nothing has changed since the Commission issued its decision in </w:t>
      </w:r>
      <w:r w:rsidR="00D81B8A" w:rsidRPr="00CF456F">
        <w:rPr>
          <w:rFonts w:eastAsia="Times New Roman" w:cs="Arial"/>
          <w:i/>
        </w:rPr>
        <w:t>Shroyer</w:t>
      </w:r>
      <w:r w:rsidR="00D81B8A">
        <w:rPr>
          <w:rFonts w:eastAsia="Times New Roman" w:cs="Arial"/>
        </w:rPr>
        <w:t xml:space="preserve"> to justify the Commission’s current attempt to redefine whether the provision of a service is ancillary by applying the Relative Price Test.  </w:t>
      </w:r>
    </w:p>
    <w:p w14:paraId="35D26836" w14:textId="77777777" w:rsidR="006F1DE9" w:rsidRPr="00295916" w:rsidRDefault="00342A3F" w:rsidP="00342A3F">
      <w:pPr>
        <w:spacing w:line="480" w:lineRule="auto"/>
        <w:ind w:firstLine="720"/>
        <w:jc w:val="both"/>
      </w:pPr>
      <w:r w:rsidRPr="00295916">
        <w:t>In practice, moreover, the rule is unworkable</w:t>
      </w:r>
      <w:r w:rsidR="006F1DE9" w:rsidRPr="00295916">
        <w:t xml:space="preserve"> for several reasons</w:t>
      </w:r>
      <w:r w:rsidRPr="00295916">
        <w:t xml:space="preserve">.  </w:t>
      </w:r>
    </w:p>
    <w:p w14:paraId="13A058B1" w14:textId="7520DB0E" w:rsidR="00342A3F" w:rsidRPr="00295916" w:rsidRDefault="006F1DE9" w:rsidP="00342A3F">
      <w:pPr>
        <w:spacing w:line="480" w:lineRule="auto"/>
        <w:ind w:firstLine="720"/>
        <w:jc w:val="both"/>
      </w:pPr>
      <w:r w:rsidRPr="00295916">
        <w:t xml:space="preserve">One obvious problem is the lack </w:t>
      </w:r>
      <w:r w:rsidR="00BF77D6">
        <w:t xml:space="preserve">of </w:t>
      </w:r>
      <w:r w:rsidRPr="00295916">
        <w:t xml:space="preserve">comparability between a standard service offer and a shopped offer.  </w:t>
      </w:r>
      <w:r w:rsidR="00342A3F" w:rsidRPr="00295916">
        <w:t>The standard service offer is competitively bid with the layered prices blended over time with protocols to allocate the blended aggregate price to specific default rate schedules.  It is more likely</w:t>
      </w:r>
      <w:r w:rsidR="00406CFE" w:rsidRPr="00295916">
        <w:t>, however,</w:t>
      </w:r>
      <w:r w:rsidR="00342A3F" w:rsidRPr="00295916">
        <w:t xml:space="preserve"> that sub-metered customers will </w:t>
      </w:r>
      <w:r w:rsidR="00945100" w:rsidRPr="00295916">
        <w:t>shop</w:t>
      </w:r>
      <w:r w:rsidR="00342A3F" w:rsidRPr="00295916">
        <w:t xml:space="preserve">, and the shopped price obtained may be fixed for a term rather than variable as with the </w:t>
      </w:r>
      <w:r w:rsidR="00C94733" w:rsidRPr="00295916">
        <w:t>standard service offer</w:t>
      </w:r>
      <w:r w:rsidR="00342A3F" w:rsidRPr="00295916">
        <w:t xml:space="preserve">. </w:t>
      </w:r>
      <w:r w:rsidR="0056487F" w:rsidRPr="00295916">
        <w:t xml:space="preserve"> </w:t>
      </w:r>
      <w:r w:rsidR="00342A3F" w:rsidRPr="00295916">
        <w:t>The shopped price also may reflect the specific load and usage characteristics, technology preferences (renewable for example), credit risk, allocation of price and volume risk and other variables unique to the sub-metered customers. </w:t>
      </w:r>
      <w:r w:rsidR="0056487F" w:rsidRPr="00295916">
        <w:t xml:space="preserve"> </w:t>
      </w:r>
      <w:r w:rsidR="00342A3F" w:rsidRPr="00295916">
        <w:t xml:space="preserve">Comparing the standard service offer to the shopped price is a comparison of apples to oranges; it provides no meaningful information.  </w:t>
      </w:r>
    </w:p>
    <w:p w14:paraId="097738C0" w14:textId="4E11DF0D" w:rsidR="00342A3F" w:rsidRPr="00295916" w:rsidRDefault="00071A0C" w:rsidP="00342A3F">
      <w:pPr>
        <w:spacing w:line="480" w:lineRule="auto"/>
        <w:ind w:firstLine="720"/>
        <w:jc w:val="both"/>
      </w:pPr>
      <w:r w:rsidRPr="00295916">
        <w:t xml:space="preserve">A second problem is related </w:t>
      </w:r>
      <w:r w:rsidR="005C62BE">
        <w:t xml:space="preserve">to </w:t>
      </w:r>
      <w:r w:rsidRPr="00295916">
        <w:t xml:space="preserve">the </w:t>
      </w:r>
      <w:r w:rsidR="00342A3F" w:rsidRPr="00295916">
        <w:t>randomness</w:t>
      </w:r>
      <w:r w:rsidR="00C4335F" w:rsidRPr="00295916">
        <w:t xml:space="preserve"> of a comparison</w:t>
      </w:r>
      <w:r w:rsidR="00342A3F" w:rsidRPr="00295916">
        <w:t xml:space="preserve">.  Standard service offers approved by the Commission have riders </w:t>
      </w:r>
      <w:r w:rsidR="006369CA" w:rsidRPr="00295916">
        <w:t>with</w:t>
      </w:r>
      <w:r w:rsidR="00342A3F" w:rsidRPr="00295916">
        <w:t xml:space="preserve"> their own reconciliation requirements</w:t>
      </w:r>
      <w:r w:rsidR="006369CA" w:rsidRPr="00295916">
        <w:t xml:space="preserve"> for over and under collections</w:t>
      </w:r>
      <w:r w:rsidR="00342A3F" w:rsidRPr="00295916">
        <w:t xml:space="preserve">.  </w:t>
      </w:r>
      <w:r w:rsidR="005B6A6D" w:rsidRPr="00295916">
        <w:t xml:space="preserve">Thus, the application of a percentage difference creating </w:t>
      </w:r>
      <w:r w:rsidR="005B6A6D" w:rsidRPr="00295916">
        <w:lastRenderedPageBreak/>
        <w:t xml:space="preserve">a rebuttable presumption that an entity is a public utility is subject to </w:t>
      </w:r>
      <w:r w:rsidR="00C4335F" w:rsidRPr="00295916">
        <w:t>a</w:t>
      </w:r>
      <w:r w:rsidR="005B6A6D" w:rsidRPr="00295916">
        <w:t xml:space="preserve"> standard service offer</w:t>
      </w:r>
      <w:r w:rsidR="00C4335F" w:rsidRPr="00295916">
        <w:t xml:space="preserve"> price</w:t>
      </w:r>
      <w:r w:rsidR="005B6A6D" w:rsidRPr="00295916">
        <w:t xml:space="preserve"> that may change overnight.</w:t>
      </w:r>
    </w:p>
    <w:p w14:paraId="78E14FFE" w14:textId="7A236CC2" w:rsidR="00853169" w:rsidRPr="00295916" w:rsidRDefault="00853169" w:rsidP="00853169">
      <w:pPr>
        <w:spacing w:line="480" w:lineRule="auto"/>
        <w:ind w:firstLine="720"/>
        <w:jc w:val="both"/>
        <w:rPr>
          <w:rFonts w:eastAsia="Times New Roman" w:cs="Arial"/>
        </w:rPr>
      </w:pPr>
      <w:r w:rsidRPr="00295916">
        <w:rPr>
          <w:rFonts w:eastAsia="Times New Roman" w:cs="Arial"/>
        </w:rPr>
        <w:t>Comparisons are also unwarranted when the provision of service to the sub</w:t>
      </w:r>
      <w:r w:rsidR="004973DF">
        <w:rPr>
          <w:rFonts w:eastAsia="Times New Roman" w:cs="Arial"/>
        </w:rPr>
        <w:t>-</w:t>
      </w:r>
      <w:r w:rsidRPr="00295916">
        <w:rPr>
          <w:rFonts w:eastAsia="Times New Roman" w:cs="Arial"/>
        </w:rPr>
        <w:t>metered customer is bundled with other services</w:t>
      </w:r>
      <w:r w:rsidR="006F1DE9" w:rsidRPr="00295916">
        <w:rPr>
          <w:rFonts w:eastAsia="Times New Roman" w:cs="Arial"/>
        </w:rPr>
        <w:t xml:space="preserve"> such as water or natural gas service</w:t>
      </w:r>
      <w:r w:rsidRPr="00295916">
        <w:rPr>
          <w:rFonts w:eastAsia="Times New Roman" w:cs="Arial"/>
        </w:rPr>
        <w:t xml:space="preserve">.  </w:t>
      </w:r>
    </w:p>
    <w:p w14:paraId="76C6C99E" w14:textId="77777777" w:rsidR="00853169" w:rsidRPr="00295916" w:rsidRDefault="00853169" w:rsidP="00853169">
      <w:pPr>
        <w:spacing w:line="480" w:lineRule="auto"/>
        <w:ind w:firstLine="720"/>
        <w:jc w:val="both"/>
        <w:rPr>
          <w:rFonts w:eastAsia="Times New Roman" w:cs="Arial"/>
        </w:rPr>
      </w:pPr>
      <w:r w:rsidRPr="00295916">
        <w:rPr>
          <w:rFonts w:eastAsia="Times New Roman" w:cs="Arial"/>
        </w:rPr>
        <w:t xml:space="preserve">The Commission also failed to explain how the comparison is to be applied when the submetering arrangement is in a service area served by a municipal utility or a </w:t>
      </w:r>
      <w:bookmarkStart w:id="31" w:name="_GoBack"/>
      <w:bookmarkEnd w:id="31"/>
      <w:r w:rsidRPr="00295916">
        <w:rPr>
          <w:rFonts w:eastAsia="Times New Roman" w:cs="Arial"/>
        </w:rPr>
        <w:t>cooperative.</w:t>
      </w:r>
    </w:p>
    <w:p w14:paraId="02BDA9EE" w14:textId="7E76241D" w:rsidR="00F156E6" w:rsidRDefault="005B23CF" w:rsidP="00342A3F">
      <w:pPr>
        <w:spacing w:line="480" w:lineRule="auto"/>
        <w:ind w:firstLine="720"/>
        <w:jc w:val="both"/>
        <w:rPr>
          <w:rFonts w:eastAsia="Times New Roman" w:cs="Arial"/>
        </w:rPr>
      </w:pPr>
      <w:r w:rsidRPr="00295916">
        <w:rPr>
          <w:rFonts w:eastAsia="Times New Roman" w:cs="Arial"/>
        </w:rPr>
        <w:t xml:space="preserve">In a nutshell, the </w:t>
      </w:r>
      <w:r w:rsidRPr="00295916">
        <w:rPr>
          <w:rFonts w:eastAsia="Times New Roman" w:cs="Arial"/>
          <w:i/>
        </w:rPr>
        <w:t>Test</w:t>
      </w:r>
      <w:r w:rsidRPr="00295916">
        <w:rPr>
          <w:rFonts w:eastAsia="Times New Roman" w:cs="Arial"/>
        </w:rPr>
        <w:t xml:space="preserve"> will cause the Commission to engage in a more complicated and less predictable process than what it currently performs under the case</w:t>
      </w:r>
      <w:r w:rsidR="00054C2E" w:rsidRPr="00295916">
        <w:rPr>
          <w:rFonts w:eastAsia="Times New Roman" w:cs="Arial"/>
        </w:rPr>
        <w:t>-</w:t>
      </w:r>
      <w:r w:rsidRPr="00295916">
        <w:rPr>
          <w:rFonts w:eastAsia="Times New Roman" w:cs="Arial"/>
        </w:rPr>
        <w:t>by</w:t>
      </w:r>
      <w:r w:rsidR="00054C2E" w:rsidRPr="00295916">
        <w:rPr>
          <w:rFonts w:eastAsia="Times New Roman" w:cs="Arial"/>
        </w:rPr>
        <w:t>-</w:t>
      </w:r>
      <w:r w:rsidRPr="00295916">
        <w:rPr>
          <w:rFonts w:eastAsia="Times New Roman" w:cs="Arial"/>
        </w:rPr>
        <w:t>case review.</w:t>
      </w:r>
      <w:r>
        <w:rPr>
          <w:rFonts w:eastAsia="Times New Roman" w:cs="Arial"/>
        </w:rPr>
        <w:t xml:space="preserve"> </w:t>
      </w:r>
      <w:r w:rsidR="00F156E6">
        <w:rPr>
          <w:rFonts w:eastAsia="Times New Roman" w:cs="Arial"/>
        </w:rPr>
        <w:t xml:space="preserve"> </w:t>
      </w:r>
    </w:p>
    <w:p w14:paraId="2A3FED60" w14:textId="79517ADF" w:rsidR="001A6E7E" w:rsidRPr="002C4FAC" w:rsidRDefault="00465027" w:rsidP="001E5C4B">
      <w:pPr>
        <w:spacing w:line="480" w:lineRule="auto"/>
        <w:ind w:firstLine="720"/>
        <w:jc w:val="both"/>
        <w:rPr>
          <w:rFonts w:eastAsia="Times New Roman" w:cs="Arial"/>
        </w:rPr>
      </w:pPr>
      <w:r w:rsidRPr="002C4FAC">
        <w:rPr>
          <w:rFonts w:eastAsia="Times New Roman" w:cs="Arial"/>
        </w:rPr>
        <w:t>To be constitutional, a rebuttable presumption must be based on a rational nexus between the facts proven</w:t>
      </w:r>
      <w:r w:rsidR="002A17C4">
        <w:rPr>
          <w:rFonts w:eastAsia="Times New Roman" w:cs="Arial"/>
        </w:rPr>
        <w:t xml:space="preserve"> and the fact</w:t>
      </w:r>
      <w:r w:rsidR="002E4FFE">
        <w:rPr>
          <w:rFonts w:eastAsia="Times New Roman" w:cs="Arial"/>
        </w:rPr>
        <w:t>s</w:t>
      </w:r>
      <w:r w:rsidR="002A17C4">
        <w:rPr>
          <w:rFonts w:eastAsia="Times New Roman" w:cs="Arial"/>
        </w:rPr>
        <w:t xml:space="preserve"> to be presumed.  </w:t>
      </w:r>
      <w:r w:rsidR="001E5C4B">
        <w:t xml:space="preserve">Whether the Commission adopts .1%, 5%, or 100% as the threshold percentage, the percentage is not reasonably connected to the determination whether the service is ancillary or the broader question whether the entity functions as a public utility.  Instead, the determination whether an entity’s provision of a utility service is ancillary focuses on the entity’s lines of business.  </w:t>
      </w:r>
      <w:r w:rsidR="00587F8A">
        <w:t>Because t</w:t>
      </w:r>
      <w:r w:rsidR="00112F85">
        <w:rPr>
          <w:rFonts w:eastAsia="Times New Roman" w:cs="Arial"/>
        </w:rPr>
        <w:t>he relative price of a service has</w:t>
      </w:r>
      <w:r w:rsidRPr="002C4FAC">
        <w:rPr>
          <w:rFonts w:eastAsia="Times New Roman" w:cs="Arial"/>
        </w:rPr>
        <w:t xml:space="preserve"> no rational nexus to the conclusion that an entity is operating as a </w:t>
      </w:r>
      <w:r w:rsidR="00C14C60" w:rsidRPr="002C4FAC">
        <w:rPr>
          <w:rFonts w:eastAsia="Times New Roman" w:cs="Arial"/>
        </w:rPr>
        <w:t>utility</w:t>
      </w:r>
      <w:r w:rsidRPr="002C4FAC">
        <w:rPr>
          <w:rFonts w:eastAsia="Times New Roman" w:cs="Arial"/>
        </w:rPr>
        <w:t xml:space="preserve">, the Commission’s creation of the rebuttable presumption in this case is unlawful.  </w:t>
      </w:r>
    </w:p>
    <w:p w14:paraId="1DF7EBF3" w14:textId="6CA07FC3" w:rsidR="001252CE" w:rsidRPr="00766AC4" w:rsidRDefault="007D236D" w:rsidP="00766AC4">
      <w:pPr>
        <w:pStyle w:val="Heading2"/>
        <w:rPr>
          <w:rFonts w:eastAsia="Times New Roman"/>
        </w:rPr>
      </w:pPr>
      <w:bookmarkStart w:id="32" w:name="_Toc470773477"/>
      <w:bookmarkStart w:id="33" w:name="_Toc470782975"/>
      <w:bookmarkStart w:id="34" w:name="_Toc470878125"/>
      <w:bookmarkStart w:id="35" w:name="_Toc471291643"/>
      <w:bookmarkStart w:id="36" w:name="_Toc471458093"/>
      <w:r w:rsidRPr="002C4FAC">
        <w:rPr>
          <w:rFonts w:eastAsia="Times New Roman"/>
        </w:rPr>
        <w:t>Assignment of Error 3:  The Finding and Order is unlawful and unreasonable because the Commission has engaged in rulemaking without complying with the requirements of R.C. 111.15.</w:t>
      </w:r>
      <w:bookmarkEnd w:id="32"/>
      <w:bookmarkEnd w:id="33"/>
      <w:bookmarkEnd w:id="34"/>
      <w:bookmarkEnd w:id="35"/>
      <w:bookmarkEnd w:id="36"/>
    </w:p>
    <w:p w14:paraId="5236BA15" w14:textId="012D5132" w:rsidR="00343047" w:rsidRPr="002C4FAC" w:rsidRDefault="00012D8F" w:rsidP="002C4FAC">
      <w:pPr>
        <w:spacing w:line="480" w:lineRule="auto"/>
        <w:jc w:val="both"/>
        <w:rPr>
          <w:rFonts w:eastAsia="Times New Roman" w:cs="Arial"/>
        </w:rPr>
      </w:pPr>
      <w:r w:rsidRPr="002C4FAC">
        <w:rPr>
          <w:rFonts w:eastAsia="Times New Roman" w:cs="Arial"/>
        </w:rPr>
        <w:tab/>
      </w:r>
      <w:r w:rsidR="00FC3C7D" w:rsidRPr="002C4FAC">
        <w:rPr>
          <w:rFonts w:eastAsia="Times New Roman" w:cs="Arial"/>
        </w:rPr>
        <w:t xml:space="preserve">In this investigation, the Commission has adopted </w:t>
      </w:r>
      <w:r w:rsidR="00343047" w:rsidRPr="002C4FAC">
        <w:rPr>
          <w:rFonts w:eastAsia="Times New Roman" w:cs="Arial"/>
        </w:rPr>
        <w:t>new rules</w:t>
      </w:r>
      <w:r w:rsidR="00FC3C7D" w:rsidRPr="002C4FAC">
        <w:rPr>
          <w:rFonts w:eastAsia="Times New Roman" w:cs="Arial"/>
        </w:rPr>
        <w:t xml:space="preserve"> of general and uniform application to entities that redistribute utility services.  </w:t>
      </w:r>
      <w:r w:rsidR="00892483">
        <w:rPr>
          <w:rFonts w:eastAsia="Times New Roman" w:cs="Arial"/>
        </w:rPr>
        <w:t>Although</w:t>
      </w:r>
      <w:r w:rsidR="00892483" w:rsidRPr="002C4FAC">
        <w:rPr>
          <w:rFonts w:eastAsia="Times New Roman" w:cs="Arial"/>
        </w:rPr>
        <w:t xml:space="preserve"> </w:t>
      </w:r>
      <w:r w:rsidR="007618E9" w:rsidRPr="002C4FAC">
        <w:rPr>
          <w:rFonts w:eastAsia="Times New Roman" w:cs="Arial"/>
        </w:rPr>
        <w:t>this investigation</w:t>
      </w:r>
      <w:r w:rsidR="00343047" w:rsidRPr="002C4FAC">
        <w:rPr>
          <w:rFonts w:eastAsia="Times New Roman" w:cs="Arial"/>
        </w:rPr>
        <w:t xml:space="preserve"> </w:t>
      </w:r>
      <w:r w:rsidR="00343047" w:rsidRPr="002C4FAC">
        <w:rPr>
          <w:rFonts w:eastAsia="Times New Roman" w:cs="Arial"/>
        </w:rPr>
        <w:lastRenderedPageBreak/>
        <w:t>has produced new rules, the Commission has not complied with the mandatory rulemaking process contained in R.C. 111.15.  Accordingly, the new rules are unlawful.</w:t>
      </w:r>
    </w:p>
    <w:p w14:paraId="50C34DA5" w14:textId="4290A349" w:rsidR="0001072F" w:rsidRPr="002C4FAC" w:rsidRDefault="000E467B" w:rsidP="002C4FAC">
      <w:pPr>
        <w:spacing w:line="480" w:lineRule="auto"/>
        <w:ind w:firstLine="720"/>
        <w:jc w:val="both"/>
        <w:rPr>
          <w:rFonts w:eastAsia="Times New Roman" w:cs="Arial"/>
        </w:rPr>
      </w:pPr>
      <w:r w:rsidRPr="002C4FAC">
        <w:rPr>
          <w:rFonts w:eastAsia="Times New Roman" w:cs="Arial"/>
        </w:rPr>
        <w:t xml:space="preserve">In the </w:t>
      </w:r>
      <w:r w:rsidR="00047DE5">
        <w:rPr>
          <w:rFonts w:eastAsia="Times New Roman" w:cs="Arial"/>
        </w:rPr>
        <w:t>O</w:t>
      </w:r>
      <w:r w:rsidR="00047DE5" w:rsidRPr="002C4FAC">
        <w:rPr>
          <w:rFonts w:eastAsia="Times New Roman" w:cs="Arial"/>
        </w:rPr>
        <w:t>rder</w:t>
      </w:r>
      <w:r w:rsidRPr="002C4FAC">
        <w:rPr>
          <w:rFonts w:eastAsia="Times New Roman" w:cs="Arial"/>
        </w:rPr>
        <w:t xml:space="preserve">, </w:t>
      </w:r>
      <w:r w:rsidR="0001072F" w:rsidRPr="002C4FAC">
        <w:rPr>
          <w:rFonts w:eastAsia="Times New Roman" w:cs="Arial"/>
        </w:rPr>
        <w:t>the Commission has adopted rule</w:t>
      </w:r>
      <w:r w:rsidR="00036EFD">
        <w:rPr>
          <w:rFonts w:eastAsia="Times New Roman" w:cs="Arial"/>
        </w:rPr>
        <w:t>s</w:t>
      </w:r>
      <w:r w:rsidR="0001072F" w:rsidRPr="002C4FAC">
        <w:rPr>
          <w:rFonts w:eastAsia="Times New Roman" w:cs="Arial"/>
        </w:rPr>
        <w:t xml:space="preserve"> within the meaning of R.C. </w:t>
      </w:r>
      <w:r w:rsidRPr="002C4FAC">
        <w:rPr>
          <w:rFonts w:eastAsia="Times New Roman" w:cs="Arial"/>
        </w:rPr>
        <w:t>111.15</w:t>
      </w:r>
      <w:r w:rsidR="0001072F" w:rsidRPr="002C4FAC">
        <w:rPr>
          <w:rFonts w:eastAsia="Times New Roman" w:cs="Arial"/>
        </w:rPr>
        <w:t xml:space="preserve">.  </w:t>
      </w:r>
      <w:r w:rsidRPr="002C4FAC">
        <w:rPr>
          <w:rFonts w:eastAsia="Times New Roman" w:cs="Arial"/>
        </w:rPr>
        <w:t xml:space="preserve">As the Commission explains, the Commission will review entities engaged in the redistribution of utility </w:t>
      </w:r>
      <w:r w:rsidR="00D876A8" w:rsidRPr="002C4FAC">
        <w:rPr>
          <w:rFonts w:eastAsia="Times New Roman" w:cs="Arial"/>
        </w:rPr>
        <w:t>services</w:t>
      </w:r>
      <w:r w:rsidRPr="002C4FAC">
        <w:rPr>
          <w:rFonts w:eastAsia="Times New Roman" w:cs="Arial"/>
        </w:rPr>
        <w:t xml:space="preserve"> under a modified </w:t>
      </w:r>
      <w:r w:rsidRPr="00D876A8">
        <w:rPr>
          <w:rFonts w:eastAsia="Times New Roman" w:cs="Arial"/>
          <w:i/>
        </w:rPr>
        <w:t>Shroyer Test</w:t>
      </w:r>
      <w:r w:rsidRPr="002C4FAC">
        <w:rPr>
          <w:rFonts w:eastAsia="Times New Roman" w:cs="Arial"/>
        </w:rPr>
        <w:t xml:space="preserve">.  Under </w:t>
      </w:r>
      <w:r w:rsidR="00D876A8">
        <w:rPr>
          <w:rFonts w:eastAsia="Times New Roman" w:cs="Arial"/>
        </w:rPr>
        <w:t>the</w:t>
      </w:r>
      <w:r w:rsidRPr="002C4FAC">
        <w:rPr>
          <w:rFonts w:eastAsia="Times New Roman" w:cs="Arial"/>
        </w:rPr>
        <w:t xml:space="preserve"> new rule</w:t>
      </w:r>
      <w:r w:rsidR="00D876A8">
        <w:rPr>
          <w:rFonts w:eastAsia="Times New Roman" w:cs="Arial"/>
        </w:rPr>
        <w:t>s</w:t>
      </w:r>
      <w:r w:rsidRPr="002C4FAC">
        <w:rPr>
          <w:rFonts w:eastAsia="Times New Roman" w:cs="Arial"/>
        </w:rPr>
        <w:t xml:space="preserve">, failure on any </w:t>
      </w:r>
      <w:r w:rsidRPr="00D876A8">
        <w:rPr>
          <w:rFonts w:eastAsia="Times New Roman" w:cs="Arial"/>
          <w:i/>
        </w:rPr>
        <w:t>Shroyer</w:t>
      </w:r>
      <w:r w:rsidRPr="002C4FAC">
        <w:rPr>
          <w:rFonts w:eastAsia="Times New Roman" w:cs="Arial"/>
        </w:rPr>
        <w:t xml:space="preserve"> prong will lead to a determination that the entity is a public utility subject to the Commission’s jurisdiction, and the Commission has created a rebuttable presumption or rule of evidence that dis</w:t>
      </w:r>
      <w:r w:rsidR="00D876A8">
        <w:rPr>
          <w:rFonts w:eastAsia="Times New Roman" w:cs="Arial"/>
        </w:rPr>
        <w:t>tribution at a price above a to-be-</w:t>
      </w:r>
      <w:r w:rsidRPr="002C4FAC">
        <w:rPr>
          <w:rFonts w:eastAsia="Times New Roman" w:cs="Arial"/>
        </w:rPr>
        <w:t xml:space="preserve">determined threshold </w:t>
      </w:r>
      <w:r w:rsidR="00892483">
        <w:rPr>
          <w:rFonts w:eastAsia="Times New Roman" w:cs="Arial"/>
        </w:rPr>
        <w:t xml:space="preserve">percentage </w:t>
      </w:r>
      <w:r w:rsidRPr="002C4FAC">
        <w:rPr>
          <w:rFonts w:eastAsia="Times New Roman" w:cs="Arial"/>
        </w:rPr>
        <w:t xml:space="preserve">will demonstrate that the </w:t>
      </w:r>
      <w:r w:rsidR="00892483">
        <w:rPr>
          <w:rFonts w:eastAsia="Times New Roman" w:cs="Arial"/>
        </w:rPr>
        <w:t>service is not ancillary</w:t>
      </w:r>
      <w:r w:rsidRPr="002C4FAC">
        <w:rPr>
          <w:rFonts w:eastAsia="Times New Roman" w:cs="Arial"/>
        </w:rPr>
        <w:t xml:space="preserve">.  Finding and Order at ¶¶ </w:t>
      </w:r>
      <w:r w:rsidR="000959E3" w:rsidRPr="002C4FAC">
        <w:rPr>
          <w:rFonts w:eastAsia="Times New Roman" w:cs="Arial"/>
        </w:rPr>
        <w:t>16-22.</w:t>
      </w:r>
      <w:r w:rsidR="0001072F" w:rsidRPr="002C4FAC">
        <w:rPr>
          <w:rFonts w:eastAsia="Times New Roman" w:cs="Arial"/>
        </w:rPr>
        <w:t xml:space="preserve">  </w:t>
      </w:r>
      <w:r w:rsidR="000959E3" w:rsidRPr="002C4FAC">
        <w:rPr>
          <w:rFonts w:eastAsia="Times New Roman" w:cs="Arial"/>
        </w:rPr>
        <w:t>T</w:t>
      </w:r>
      <w:r w:rsidR="0001072F" w:rsidRPr="002C4FAC">
        <w:rPr>
          <w:rFonts w:eastAsia="Times New Roman" w:cs="Arial"/>
        </w:rPr>
        <w:t xml:space="preserve">hose “rules” affect proceedings </w:t>
      </w:r>
      <w:r w:rsidR="000959E3" w:rsidRPr="002C4FAC">
        <w:rPr>
          <w:rFonts w:eastAsia="Times New Roman" w:cs="Arial"/>
        </w:rPr>
        <w:t>that will come before the Commission in which an entity is alleged to be a public utility</w:t>
      </w:r>
      <w:r w:rsidR="0001072F" w:rsidRPr="002C4FAC">
        <w:rPr>
          <w:rFonts w:eastAsia="Times New Roman" w:cs="Arial"/>
        </w:rPr>
        <w:t>.  The new requirements are a statement of the “agency position which has legal consequences</w:t>
      </w:r>
      <w:r w:rsidR="00C112B8" w:rsidRPr="002C4FAC">
        <w:rPr>
          <w:rFonts w:eastAsia="Times New Roman" w:cs="Arial"/>
        </w:rPr>
        <w:t>.</w:t>
      </w:r>
      <w:r w:rsidR="0001072F" w:rsidRPr="002C4FAC">
        <w:rPr>
          <w:rFonts w:eastAsia="Times New Roman" w:cs="Arial"/>
        </w:rPr>
        <w:t>”</w:t>
      </w:r>
      <w:r w:rsidR="001252CE">
        <w:rPr>
          <w:rFonts w:eastAsia="Times New Roman" w:cs="Arial"/>
          <w:vertAlign w:val="superscript"/>
        </w:rPr>
        <w:t xml:space="preserve">  </w:t>
      </w:r>
      <w:r w:rsidR="001252CE" w:rsidRPr="004077F4">
        <w:rPr>
          <w:rFonts w:cs="Arial"/>
          <w:i/>
        </w:rPr>
        <w:t>Appalachian Power Co. v. U.S. Environmental Protection Agency</w:t>
      </w:r>
      <w:r w:rsidR="001252CE" w:rsidRPr="004077F4">
        <w:rPr>
          <w:rFonts w:cs="Arial"/>
        </w:rPr>
        <w:t>, 208 F.3d 1015, 1023 (D.C. Cir. 2000).</w:t>
      </w:r>
      <w:r w:rsidR="00DB382A">
        <w:rPr>
          <w:rFonts w:cs="Arial"/>
        </w:rPr>
        <w:t xml:space="preserve">  Thus, the Commission has issued administrative rules.</w:t>
      </w:r>
    </w:p>
    <w:p w14:paraId="19C21016" w14:textId="31C340BD" w:rsidR="0001072F" w:rsidRPr="0001072F" w:rsidRDefault="0001072F" w:rsidP="002C4FAC">
      <w:pPr>
        <w:spacing w:line="480" w:lineRule="auto"/>
        <w:ind w:firstLine="720"/>
        <w:jc w:val="both"/>
        <w:rPr>
          <w:rFonts w:eastAsia="Times New Roman" w:cs="Arial"/>
        </w:rPr>
      </w:pPr>
      <w:r w:rsidRPr="0001072F">
        <w:rPr>
          <w:rFonts w:eastAsia="Times New Roman" w:cs="Arial"/>
        </w:rPr>
        <w:t xml:space="preserve">Because the Commission was engaged in a rulemaking, the Commission was required to comply with the requirements of R.C. </w:t>
      </w:r>
      <w:r w:rsidR="0056015D" w:rsidRPr="002C4FAC">
        <w:rPr>
          <w:rFonts w:eastAsia="Times New Roman" w:cs="Arial"/>
        </w:rPr>
        <w:t>111.15</w:t>
      </w:r>
      <w:r w:rsidRPr="0001072F">
        <w:rPr>
          <w:rFonts w:eastAsia="Times New Roman" w:cs="Arial"/>
        </w:rPr>
        <w:t xml:space="preserve">.  </w:t>
      </w:r>
      <w:r w:rsidR="0056015D" w:rsidRPr="002C4FAC">
        <w:rPr>
          <w:rFonts w:eastAsia="Times New Roman" w:cs="Arial"/>
        </w:rPr>
        <w:t>The procedure for adoption of a rule</w:t>
      </w:r>
      <w:r w:rsidR="00A24336">
        <w:rPr>
          <w:rFonts w:eastAsia="Times New Roman" w:cs="Arial"/>
        </w:rPr>
        <w:t xml:space="preserve"> under that section</w:t>
      </w:r>
      <w:r w:rsidR="0056015D" w:rsidRPr="002C4FAC">
        <w:rPr>
          <w:rFonts w:eastAsia="Times New Roman" w:cs="Arial"/>
        </w:rPr>
        <w:t xml:space="preserve"> requires </w:t>
      </w:r>
      <w:r w:rsidR="009B558B">
        <w:rPr>
          <w:rFonts w:eastAsia="Times New Roman" w:cs="Arial"/>
        </w:rPr>
        <w:t>that the rule be filed</w:t>
      </w:r>
      <w:r w:rsidR="009B558B" w:rsidRPr="002C4FAC">
        <w:rPr>
          <w:rFonts w:eastAsia="Times New Roman" w:cs="Arial"/>
        </w:rPr>
        <w:t xml:space="preserve"> </w:t>
      </w:r>
      <w:r w:rsidR="0056015D" w:rsidRPr="002C4FAC">
        <w:rPr>
          <w:rFonts w:eastAsia="Times New Roman" w:cs="Arial"/>
        </w:rPr>
        <w:t>sixty-five days b</w:t>
      </w:r>
      <w:r w:rsidR="00F16AFD" w:rsidRPr="002C4FAC">
        <w:rPr>
          <w:rFonts w:eastAsia="Times New Roman" w:cs="Arial"/>
        </w:rPr>
        <w:t>efore its filing in final form with the Joint Committee on Agency Rule Review</w:t>
      </w:r>
      <w:r w:rsidR="00DF030B">
        <w:rPr>
          <w:rFonts w:eastAsia="Times New Roman" w:cs="Arial"/>
        </w:rPr>
        <w:t>.</w:t>
      </w:r>
      <w:r w:rsidR="006407F0" w:rsidRPr="002C4FAC">
        <w:rPr>
          <w:rFonts w:eastAsia="Times New Roman" w:cs="Arial"/>
        </w:rPr>
        <w:t xml:space="preserve">  R.C. 111.15(D</w:t>
      </w:r>
      <w:r w:rsidR="009B0FBF" w:rsidRPr="002C4FAC">
        <w:rPr>
          <w:rFonts w:eastAsia="Times New Roman" w:cs="Arial"/>
        </w:rPr>
        <w:t xml:space="preserve">).  If the rule is filed under R.C. 111.15(D), it must also be filed with the Secretary of State and the Legislative </w:t>
      </w:r>
      <w:r w:rsidR="00737050" w:rsidRPr="002C4FAC">
        <w:rPr>
          <w:rFonts w:eastAsia="Times New Roman" w:cs="Arial"/>
        </w:rPr>
        <w:t>Service</w:t>
      </w:r>
      <w:r w:rsidR="009B0FBF" w:rsidRPr="002C4FAC">
        <w:rPr>
          <w:rFonts w:eastAsia="Times New Roman" w:cs="Arial"/>
        </w:rPr>
        <w:t xml:space="preserve"> Commission.  R.C. 111.15(E).</w:t>
      </w:r>
      <w:r w:rsidRPr="0001072F">
        <w:rPr>
          <w:rFonts w:eastAsia="Times New Roman" w:cs="Arial"/>
        </w:rPr>
        <w:t xml:space="preserve">  </w:t>
      </w:r>
      <w:r w:rsidR="00737050" w:rsidRPr="002C4FAC">
        <w:rPr>
          <w:rFonts w:eastAsia="Times New Roman" w:cs="Arial"/>
        </w:rPr>
        <w:t>The rule is without effect until ten days after it is properly filed</w:t>
      </w:r>
      <w:r w:rsidR="0022180E" w:rsidRPr="002C4FAC">
        <w:rPr>
          <w:rFonts w:eastAsia="Times New Roman" w:cs="Arial"/>
        </w:rPr>
        <w:t xml:space="preserve"> in final form with the Secretary of State, Legislative Service Commission, and Joint Committee on Agency Rule Review.  R.C. 111.15(B).  </w:t>
      </w:r>
      <w:r w:rsidR="00737050" w:rsidRPr="002C4FAC">
        <w:rPr>
          <w:rFonts w:eastAsia="Times New Roman" w:cs="Arial"/>
        </w:rPr>
        <w:t xml:space="preserve">If the agency fails to comply with the requirements of </w:t>
      </w:r>
      <w:r w:rsidR="0022180E" w:rsidRPr="002C4FAC">
        <w:rPr>
          <w:rFonts w:eastAsia="Times New Roman" w:cs="Arial"/>
        </w:rPr>
        <w:t xml:space="preserve">R.C. 111.15, the rule is ineffective and </w:t>
      </w:r>
      <w:r w:rsidR="0022180E" w:rsidRPr="002C4FAC">
        <w:rPr>
          <w:rFonts w:eastAsia="Times New Roman" w:cs="Arial"/>
        </w:rPr>
        <w:lastRenderedPageBreak/>
        <w:t xml:space="preserve">cannot be enforced.  </w:t>
      </w:r>
      <w:r w:rsidR="0068458A" w:rsidRPr="002C4FAC">
        <w:rPr>
          <w:rFonts w:eastAsia="Times New Roman" w:cs="Arial"/>
          <w:i/>
        </w:rPr>
        <w:t>State, ex rel. Board of Education, v. Holt</w:t>
      </w:r>
      <w:r w:rsidR="0068458A" w:rsidRPr="002C4FAC">
        <w:rPr>
          <w:rFonts w:eastAsia="Times New Roman" w:cs="Arial"/>
        </w:rPr>
        <w:t>, 174 Ohio St. 55 (1962)</w:t>
      </w:r>
      <w:r w:rsidR="00FB5B57">
        <w:rPr>
          <w:rFonts w:eastAsia="Times New Roman" w:cs="Arial"/>
        </w:rPr>
        <w:t xml:space="preserve">.  </w:t>
      </w:r>
      <w:r w:rsidR="00FB5B57" w:rsidRPr="00B921AC">
        <w:rPr>
          <w:rFonts w:eastAsia="Times New Roman" w:cs="Arial"/>
          <w:i/>
        </w:rPr>
        <w:t>See</w:t>
      </w:r>
      <w:r w:rsidR="0068458A" w:rsidRPr="002C4FAC">
        <w:rPr>
          <w:rFonts w:eastAsia="Times New Roman" w:cs="Arial"/>
        </w:rPr>
        <w:t xml:space="preserve"> </w:t>
      </w:r>
      <w:r w:rsidR="00D42766" w:rsidRPr="002C4FAC">
        <w:rPr>
          <w:rFonts w:eastAsia="Times New Roman" w:cs="Arial"/>
          <w:i/>
        </w:rPr>
        <w:t>Carroll v. Dept. of Administrative Services</w:t>
      </w:r>
      <w:r w:rsidR="00D42766" w:rsidRPr="002C4FAC">
        <w:rPr>
          <w:rFonts w:eastAsia="Times New Roman" w:cs="Arial"/>
        </w:rPr>
        <w:t>, 10 Ohio App. 3d 108 (1983)</w:t>
      </w:r>
      <w:r w:rsidR="00FB5B57">
        <w:rPr>
          <w:rFonts w:eastAsia="Times New Roman" w:cs="Arial"/>
        </w:rPr>
        <w:t xml:space="preserve"> (employee could not be compelled to comply with a rule promulgated beyond agency’s authority)</w:t>
      </w:r>
      <w:r w:rsidR="00D42766" w:rsidRPr="002C4FAC">
        <w:rPr>
          <w:rFonts w:eastAsia="Times New Roman" w:cs="Arial"/>
        </w:rPr>
        <w:t>.</w:t>
      </w:r>
    </w:p>
    <w:p w14:paraId="55C3529C" w14:textId="77777777" w:rsidR="00BF5FF5" w:rsidRDefault="0001072F" w:rsidP="002C4FAC">
      <w:pPr>
        <w:spacing w:line="480" w:lineRule="auto"/>
        <w:jc w:val="both"/>
        <w:rPr>
          <w:rFonts w:eastAsia="Times New Roman" w:cs="Arial"/>
        </w:rPr>
      </w:pPr>
      <w:r w:rsidRPr="0001072F">
        <w:rPr>
          <w:rFonts w:eastAsia="Times New Roman" w:cs="Arial"/>
        </w:rPr>
        <w:tab/>
        <w:t xml:space="preserve">The reason for requiring compliance with the rulemaking procedures of R.C. </w:t>
      </w:r>
      <w:r w:rsidR="00E22D8C" w:rsidRPr="002C4FAC">
        <w:rPr>
          <w:rFonts w:eastAsia="Times New Roman" w:cs="Arial"/>
        </w:rPr>
        <w:t>111.15</w:t>
      </w:r>
      <w:r w:rsidRPr="0001072F">
        <w:rPr>
          <w:rFonts w:eastAsia="Times New Roman" w:cs="Arial"/>
        </w:rPr>
        <w:t xml:space="preserve"> is to assure openness and fairness.  </w:t>
      </w:r>
      <w:r w:rsidR="002F6CC9" w:rsidRPr="00AB7013">
        <w:rPr>
          <w:rFonts w:eastAsia="Times New Roman" w:cs="Arial"/>
          <w:i/>
        </w:rPr>
        <w:t>See</w:t>
      </w:r>
      <w:r w:rsidR="002F6CC9" w:rsidRPr="00AB7013">
        <w:rPr>
          <w:rFonts w:eastAsia="Times New Roman" w:cs="Arial"/>
        </w:rPr>
        <w:t xml:space="preserve"> </w:t>
      </w:r>
      <w:r w:rsidR="00A20E1C" w:rsidRPr="00AB7013">
        <w:rPr>
          <w:rFonts w:cs="Arial"/>
          <w:i/>
        </w:rPr>
        <w:t>Appalachian Power Co. v</w:t>
      </w:r>
      <w:r w:rsidR="00A20E1C" w:rsidRPr="0036036E">
        <w:rPr>
          <w:rFonts w:cs="Arial"/>
          <w:i/>
        </w:rPr>
        <w:t>. U.S. Environmental Protection Agency</w:t>
      </w:r>
      <w:r w:rsidR="00A20E1C" w:rsidRPr="00D81B8A">
        <w:rPr>
          <w:rFonts w:cs="Arial"/>
        </w:rPr>
        <w:t>, 208 F.3d at 1028</w:t>
      </w:r>
      <w:r w:rsidR="00A20E1C" w:rsidRPr="002C4FAC">
        <w:rPr>
          <w:rFonts w:cs="Arial"/>
        </w:rPr>
        <w:t>.</w:t>
      </w:r>
      <w:r w:rsidR="00A20E1C" w:rsidRPr="002C4FAC">
        <w:rPr>
          <w:rFonts w:eastAsia="Times New Roman" w:cs="Arial"/>
        </w:rPr>
        <w:t xml:space="preserve"> </w:t>
      </w:r>
      <w:r w:rsidR="00A06B5D" w:rsidRPr="002C4FAC">
        <w:rPr>
          <w:rFonts w:eastAsia="Times New Roman" w:cs="Arial"/>
        </w:rPr>
        <w:t xml:space="preserve"> </w:t>
      </w:r>
      <w:r w:rsidRPr="0001072F">
        <w:rPr>
          <w:rFonts w:eastAsia="Times New Roman" w:cs="Arial"/>
        </w:rPr>
        <w:t xml:space="preserve">“Requiring [an agency] to undertake rulemaking procedures before applying the new standard … ensures that all stakeholders … have an opportunity to express their views on the wisdom of the proposal and to contest its legality if they so desire.”  </w:t>
      </w:r>
      <w:r w:rsidR="00A06B5D" w:rsidRPr="002C4FAC">
        <w:rPr>
          <w:rFonts w:cs="Arial"/>
          <w:i/>
        </w:rPr>
        <w:t>Fairfield County Bd. of Comm’rs v. Nally</w:t>
      </w:r>
      <w:r w:rsidR="00A06B5D" w:rsidRPr="002C4FAC">
        <w:rPr>
          <w:rFonts w:cs="Arial"/>
        </w:rPr>
        <w:t>, Slip Op. No. 2015-Ohio-991 at ¶ 30.</w:t>
      </w:r>
      <w:r w:rsidR="00BF5FF5" w:rsidRPr="00BF5FF5">
        <w:rPr>
          <w:rFonts w:eastAsia="Times New Roman" w:cs="Arial"/>
        </w:rPr>
        <w:t xml:space="preserve"> </w:t>
      </w:r>
    </w:p>
    <w:p w14:paraId="41EDDE20" w14:textId="47057A4A" w:rsidR="0001072F" w:rsidRPr="0001072F" w:rsidRDefault="00BF5FF5" w:rsidP="00BF5FF5">
      <w:pPr>
        <w:spacing w:line="480" w:lineRule="auto"/>
        <w:ind w:firstLine="720"/>
        <w:jc w:val="both"/>
        <w:rPr>
          <w:rFonts w:eastAsia="Times New Roman" w:cs="Arial"/>
        </w:rPr>
      </w:pPr>
      <w:r w:rsidRPr="002C4FAC">
        <w:rPr>
          <w:rFonts w:eastAsia="Times New Roman" w:cs="Arial"/>
        </w:rPr>
        <w:t xml:space="preserve">The Commission has adopted rules without complying with the requirements of R.C. 111.15.  </w:t>
      </w:r>
      <w:r>
        <w:rPr>
          <w:rFonts w:eastAsia="Times New Roman" w:cs="Arial"/>
        </w:rPr>
        <w:t xml:space="preserve">In the Finding and Order, the </w:t>
      </w:r>
      <w:r w:rsidR="0088195D">
        <w:rPr>
          <w:rFonts w:eastAsia="Times New Roman" w:cs="Arial"/>
        </w:rPr>
        <w:t>Commission</w:t>
      </w:r>
      <w:r>
        <w:rPr>
          <w:rFonts w:eastAsia="Times New Roman" w:cs="Arial"/>
        </w:rPr>
        <w:t xml:space="preserve"> makes no allowance for compliance with filing requirements or submission to the proper agencies.  Because it has failed to comply with the requirements of R.C. 111.15, the rules adopted by the Commission are without effect.</w:t>
      </w:r>
    </w:p>
    <w:p w14:paraId="0F8CBE7A" w14:textId="78FA1831" w:rsidR="0001072F" w:rsidRPr="0001072F" w:rsidRDefault="0001072F" w:rsidP="002C4FAC">
      <w:pPr>
        <w:spacing w:line="480" w:lineRule="auto"/>
        <w:jc w:val="both"/>
        <w:rPr>
          <w:rFonts w:eastAsia="Times New Roman" w:cs="Arial"/>
        </w:rPr>
      </w:pPr>
      <w:r w:rsidRPr="0001072F">
        <w:rPr>
          <w:rFonts w:eastAsia="Times New Roman" w:cs="Arial"/>
        </w:rPr>
        <w:tab/>
        <w:t xml:space="preserve">The Commission, moreover, cannot justify its action in this case as a standard application of the adjudication process.  In the situations in which the Commission may adopt a “rule” by adjudication, “an administrative order cannot be upheld unless the grounds upon which the agency acted in exercising its powers were those upon which its action can be sustained.”  </w:t>
      </w:r>
      <w:r w:rsidR="00E42556" w:rsidRPr="002C4FAC">
        <w:rPr>
          <w:rFonts w:cs="Arial"/>
          <w:i/>
        </w:rPr>
        <w:t>SEC v. Chenery</w:t>
      </w:r>
      <w:r w:rsidR="00E42556" w:rsidRPr="002C4FAC">
        <w:rPr>
          <w:rFonts w:cs="Arial"/>
        </w:rPr>
        <w:t xml:space="preserve">, 318 U.S. 80, 95 (1943).  </w:t>
      </w:r>
      <w:r w:rsidR="00E42556" w:rsidRPr="002C4FAC">
        <w:rPr>
          <w:rFonts w:eastAsia="Times New Roman" w:cs="Arial"/>
        </w:rPr>
        <w:t>As discussed above, the Commission has exceeded its authority in the manner it has redefined the test for determining whether an entity is a public utility.  Thus, the use of an adjudicatory process to adopt the new standard cannot be upheld.</w:t>
      </w:r>
    </w:p>
    <w:p w14:paraId="713822ED" w14:textId="3D71AF75" w:rsidR="00EA3250" w:rsidRPr="002C4FAC" w:rsidRDefault="0041780E" w:rsidP="009D6B63">
      <w:pPr>
        <w:pStyle w:val="Heading1"/>
        <w:rPr>
          <w:rFonts w:eastAsia="Times New Roman"/>
        </w:rPr>
      </w:pPr>
      <w:bookmarkStart w:id="37" w:name="_Toc470773478"/>
      <w:bookmarkStart w:id="38" w:name="_Toc470782976"/>
      <w:bookmarkStart w:id="39" w:name="_Toc470878127"/>
      <w:bookmarkStart w:id="40" w:name="_Toc471291644"/>
      <w:bookmarkStart w:id="41" w:name="_Toc471458094"/>
      <w:r>
        <w:rPr>
          <w:rFonts w:eastAsia="Times New Roman"/>
        </w:rPr>
        <w:lastRenderedPageBreak/>
        <w:t>CONCLUSION</w:t>
      </w:r>
      <w:bookmarkEnd w:id="37"/>
      <w:bookmarkEnd w:id="38"/>
      <w:bookmarkEnd w:id="39"/>
      <w:bookmarkEnd w:id="40"/>
      <w:bookmarkEnd w:id="41"/>
    </w:p>
    <w:p w14:paraId="49189001" w14:textId="4BB3F6D7" w:rsidR="00EA3250" w:rsidRPr="002C4FAC" w:rsidRDefault="00DF030B" w:rsidP="002C4FAC">
      <w:pPr>
        <w:spacing w:line="480" w:lineRule="auto"/>
        <w:ind w:firstLine="720"/>
        <w:jc w:val="both"/>
        <w:rPr>
          <w:rFonts w:eastAsia="Times New Roman" w:cs="Arial"/>
        </w:rPr>
      </w:pPr>
      <w:r>
        <w:rPr>
          <w:rFonts w:eastAsia="Times New Roman" w:cs="Arial"/>
        </w:rPr>
        <w:t>Price-</w:t>
      </w:r>
      <w:r w:rsidR="00D024AA">
        <w:rPr>
          <w:rFonts w:eastAsia="Times New Roman" w:cs="Arial"/>
        </w:rPr>
        <w:t xml:space="preserve">gouging is a real problem, but the solution offered by the </w:t>
      </w:r>
      <w:r w:rsidR="0088195D">
        <w:rPr>
          <w:rFonts w:eastAsia="Times New Roman" w:cs="Arial"/>
        </w:rPr>
        <w:t>Commission</w:t>
      </w:r>
      <w:r w:rsidR="00D024AA">
        <w:rPr>
          <w:rFonts w:eastAsia="Times New Roman" w:cs="Arial"/>
        </w:rPr>
        <w:t xml:space="preserve"> in this case </w:t>
      </w:r>
      <w:r w:rsidR="008E7D73">
        <w:rPr>
          <w:rFonts w:eastAsia="Times New Roman" w:cs="Arial"/>
        </w:rPr>
        <w:t>is beyond its authority</w:t>
      </w:r>
      <w:r w:rsidR="00D024AA">
        <w:rPr>
          <w:rFonts w:eastAsia="Times New Roman" w:cs="Arial"/>
        </w:rPr>
        <w:t xml:space="preserve">.  </w:t>
      </w:r>
      <w:r w:rsidR="00EA3250" w:rsidRPr="002C4FAC">
        <w:rPr>
          <w:rFonts w:eastAsia="Times New Roman" w:cs="Arial"/>
        </w:rPr>
        <w:t xml:space="preserve">Therefore, the Commission should grant rehearing and reverse </w:t>
      </w:r>
      <w:r w:rsidR="00A038C6" w:rsidRPr="002C4FAC">
        <w:rPr>
          <w:rFonts w:eastAsia="Times New Roman" w:cs="Arial"/>
        </w:rPr>
        <w:t>the revisions</w:t>
      </w:r>
      <w:r w:rsidR="006D52DB">
        <w:rPr>
          <w:rFonts w:eastAsia="Times New Roman" w:cs="Arial"/>
        </w:rPr>
        <w:t xml:space="preserve"> to </w:t>
      </w:r>
      <w:r w:rsidR="001B180F">
        <w:rPr>
          <w:rFonts w:eastAsia="Times New Roman" w:cs="Arial"/>
        </w:rPr>
        <w:t xml:space="preserve">the </w:t>
      </w:r>
      <w:r w:rsidR="006D52DB" w:rsidRPr="006D52DB">
        <w:rPr>
          <w:rFonts w:eastAsia="Times New Roman" w:cs="Arial"/>
          <w:i/>
        </w:rPr>
        <w:t>Shroyer</w:t>
      </w:r>
      <w:r w:rsidR="001B180F">
        <w:rPr>
          <w:rFonts w:eastAsia="Times New Roman" w:cs="Arial"/>
          <w:i/>
        </w:rPr>
        <w:t xml:space="preserve"> Test</w:t>
      </w:r>
      <w:r w:rsidR="00A038C6" w:rsidRPr="002C4FAC">
        <w:rPr>
          <w:rFonts w:eastAsia="Times New Roman" w:cs="Arial"/>
        </w:rPr>
        <w:t xml:space="preserve"> that would declare an entity to be a public utility if it “fails” any </w:t>
      </w:r>
      <w:r w:rsidR="00A038C6" w:rsidRPr="0005730D">
        <w:rPr>
          <w:rFonts w:eastAsia="Times New Roman" w:cs="Arial"/>
          <w:i/>
        </w:rPr>
        <w:t>Shroyer</w:t>
      </w:r>
      <w:r w:rsidR="00A038C6" w:rsidRPr="002C4FAC">
        <w:rPr>
          <w:rFonts w:eastAsia="Times New Roman" w:cs="Arial"/>
        </w:rPr>
        <w:t xml:space="preserve"> prong and the rebuttable presumption that an entity is a public utility if it prices services at a </w:t>
      </w:r>
      <w:r w:rsidR="008E7D73" w:rsidRPr="002C4FAC">
        <w:rPr>
          <w:rFonts w:eastAsia="Times New Roman" w:cs="Arial"/>
        </w:rPr>
        <w:t>to</w:t>
      </w:r>
      <w:r w:rsidR="008E7D73">
        <w:rPr>
          <w:rFonts w:eastAsia="Times New Roman" w:cs="Arial"/>
        </w:rPr>
        <w:t>-</w:t>
      </w:r>
      <w:r w:rsidR="008E7D73" w:rsidRPr="002C4FAC">
        <w:rPr>
          <w:rFonts w:eastAsia="Times New Roman" w:cs="Arial"/>
        </w:rPr>
        <w:t>be</w:t>
      </w:r>
      <w:r w:rsidR="008E7D73">
        <w:rPr>
          <w:rFonts w:eastAsia="Times New Roman" w:cs="Arial"/>
        </w:rPr>
        <w:t>-</w:t>
      </w:r>
      <w:r w:rsidR="00A038C6" w:rsidRPr="002C4FAC">
        <w:rPr>
          <w:rFonts w:eastAsia="Times New Roman" w:cs="Arial"/>
        </w:rPr>
        <w:t>determined amount in excess of a regulated price.</w:t>
      </w:r>
    </w:p>
    <w:p w14:paraId="55F2B713" w14:textId="5877FD2F" w:rsidR="0041780E" w:rsidRDefault="0041780E" w:rsidP="0041780E">
      <w:pPr>
        <w:pStyle w:val="ListParagraph"/>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0"/>
        <w:rPr>
          <w:rFonts w:eastAsia="Times New Roman" w:cs="Arial"/>
          <w:szCs w:val="20"/>
        </w:rPr>
      </w:pPr>
      <w:r>
        <w:rPr>
          <w:rFonts w:eastAsia="Times New Roman" w:cs="Arial"/>
          <w:szCs w:val="20"/>
        </w:rPr>
        <w:tab/>
      </w:r>
      <w:r>
        <w:rPr>
          <w:rFonts w:eastAsia="Times New Roman" w:cs="Arial"/>
          <w:szCs w:val="20"/>
        </w:rPr>
        <w:tab/>
      </w:r>
      <w:r>
        <w:rPr>
          <w:rFonts w:eastAsia="Times New Roman" w:cs="Arial"/>
          <w:szCs w:val="20"/>
        </w:rPr>
        <w:tab/>
      </w:r>
      <w:r>
        <w:rPr>
          <w:rFonts w:eastAsia="Times New Roman" w:cs="Arial"/>
          <w:szCs w:val="20"/>
        </w:rPr>
        <w:tab/>
      </w:r>
      <w:r>
        <w:rPr>
          <w:rFonts w:eastAsia="Times New Roman" w:cs="Arial"/>
          <w:szCs w:val="20"/>
        </w:rPr>
        <w:tab/>
        <w:t>Respectfully submitted,</w:t>
      </w:r>
    </w:p>
    <w:p w14:paraId="5B6633F6" w14:textId="77777777" w:rsidR="0041780E" w:rsidRDefault="0041780E" w:rsidP="0041780E">
      <w:pPr>
        <w:pStyle w:val="ListParagraph"/>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0"/>
        <w:rPr>
          <w:rFonts w:eastAsia="Times New Roman" w:cs="Arial"/>
          <w:szCs w:val="20"/>
        </w:rPr>
      </w:pPr>
    </w:p>
    <w:p w14:paraId="7AE438F5" w14:textId="77777777" w:rsidR="0041780E" w:rsidRDefault="0041780E" w:rsidP="0041780E">
      <w:pPr>
        <w:pStyle w:val="ListParagraph"/>
        <w:tabs>
          <w:tab w:val="left" w:pos="916"/>
          <w:tab w:val="left" w:pos="1832"/>
          <w:tab w:val="left" w:pos="2748"/>
          <w:tab w:val="left" w:pos="3664"/>
          <w:tab w:val="left" w:pos="432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eastAsia="Times New Roman" w:cs="Arial"/>
          <w:szCs w:val="20"/>
        </w:rPr>
      </w:pPr>
      <w:r>
        <w:rPr>
          <w:rFonts w:eastAsia="Times New Roman" w:cs="Arial"/>
          <w:szCs w:val="20"/>
        </w:rPr>
        <w:tab/>
      </w:r>
      <w:r>
        <w:rPr>
          <w:rFonts w:eastAsia="Times New Roman" w:cs="Arial"/>
          <w:szCs w:val="20"/>
        </w:rPr>
        <w:tab/>
      </w:r>
      <w:r>
        <w:rPr>
          <w:rFonts w:eastAsia="Times New Roman" w:cs="Arial"/>
          <w:szCs w:val="20"/>
        </w:rPr>
        <w:tab/>
      </w:r>
      <w:r>
        <w:rPr>
          <w:rFonts w:eastAsia="Times New Roman" w:cs="Arial"/>
          <w:szCs w:val="20"/>
        </w:rPr>
        <w:tab/>
      </w:r>
      <w:r>
        <w:rPr>
          <w:rFonts w:eastAsia="Times New Roman" w:cs="Arial"/>
          <w:szCs w:val="20"/>
        </w:rPr>
        <w:tab/>
      </w:r>
      <w:r w:rsidRPr="00AE65AD">
        <w:rPr>
          <w:rFonts w:eastAsia="Times New Roman" w:cs="Arial"/>
          <w:i/>
          <w:szCs w:val="20"/>
          <w:u w:val="single"/>
        </w:rPr>
        <w:t>/s/</w:t>
      </w:r>
      <w:r>
        <w:rPr>
          <w:rFonts w:eastAsia="Times New Roman" w:cs="Arial"/>
          <w:szCs w:val="20"/>
          <w:u w:val="single"/>
        </w:rPr>
        <w:t xml:space="preserve"> </w:t>
      </w:r>
      <w:r>
        <w:rPr>
          <w:rFonts w:eastAsia="Times New Roman" w:cs="Arial"/>
          <w:i/>
          <w:szCs w:val="20"/>
          <w:u w:val="single"/>
        </w:rPr>
        <w:t>Frank P. Darr</w:t>
      </w:r>
      <w:r>
        <w:rPr>
          <w:rFonts w:eastAsia="Times New Roman" w:cs="Arial"/>
          <w:szCs w:val="20"/>
          <w:u w:val="single"/>
        </w:rPr>
        <w:tab/>
      </w:r>
      <w:r>
        <w:rPr>
          <w:rFonts w:eastAsia="Times New Roman" w:cs="Arial"/>
          <w:szCs w:val="20"/>
          <w:u w:val="single"/>
        </w:rPr>
        <w:tab/>
      </w:r>
      <w:r>
        <w:rPr>
          <w:rFonts w:eastAsia="Times New Roman" w:cs="Arial"/>
          <w:szCs w:val="20"/>
          <w:u w:val="single"/>
        </w:rPr>
        <w:tab/>
      </w:r>
      <w:r>
        <w:rPr>
          <w:rFonts w:eastAsia="Times New Roman" w:cs="Arial"/>
          <w:szCs w:val="20"/>
          <w:u w:val="single"/>
        </w:rPr>
        <w:tab/>
      </w:r>
    </w:p>
    <w:p w14:paraId="206A11FB" w14:textId="77777777" w:rsidR="0041780E" w:rsidRDefault="0041780E" w:rsidP="0041780E">
      <w:pPr>
        <w:widowControl w:val="0"/>
        <w:ind w:left="4320"/>
        <w:rPr>
          <w:rFonts w:eastAsia="Calibri" w:cs="Arial"/>
          <w:bCs/>
        </w:rPr>
      </w:pPr>
      <w:r>
        <w:rPr>
          <w:rFonts w:eastAsia="Calibri" w:cs="Arial"/>
          <w:bCs/>
        </w:rPr>
        <w:t>Frank P. Darr (Reg. No. 0025469)</w:t>
      </w:r>
    </w:p>
    <w:p w14:paraId="20409125" w14:textId="77777777" w:rsidR="0041780E" w:rsidRDefault="0041780E" w:rsidP="0041780E">
      <w:pPr>
        <w:widowControl w:val="0"/>
        <w:ind w:left="4320"/>
        <w:rPr>
          <w:rFonts w:eastAsia="Calibri" w:cs="Arial"/>
          <w:b/>
          <w:bCs/>
        </w:rPr>
      </w:pPr>
      <w:r>
        <w:rPr>
          <w:rFonts w:eastAsia="Calibri" w:cs="Arial"/>
          <w:bCs/>
        </w:rPr>
        <w:t>Matthew R. Pritchard (Reg. No. 0088070)</w:t>
      </w:r>
    </w:p>
    <w:p w14:paraId="680CEC71" w14:textId="77777777" w:rsidR="0041780E" w:rsidRDefault="0041780E" w:rsidP="0041780E">
      <w:pPr>
        <w:widowControl w:val="0"/>
        <w:ind w:left="4320"/>
        <w:rPr>
          <w:rFonts w:eastAsia="Calibri" w:cs="Arial"/>
          <w:b/>
          <w:bCs/>
          <w:smallCaps/>
        </w:rPr>
      </w:pPr>
      <w:r>
        <w:rPr>
          <w:rFonts w:eastAsia="Calibri" w:cs="Arial"/>
          <w:bCs/>
          <w:smallCaps/>
        </w:rPr>
        <w:t>McNees Wallace &amp; Nurick LLC</w:t>
      </w:r>
    </w:p>
    <w:p w14:paraId="52D78723" w14:textId="77777777" w:rsidR="0041780E" w:rsidRDefault="0041780E" w:rsidP="0041780E">
      <w:pPr>
        <w:widowControl w:val="0"/>
        <w:ind w:left="4320"/>
        <w:rPr>
          <w:rFonts w:eastAsia="Calibri" w:cs="Arial"/>
          <w:b/>
          <w:bCs/>
        </w:rPr>
      </w:pPr>
      <w:r>
        <w:rPr>
          <w:rFonts w:eastAsia="Calibri" w:cs="Arial"/>
          <w:bCs/>
        </w:rPr>
        <w:t>21 East State Street, 17</w:t>
      </w:r>
      <w:r>
        <w:rPr>
          <w:rFonts w:eastAsia="Calibri" w:cs="Arial"/>
          <w:bCs/>
          <w:vertAlign w:val="superscript"/>
        </w:rPr>
        <w:t>TH</w:t>
      </w:r>
      <w:r>
        <w:rPr>
          <w:rFonts w:eastAsia="Calibri" w:cs="Arial"/>
          <w:bCs/>
        </w:rPr>
        <w:t xml:space="preserve"> Floor</w:t>
      </w:r>
    </w:p>
    <w:p w14:paraId="31682C9F" w14:textId="77777777" w:rsidR="0041780E" w:rsidRDefault="0041780E" w:rsidP="0041780E">
      <w:pPr>
        <w:tabs>
          <w:tab w:val="left" w:pos="-1440"/>
          <w:tab w:val="left" w:pos="-720"/>
          <w:tab w:val="left" w:pos="5040"/>
          <w:tab w:val="center" w:pos="7200"/>
        </w:tabs>
        <w:overflowPunct w:val="0"/>
        <w:autoSpaceDE w:val="0"/>
        <w:autoSpaceDN w:val="0"/>
        <w:adjustRightInd w:val="0"/>
        <w:ind w:left="4320"/>
        <w:rPr>
          <w:rFonts w:eastAsia="Calibri" w:cs="Arial"/>
        </w:rPr>
      </w:pPr>
      <w:r>
        <w:rPr>
          <w:rFonts w:eastAsia="Calibri" w:cs="Arial"/>
        </w:rPr>
        <w:t>Columbus, OH  43215</w:t>
      </w:r>
    </w:p>
    <w:p w14:paraId="0484A09D" w14:textId="77777777" w:rsidR="0041780E" w:rsidRDefault="0041780E" w:rsidP="0041780E">
      <w:pPr>
        <w:tabs>
          <w:tab w:val="left" w:pos="-1440"/>
          <w:tab w:val="left" w:pos="-720"/>
          <w:tab w:val="left" w:pos="5040"/>
          <w:tab w:val="center" w:pos="7200"/>
        </w:tabs>
        <w:overflowPunct w:val="0"/>
        <w:autoSpaceDE w:val="0"/>
        <w:autoSpaceDN w:val="0"/>
        <w:adjustRightInd w:val="0"/>
        <w:ind w:left="4320"/>
        <w:rPr>
          <w:rFonts w:eastAsia="Calibri" w:cs="Arial"/>
        </w:rPr>
      </w:pPr>
      <w:r>
        <w:rPr>
          <w:rFonts w:eastAsia="Calibri" w:cs="Arial"/>
        </w:rPr>
        <w:t>Telephone:  (614) 469-8000</w:t>
      </w:r>
    </w:p>
    <w:p w14:paraId="6F125A22" w14:textId="77777777" w:rsidR="0041780E" w:rsidRDefault="0041780E" w:rsidP="0041780E">
      <w:pPr>
        <w:tabs>
          <w:tab w:val="left" w:pos="-1440"/>
          <w:tab w:val="left" w:pos="-720"/>
          <w:tab w:val="left" w:pos="5040"/>
          <w:tab w:val="center" w:pos="7200"/>
        </w:tabs>
        <w:overflowPunct w:val="0"/>
        <w:autoSpaceDE w:val="0"/>
        <w:autoSpaceDN w:val="0"/>
        <w:adjustRightInd w:val="0"/>
        <w:ind w:left="4320"/>
        <w:rPr>
          <w:rFonts w:eastAsia="Calibri" w:cs="Arial"/>
          <w:color w:val="000000"/>
        </w:rPr>
      </w:pPr>
      <w:r>
        <w:rPr>
          <w:rFonts w:eastAsia="Calibri" w:cs="Arial"/>
          <w:color w:val="000000"/>
        </w:rPr>
        <w:t>Telecopier:  (614) 469-4653</w:t>
      </w:r>
    </w:p>
    <w:p w14:paraId="2E18C5E9" w14:textId="77777777" w:rsidR="0041780E" w:rsidRDefault="0041780E" w:rsidP="0041780E">
      <w:pPr>
        <w:tabs>
          <w:tab w:val="left" w:pos="-1440"/>
          <w:tab w:val="left" w:pos="-720"/>
          <w:tab w:val="left" w:pos="5040"/>
          <w:tab w:val="center" w:pos="7200"/>
        </w:tabs>
        <w:overflowPunct w:val="0"/>
        <w:autoSpaceDE w:val="0"/>
        <w:autoSpaceDN w:val="0"/>
        <w:adjustRightInd w:val="0"/>
        <w:ind w:left="4320"/>
        <w:rPr>
          <w:rFonts w:eastAsia="Calibri" w:cs="Arial"/>
          <w:color w:val="000000"/>
        </w:rPr>
      </w:pPr>
      <w:r>
        <w:rPr>
          <w:rFonts w:eastAsia="Calibri" w:cs="Arial"/>
        </w:rPr>
        <w:t>fdarr@mwncmh.com</w:t>
      </w:r>
    </w:p>
    <w:p w14:paraId="076D435B" w14:textId="77777777" w:rsidR="0041780E" w:rsidRDefault="0041780E" w:rsidP="0041780E">
      <w:pPr>
        <w:tabs>
          <w:tab w:val="left" w:pos="-1440"/>
          <w:tab w:val="left" w:pos="-720"/>
          <w:tab w:val="left" w:pos="5040"/>
          <w:tab w:val="center" w:pos="7200"/>
        </w:tabs>
        <w:overflowPunct w:val="0"/>
        <w:autoSpaceDE w:val="0"/>
        <w:autoSpaceDN w:val="0"/>
        <w:adjustRightInd w:val="0"/>
        <w:ind w:left="4320"/>
        <w:rPr>
          <w:rFonts w:eastAsia="Calibri" w:cs="Arial"/>
          <w:smallCaps/>
          <w:color w:val="000000"/>
        </w:rPr>
      </w:pPr>
      <w:r>
        <w:rPr>
          <w:rFonts w:eastAsia="Calibri" w:cs="Arial"/>
          <w:color w:val="000000"/>
        </w:rPr>
        <w:t>mpritchard@mwncmh.com</w:t>
      </w:r>
    </w:p>
    <w:p w14:paraId="05BDA705" w14:textId="77777777" w:rsidR="0041780E" w:rsidRDefault="0041780E" w:rsidP="0041780E">
      <w:pPr>
        <w:tabs>
          <w:tab w:val="left" w:pos="-1440"/>
          <w:tab w:val="left" w:pos="-720"/>
          <w:tab w:val="left" w:pos="5040"/>
          <w:tab w:val="center" w:pos="7200"/>
        </w:tabs>
        <w:overflowPunct w:val="0"/>
        <w:autoSpaceDE w:val="0"/>
        <w:autoSpaceDN w:val="0"/>
        <w:adjustRightInd w:val="0"/>
        <w:ind w:left="4320"/>
        <w:rPr>
          <w:rFonts w:eastAsia="Calibri" w:cs="Arial"/>
          <w:color w:val="000000"/>
        </w:rPr>
      </w:pPr>
    </w:p>
    <w:p w14:paraId="07B5EB37" w14:textId="77777777" w:rsidR="0041780E" w:rsidRDefault="0041780E" w:rsidP="0041780E">
      <w:pPr>
        <w:ind w:left="4320" w:hanging="4320"/>
        <w:rPr>
          <w:rFonts w:cs="Arial"/>
          <w:b/>
          <w:smallCaps/>
          <w:color w:val="000000"/>
        </w:rPr>
      </w:pPr>
      <w:r>
        <w:rPr>
          <w:rFonts w:cs="Arial"/>
          <w:b/>
          <w:smallCaps/>
          <w:color w:val="000000"/>
        </w:rPr>
        <w:tab/>
        <w:t>On Behalf of Industrial Energy Users-Ohio</w:t>
      </w:r>
    </w:p>
    <w:p w14:paraId="49BB4982" w14:textId="77777777" w:rsidR="002D4874" w:rsidRDefault="002D4874" w:rsidP="0041780E">
      <w:pPr>
        <w:ind w:left="4320" w:hanging="4320"/>
        <w:rPr>
          <w:rFonts w:cs="Arial"/>
          <w:b/>
          <w:smallCaps/>
          <w:color w:val="000000"/>
        </w:rPr>
      </w:pPr>
    </w:p>
    <w:p w14:paraId="3B90A574" w14:textId="1EA303EA" w:rsidR="002D4874" w:rsidRPr="00095339" w:rsidRDefault="002D4874" w:rsidP="002D4874">
      <w:pPr>
        <w:tabs>
          <w:tab w:val="left" w:pos="-1440"/>
          <w:tab w:val="left" w:pos="-720"/>
          <w:tab w:val="left" w:pos="4320"/>
          <w:tab w:val="left" w:pos="4779"/>
          <w:tab w:val="left" w:pos="7920"/>
        </w:tabs>
        <w:ind w:left="3600"/>
        <w:rPr>
          <w:rFonts w:eastAsia="PMingLiU" w:cs="Arial"/>
          <w:i/>
          <w:u w:val="single"/>
        </w:rPr>
      </w:pPr>
      <w:r>
        <w:rPr>
          <w:rFonts w:eastAsia="PMingLiU" w:cs="Arial"/>
        </w:rPr>
        <w:tab/>
      </w:r>
      <w:r w:rsidRPr="00095339">
        <w:rPr>
          <w:rFonts w:eastAsia="PMingLiU" w:cs="Arial"/>
          <w:i/>
          <w:u w:val="single"/>
        </w:rPr>
        <w:t>/s/ Richard L. Sites</w:t>
      </w:r>
      <w:r w:rsidRPr="00095339">
        <w:rPr>
          <w:rFonts w:eastAsia="PMingLiU" w:cs="Arial"/>
          <w:i/>
          <w:u w:val="single"/>
        </w:rPr>
        <w:tab/>
      </w:r>
      <w:r w:rsidRPr="00095339">
        <w:rPr>
          <w:rFonts w:eastAsia="PMingLiU" w:cs="Arial"/>
          <w:i/>
          <w:u w:val="single"/>
        </w:rPr>
        <w:tab/>
      </w:r>
      <w:r w:rsidRPr="00095339">
        <w:rPr>
          <w:rFonts w:eastAsia="PMingLiU" w:cs="Arial"/>
          <w:i/>
          <w:u w:val="single"/>
        </w:rPr>
        <w:tab/>
      </w:r>
    </w:p>
    <w:p w14:paraId="24E3FC42" w14:textId="1C2CE107" w:rsidR="002D4874" w:rsidRPr="00D32EE0" w:rsidRDefault="002D4874" w:rsidP="002D4874">
      <w:pPr>
        <w:tabs>
          <w:tab w:val="left" w:pos="-1440"/>
          <w:tab w:val="left" w:pos="-720"/>
          <w:tab w:val="left" w:pos="4320"/>
          <w:tab w:val="left" w:pos="4779"/>
          <w:tab w:val="left" w:pos="7920"/>
        </w:tabs>
        <w:ind w:left="3600"/>
        <w:rPr>
          <w:rFonts w:eastAsia="PMingLiU" w:cs="Arial"/>
        </w:rPr>
      </w:pPr>
      <w:r>
        <w:rPr>
          <w:rFonts w:eastAsia="PMingLiU" w:cs="Arial"/>
        </w:rPr>
        <w:tab/>
      </w:r>
      <w:r w:rsidRPr="00D32EE0">
        <w:rPr>
          <w:rFonts w:eastAsia="PMingLiU" w:cs="Arial"/>
        </w:rPr>
        <w:t>Richard L. Sites</w:t>
      </w:r>
    </w:p>
    <w:p w14:paraId="59512E51" w14:textId="77777777" w:rsidR="002D4874" w:rsidRPr="00D32EE0" w:rsidRDefault="002D4874" w:rsidP="002D4874">
      <w:pPr>
        <w:tabs>
          <w:tab w:val="left" w:pos="4320"/>
          <w:tab w:val="left" w:pos="4779"/>
          <w:tab w:val="left" w:pos="7920"/>
        </w:tabs>
        <w:autoSpaceDE w:val="0"/>
        <w:autoSpaceDN w:val="0"/>
        <w:adjustRightInd w:val="0"/>
        <w:ind w:left="3600"/>
        <w:rPr>
          <w:rFonts w:eastAsia="PMingLiU" w:cs="Arial"/>
        </w:rPr>
      </w:pPr>
      <w:r>
        <w:rPr>
          <w:rFonts w:eastAsia="PMingLiU" w:cs="Arial"/>
        </w:rPr>
        <w:tab/>
      </w:r>
      <w:r w:rsidRPr="00D32EE0">
        <w:rPr>
          <w:rFonts w:eastAsia="PMingLiU" w:cs="Arial"/>
        </w:rPr>
        <w:t>Regulatory Counsel</w:t>
      </w:r>
    </w:p>
    <w:p w14:paraId="1A6AB810" w14:textId="77777777" w:rsidR="002D4874" w:rsidRPr="00D32EE0" w:rsidRDefault="002D4874" w:rsidP="002D4874">
      <w:pPr>
        <w:tabs>
          <w:tab w:val="left" w:pos="4320"/>
          <w:tab w:val="left" w:pos="4779"/>
          <w:tab w:val="left" w:pos="7920"/>
        </w:tabs>
        <w:autoSpaceDE w:val="0"/>
        <w:autoSpaceDN w:val="0"/>
        <w:adjustRightInd w:val="0"/>
        <w:ind w:left="3600"/>
        <w:rPr>
          <w:rFonts w:eastAsia="PMingLiU" w:cs="Arial"/>
        </w:rPr>
      </w:pPr>
      <w:r>
        <w:rPr>
          <w:rFonts w:eastAsia="PMingLiU" w:cs="Arial"/>
        </w:rPr>
        <w:tab/>
      </w:r>
      <w:r w:rsidRPr="00D32EE0">
        <w:rPr>
          <w:rFonts w:eastAsia="PMingLiU" w:cs="Arial"/>
        </w:rPr>
        <w:t>OHIO HOSPITAL ASSOCIATION</w:t>
      </w:r>
    </w:p>
    <w:p w14:paraId="0B24011A" w14:textId="77777777" w:rsidR="002D4874" w:rsidRPr="00D32EE0" w:rsidRDefault="002D4874" w:rsidP="002D4874">
      <w:pPr>
        <w:tabs>
          <w:tab w:val="left" w:pos="-1440"/>
          <w:tab w:val="left" w:pos="-720"/>
          <w:tab w:val="left" w:pos="4320"/>
          <w:tab w:val="left" w:pos="4779"/>
          <w:tab w:val="left" w:pos="7920"/>
        </w:tabs>
        <w:ind w:left="3600"/>
        <w:rPr>
          <w:rFonts w:eastAsia="PMingLiU" w:cs="Arial"/>
        </w:rPr>
      </w:pPr>
      <w:r>
        <w:rPr>
          <w:rFonts w:eastAsia="PMingLiU" w:cs="Arial"/>
        </w:rPr>
        <w:tab/>
      </w:r>
      <w:r w:rsidRPr="00D32EE0">
        <w:rPr>
          <w:rFonts w:eastAsia="PMingLiU" w:cs="Arial"/>
        </w:rPr>
        <w:t>155 East Broad Street, 3</w:t>
      </w:r>
      <w:r w:rsidRPr="00D32EE0">
        <w:rPr>
          <w:rFonts w:eastAsia="PMingLiU" w:cs="Arial"/>
          <w:vertAlign w:val="superscript"/>
        </w:rPr>
        <w:t>rd</w:t>
      </w:r>
      <w:r w:rsidRPr="00D32EE0">
        <w:rPr>
          <w:rFonts w:eastAsia="PMingLiU" w:cs="Arial"/>
        </w:rPr>
        <w:t xml:space="preserve"> Floor</w:t>
      </w:r>
    </w:p>
    <w:p w14:paraId="7F4AFA43" w14:textId="77777777" w:rsidR="002D4874" w:rsidRPr="00D32EE0" w:rsidRDefault="002D4874" w:rsidP="002D4874">
      <w:pPr>
        <w:tabs>
          <w:tab w:val="left" w:pos="-1440"/>
          <w:tab w:val="left" w:pos="-720"/>
          <w:tab w:val="left" w:pos="4320"/>
          <w:tab w:val="left" w:pos="4779"/>
          <w:tab w:val="left" w:pos="7920"/>
        </w:tabs>
        <w:ind w:left="3600"/>
        <w:rPr>
          <w:rFonts w:eastAsia="PMingLiU" w:cs="Arial"/>
        </w:rPr>
      </w:pPr>
      <w:r>
        <w:rPr>
          <w:rFonts w:eastAsia="PMingLiU" w:cs="Arial"/>
        </w:rPr>
        <w:tab/>
      </w:r>
      <w:r w:rsidRPr="00D32EE0">
        <w:rPr>
          <w:rFonts w:eastAsia="PMingLiU" w:cs="Arial"/>
        </w:rPr>
        <w:t>Columbus, OH 43215-3620</w:t>
      </w:r>
    </w:p>
    <w:p w14:paraId="7A6FE8E7" w14:textId="77777777" w:rsidR="002D4874" w:rsidRPr="00D32EE0" w:rsidRDefault="002D4874" w:rsidP="002D4874">
      <w:pPr>
        <w:tabs>
          <w:tab w:val="left" w:pos="4320"/>
          <w:tab w:val="left" w:pos="4779"/>
          <w:tab w:val="left" w:pos="7920"/>
        </w:tabs>
        <w:ind w:left="3600"/>
        <w:rPr>
          <w:rFonts w:eastAsia="PMingLiU" w:cs="Arial"/>
        </w:rPr>
      </w:pPr>
      <w:r>
        <w:rPr>
          <w:rFonts w:eastAsia="PMingLiU" w:cs="Arial"/>
        </w:rPr>
        <w:tab/>
      </w:r>
      <w:r w:rsidRPr="00D32EE0">
        <w:rPr>
          <w:rFonts w:eastAsia="PMingLiU" w:cs="Arial"/>
        </w:rPr>
        <w:t xml:space="preserve">Telephone: </w:t>
      </w:r>
      <w:r>
        <w:rPr>
          <w:rFonts w:eastAsia="PMingLiU" w:cs="Arial"/>
        </w:rPr>
        <w:t xml:space="preserve"> </w:t>
      </w:r>
      <w:r w:rsidRPr="00D32EE0">
        <w:rPr>
          <w:rFonts w:eastAsia="PMingLiU" w:cs="Arial"/>
        </w:rPr>
        <w:t>(614) 221-7614</w:t>
      </w:r>
    </w:p>
    <w:p w14:paraId="3246DCD5" w14:textId="77777777" w:rsidR="002D4874" w:rsidRPr="00D32EE0" w:rsidRDefault="002D4874" w:rsidP="002D4874">
      <w:pPr>
        <w:tabs>
          <w:tab w:val="left" w:pos="4320"/>
          <w:tab w:val="left" w:pos="4779"/>
          <w:tab w:val="left" w:pos="7920"/>
        </w:tabs>
        <w:ind w:left="3600"/>
        <w:rPr>
          <w:rFonts w:eastAsia="PMingLiU" w:cs="Arial"/>
        </w:rPr>
      </w:pPr>
      <w:r>
        <w:rPr>
          <w:rFonts w:eastAsia="PMingLiU" w:cs="Arial"/>
        </w:rPr>
        <w:tab/>
      </w:r>
      <w:r w:rsidRPr="00D32EE0">
        <w:rPr>
          <w:rFonts w:eastAsia="PMingLiU" w:cs="Arial"/>
        </w:rPr>
        <w:t>Facsimile:  (614) 221-4771</w:t>
      </w:r>
    </w:p>
    <w:p w14:paraId="6392950B" w14:textId="77777777" w:rsidR="002D4874" w:rsidRPr="00D32EE0" w:rsidRDefault="002D4874" w:rsidP="002D4874">
      <w:pPr>
        <w:tabs>
          <w:tab w:val="left" w:pos="-1440"/>
          <w:tab w:val="left" w:pos="-720"/>
          <w:tab w:val="left" w:pos="4320"/>
          <w:tab w:val="left" w:pos="4779"/>
          <w:tab w:val="left" w:pos="7920"/>
        </w:tabs>
        <w:spacing w:line="360" w:lineRule="auto"/>
        <w:ind w:left="3600"/>
        <w:rPr>
          <w:rFonts w:eastAsia="PMingLiU" w:cs="Arial"/>
        </w:rPr>
      </w:pPr>
      <w:r>
        <w:rPr>
          <w:rFonts w:eastAsia="PMingLiU" w:cs="Arial"/>
        </w:rPr>
        <w:tab/>
      </w:r>
      <w:hyperlink r:id="rId26" w:history="1">
        <w:r w:rsidRPr="00D32EE0">
          <w:rPr>
            <w:rFonts w:eastAsia="PMingLiU" w:cs="Arial"/>
          </w:rPr>
          <w:t>rick.sites@ohiohospitals.org</w:t>
        </w:r>
      </w:hyperlink>
      <w:r w:rsidRPr="00D32EE0">
        <w:rPr>
          <w:rFonts w:eastAsia="PMingLiU" w:cs="Arial"/>
        </w:rPr>
        <w:t xml:space="preserve"> </w:t>
      </w:r>
    </w:p>
    <w:p w14:paraId="096CB3A5" w14:textId="77777777" w:rsidR="002D4874" w:rsidRPr="00D32EE0" w:rsidRDefault="002D4874" w:rsidP="002D4874">
      <w:pPr>
        <w:tabs>
          <w:tab w:val="left" w:pos="-1440"/>
          <w:tab w:val="left" w:pos="-720"/>
          <w:tab w:val="left" w:pos="4320"/>
          <w:tab w:val="left" w:pos="4779"/>
          <w:tab w:val="left" w:pos="7920"/>
        </w:tabs>
        <w:ind w:left="3600"/>
        <w:rPr>
          <w:rFonts w:ascii="Arial Bold" w:eastAsia="PMingLiU" w:hAnsi="Arial Bold" w:cs="Arial" w:hint="eastAsia"/>
          <w:b/>
          <w:smallCaps/>
        </w:rPr>
      </w:pPr>
      <w:r>
        <w:rPr>
          <w:rFonts w:ascii="Times New Roman" w:eastAsia="PMingLiU" w:hAnsi="Times New Roman" w:cs="Times New Roman"/>
        </w:rPr>
        <w:tab/>
      </w:r>
      <w:r w:rsidRPr="00D32EE0">
        <w:rPr>
          <w:rFonts w:ascii="Arial Bold" w:eastAsia="PMingLiU" w:hAnsi="Arial Bold" w:cs="Arial"/>
          <w:b/>
          <w:smallCaps/>
        </w:rPr>
        <w:t>On Behalf of Ohio Hospital Association</w:t>
      </w:r>
    </w:p>
    <w:p w14:paraId="30FFE83A" w14:textId="77777777" w:rsidR="002D4874" w:rsidRDefault="002D4874" w:rsidP="0041780E">
      <w:pPr>
        <w:ind w:left="4320" w:hanging="4320"/>
        <w:rPr>
          <w:rFonts w:cs="Arial"/>
          <w:b/>
          <w:smallCaps/>
          <w:color w:val="000000"/>
        </w:rPr>
      </w:pPr>
    </w:p>
    <w:p w14:paraId="31A9A115" w14:textId="77777777" w:rsidR="00AA5853" w:rsidRPr="0078611B" w:rsidRDefault="00AA5853" w:rsidP="00AA5853">
      <w:pPr>
        <w:ind w:left="4320"/>
        <w:jc w:val="both"/>
        <w:rPr>
          <w:rFonts w:cs="Arial"/>
          <w:i/>
          <w:color w:val="000000"/>
          <w:u w:val="single"/>
        </w:rPr>
      </w:pPr>
      <w:r>
        <w:rPr>
          <w:rFonts w:cs="Arial"/>
          <w:i/>
          <w:color w:val="000000"/>
          <w:u w:val="single"/>
        </w:rPr>
        <w:t>/s/ Robert A. Brundrett</w:t>
      </w:r>
      <w:r>
        <w:rPr>
          <w:rFonts w:cs="Arial"/>
          <w:i/>
          <w:color w:val="000000"/>
          <w:u w:val="single"/>
        </w:rPr>
        <w:tab/>
      </w:r>
      <w:r>
        <w:rPr>
          <w:rFonts w:cs="Arial"/>
          <w:i/>
          <w:color w:val="000000"/>
          <w:u w:val="single"/>
        </w:rPr>
        <w:tab/>
      </w:r>
      <w:r>
        <w:rPr>
          <w:rFonts w:cs="Arial"/>
          <w:i/>
          <w:color w:val="000000"/>
          <w:u w:val="single"/>
        </w:rPr>
        <w:tab/>
      </w:r>
      <w:r>
        <w:rPr>
          <w:rFonts w:cs="Arial"/>
          <w:i/>
          <w:color w:val="000000"/>
          <w:u w:val="single"/>
        </w:rPr>
        <w:tab/>
      </w:r>
    </w:p>
    <w:p w14:paraId="539563BE" w14:textId="77777777" w:rsidR="00AA5853" w:rsidRPr="00E161EE" w:rsidRDefault="00AA5853" w:rsidP="00AA5853">
      <w:pPr>
        <w:tabs>
          <w:tab w:val="left" w:pos="4320"/>
        </w:tabs>
        <w:rPr>
          <w:rFonts w:cs="Arial"/>
        </w:rPr>
      </w:pPr>
      <w:r>
        <w:rPr>
          <w:rFonts w:cs="Arial"/>
        </w:rPr>
        <w:tab/>
      </w:r>
      <w:r w:rsidRPr="00E161EE">
        <w:rPr>
          <w:rFonts w:cs="Arial"/>
        </w:rPr>
        <w:t>Robert A. Brundrett (0086538)</w:t>
      </w:r>
    </w:p>
    <w:p w14:paraId="252043F2" w14:textId="77777777" w:rsidR="00AA5853" w:rsidRPr="00E161EE" w:rsidRDefault="00AA5853" w:rsidP="00AA5853">
      <w:pPr>
        <w:tabs>
          <w:tab w:val="left" w:pos="4320"/>
        </w:tabs>
        <w:rPr>
          <w:rFonts w:cs="Arial"/>
        </w:rPr>
      </w:pPr>
      <w:r w:rsidRPr="00E161EE">
        <w:rPr>
          <w:rFonts w:cs="Arial"/>
        </w:rPr>
        <w:tab/>
        <w:t xml:space="preserve">OMA </w:t>
      </w:r>
      <w:r w:rsidRPr="00F97C25">
        <w:rPr>
          <w:rFonts w:cs="Arial"/>
          <w:smallCaps/>
        </w:rPr>
        <w:t>Energy Group</w:t>
      </w:r>
    </w:p>
    <w:p w14:paraId="61DB5F2C" w14:textId="77777777" w:rsidR="00AA5853" w:rsidRPr="00E161EE" w:rsidRDefault="00AA5853" w:rsidP="00AA5853">
      <w:pPr>
        <w:tabs>
          <w:tab w:val="left" w:pos="4320"/>
        </w:tabs>
        <w:rPr>
          <w:rFonts w:cs="Arial"/>
        </w:rPr>
      </w:pPr>
      <w:r w:rsidRPr="00E161EE">
        <w:rPr>
          <w:rFonts w:cs="Arial"/>
        </w:rPr>
        <w:tab/>
        <w:t>33 N. High St., 6</w:t>
      </w:r>
      <w:r w:rsidRPr="00E161EE">
        <w:rPr>
          <w:rFonts w:cs="Arial"/>
          <w:vertAlign w:val="superscript"/>
        </w:rPr>
        <w:t>th</w:t>
      </w:r>
      <w:r w:rsidRPr="00E161EE">
        <w:rPr>
          <w:rFonts w:cs="Arial"/>
        </w:rPr>
        <w:t xml:space="preserve"> Floor</w:t>
      </w:r>
    </w:p>
    <w:p w14:paraId="37DF0708" w14:textId="77777777" w:rsidR="00AA5853" w:rsidRPr="00E161EE" w:rsidRDefault="00AA5853" w:rsidP="00AA5853">
      <w:pPr>
        <w:tabs>
          <w:tab w:val="left" w:pos="4320"/>
        </w:tabs>
        <w:rPr>
          <w:rFonts w:cs="Arial"/>
        </w:rPr>
      </w:pPr>
      <w:r w:rsidRPr="00E161EE">
        <w:rPr>
          <w:rFonts w:cs="Arial"/>
        </w:rPr>
        <w:tab/>
        <w:t>Columbus, OH 43215</w:t>
      </w:r>
    </w:p>
    <w:p w14:paraId="021D94E7" w14:textId="77777777" w:rsidR="00AA5853" w:rsidRPr="00E161EE" w:rsidRDefault="00AA5853" w:rsidP="00AA5853">
      <w:pPr>
        <w:tabs>
          <w:tab w:val="left" w:pos="4320"/>
        </w:tabs>
        <w:rPr>
          <w:rFonts w:cs="Arial"/>
        </w:rPr>
      </w:pPr>
      <w:r w:rsidRPr="00E161EE">
        <w:rPr>
          <w:rFonts w:cs="Arial"/>
        </w:rPr>
        <w:tab/>
        <w:t>Telephone: (614) 224-5111</w:t>
      </w:r>
    </w:p>
    <w:p w14:paraId="43E610F9" w14:textId="77777777" w:rsidR="00AA5853" w:rsidRPr="00E161EE" w:rsidRDefault="00AA5853" w:rsidP="00AA5853">
      <w:pPr>
        <w:tabs>
          <w:tab w:val="left" w:pos="4320"/>
        </w:tabs>
        <w:rPr>
          <w:rFonts w:cs="Arial"/>
        </w:rPr>
      </w:pPr>
      <w:r w:rsidRPr="00E161EE">
        <w:rPr>
          <w:rFonts w:cs="Arial"/>
        </w:rPr>
        <w:tab/>
        <w:t>Fax:  (614) 469-4653</w:t>
      </w:r>
    </w:p>
    <w:p w14:paraId="6C25FCFE" w14:textId="77777777" w:rsidR="00AA5853" w:rsidRDefault="00AA5853" w:rsidP="00AA5853">
      <w:pPr>
        <w:tabs>
          <w:tab w:val="left" w:pos="4320"/>
        </w:tabs>
        <w:rPr>
          <w:rFonts w:cs="Arial"/>
        </w:rPr>
      </w:pPr>
      <w:r w:rsidRPr="00E161EE">
        <w:rPr>
          <w:rFonts w:cs="Arial"/>
        </w:rPr>
        <w:tab/>
      </w:r>
      <w:hyperlink r:id="rId27" w:history="1">
        <w:r w:rsidRPr="00B17E87">
          <w:rPr>
            <w:rStyle w:val="Hyperlink"/>
            <w:rFonts w:cs="Arial"/>
            <w:color w:val="auto"/>
            <w:u w:val="none"/>
          </w:rPr>
          <w:t>rbrundrett@ohiomfg.com</w:t>
        </w:r>
      </w:hyperlink>
    </w:p>
    <w:p w14:paraId="086799A2" w14:textId="77777777" w:rsidR="00AA5853" w:rsidRDefault="00AA5853" w:rsidP="00AA5853">
      <w:pPr>
        <w:tabs>
          <w:tab w:val="left" w:pos="4320"/>
        </w:tabs>
        <w:rPr>
          <w:rFonts w:cs="Arial"/>
        </w:rPr>
      </w:pPr>
    </w:p>
    <w:p w14:paraId="097D8AFC" w14:textId="77777777" w:rsidR="00AA5853" w:rsidRPr="002336D6" w:rsidRDefault="00AA5853" w:rsidP="00AA5853">
      <w:pPr>
        <w:ind w:left="4320" w:hanging="4320"/>
        <w:rPr>
          <w:rFonts w:cs="Arial"/>
          <w:smallCaps/>
          <w:color w:val="000000"/>
        </w:rPr>
      </w:pPr>
      <w:r>
        <w:rPr>
          <w:rFonts w:cs="Arial"/>
          <w:b/>
          <w:smallCaps/>
          <w:color w:val="000000"/>
        </w:rPr>
        <w:tab/>
      </w:r>
      <w:r w:rsidRPr="00547F79">
        <w:rPr>
          <w:rFonts w:ascii="Arial Bold" w:hAnsi="Arial Bold" w:cs="Arial"/>
          <w:b/>
          <w:smallCaps/>
        </w:rPr>
        <w:t xml:space="preserve">On Behalf of </w:t>
      </w:r>
      <w:r>
        <w:rPr>
          <w:rFonts w:ascii="Arial Bold" w:hAnsi="Arial Bold" w:cs="Arial"/>
          <w:b/>
          <w:smallCaps/>
        </w:rPr>
        <w:t>Ohio Manufacturers’ Association</w:t>
      </w:r>
      <w:r w:rsidRPr="00547F79">
        <w:rPr>
          <w:rFonts w:ascii="Arial Bold" w:hAnsi="Arial Bold" w:cs="Arial"/>
          <w:b/>
          <w:smallCaps/>
        </w:rPr>
        <w:t xml:space="preserve"> Energy Group</w:t>
      </w:r>
    </w:p>
    <w:p w14:paraId="3121CC6B" w14:textId="77777777" w:rsidR="00D311B7" w:rsidRDefault="00D311B7" w:rsidP="0041780E">
      <w:pPr>
        <w:ind w:left="4320" w:hanging="4320"/>
        <w:rPr>
          <w:rFonts w:cs="Arial"/>
          <w:b/>
          <w:smallCaps/>
          <w:color w:val="000000"/>
        </w:rPr>
      </w:pPr>
    </w:p>
    <w:p w14:paraId="647CD767" w14:textId="77777777" w:rsidR="002D4874" w:rsidRDefault="002D4874" w:rsidP="0041780E">
      <w:pPr>
        <w:ind w:left="4320" w:hanging="4320"/>
        <w:rPr>
          <w:rFonts w:cs="Arial"/>
          <w:b/>
          <w:smallCaps/>
          <w:color w:val="000000"/>
        </w:rPr>
      </w:pPr>
    </w:p>
    <w:p w14:paraId="24607E8F" w14:textId="77777777" w:rsidR="002D4874" w:rsidRDefault="002D4874" w:rsidP="0041780E">
      <w:pPr>
        <w:ind w:left="4320" w:hanging="4320"/>
        <w:rPr>
          <w:rFonts w:cs="Arial"/>
          <w:b/>
          <w:smallCaps/>
          <w:color w:val="000000"/>
        </w:rPr>
        <w:sectPr w:rsidR="002D4874" w:rsidSect="0064093F">
          <w:headerReference w:type="default" r:id="rId28"/>
          <w:headerReference w:type="first" r:id="rId29"/>
          <w:footerReference w:type="first" r:id="rId30"/>
          <w:pgSz w:w="12240" w:h="15840" w:code="1"/>
          <w:pgMar w:top="1440" w:right="1440" w:bottom="1440" w:left="1440" w:header="720" w:footer="720" w:gutter="0"/>
          <w:pgNumType w:start="3"/>
          <w:cols w:space="720"/>
          <w:titlePg/>
          <w:docGrid w:linePitch="360"/>
        </w:sectPr>
      </w:pPr>
    </w:p>
    <w:p w14:paraId="7A88C67E" w14:textId="77777777" w:rsidR="00104F8D" w:rsidRDefault="00104F8D" w:rsidP="00104F8D">
      <w:pPr>
        <w:tabs>
          <w:tab w:val="left" w:pos="2160"/>
          <w:tab w:val="left" w:pos="2280"/>
        </w:tabs>
        <w:jc w:val="center"/>
        <w:rPr>
          <w:rFonts w:ascii="Arial Bold" w:hAnsi="Arial Bold" w:cs="Arial"/>
          <w:b/>
          <w:smallCaps/>
          <w:sz w:val="28"/>
          <w:u w:val="single"/>
        </w:rPr>
      </w:pPr>
      <w:r>
        <w:rPr>
          <w:rFonts w:ascii="Arial Bold" w:hAnsi="Arial Bold" w:cs="Arial"/>
          <w:b/>
          <w:smallCaps/>
          <w:sz w:val="28"/>
          <w:u w:val="single"/>
        </w:rPr>
        <w:lastRenderedPageBreak/>
        <w:t>Certificate of Service</w:t>
      </w:r>
    </w:p>
    <w:p w14:paraId="6C33CABA" w14:textId="77777777" w:rsidR="00104F8D" w:rsidRDefault="00104F8D" w:rsidP="00104F8D">
      <w:pPr>
        <w:rPr>
          <w:rFonts w:cs="Arial"/>
        </w:rPr>
      </w:pPr>
    </w:p>
    <w:p w14:paraId="19F5449F" w14:textId="13BE07E6" w:rsidR="00104F8D" w:rsidRPr="00E66B49" w:rsidRDefault="00104F8D" w:rsidP="00104F8D">
      <w:pPr>
        <w:pStyle w:val="BodyText"/>
        <w:spacing w:line="480" w:lineRule="auto"/>
        <w:ind w:firstLine="720"/>
      </w:pPr>
      <w:r w:rsidRPr="00E66B49">
        <w:t>In accordance with Rule 4901-1-05, Ohio Ad</w:t>
      </w:r>
      <w:r>
        <w:t xml:space="preserve">ministrative Code, the </w:t>
      </w:r>
      <w:r w:rsidR="00CB619F">
        <w:t xml:space="preserve">Commission’s </w:t>
      </w:r>
      <w:r>
        <w:t>e</w:t>
      </w:r>
      <w:r>
        <w:noBreakHyphen/>
      </w:r>
      <w:r w:rsidRPr="00E66B49">
        <w:t xml:space="preserve">filing system will electronically serve notice of the filing of this document upon </w:t>
      </w:r>
      <w:r w:rsidR="00A17BB3">
        <w:t>persons that the Commission has identified</w:t>
      </w:r>
      <w:r w:rsidRPr="00E66B49">
        <w:t xml:space="preserve">.  </w:t>
      </w:r>
    </w:p>
    <w:p w14:paraId="715655C2" w14:textId="7177FB43" w:rsidR="00104F8D" w:rsidRPr="00320E03" w:rsidRDefault="00104F8D" w:rsidP="00104F8D">
      <w:pPr>
        <w:tabs>
          <w:tab w:val="center" w:pos="7200"/>
          <w:tab w:val="right" w:pos="9360"/>
        </w:tabs>
        <w:ind w:left="5040"/>
        <w:rPr>
          <w:rFonts w:cs="Arial"/>
          <w:i/>
          <w:u w:val="single"/>
        </w:rPr>
      </w:pPr>
      <w:r w:rsidRPr="00320E03">
        <w:rPr>
          <w:rFonts w:cs="Arial"/>
          <w:i/>
          <w:u w:val="single"/>
        </w:rPr>
        <w:t xml:space="preserve">/s/ </w:t>
      </w:r>
      <w:r>
        <w:rPr>
          <w:rFonts w:cs="Arial"/>
          <w:i/>
          <w:u w:val="single"/>
        </w:rPr>
        <w:t>Frank P. Darr</w:t>
      </w:r>
      <w:r w:rsidRPr="00320E03">
        <w:rPr>
          <w:rFonts w:cs="Arial"/>
          <w:i/>
          <w:u w:val="single"/>
        </w:rPr>
        <w:tab/>
      </w:r>
      <w:r>
        <w:rPr>
          <w:rFonts w:cs="Arial"/>
          <w:i/>
          <w:u w:val="single"/>
        </w:rPr>
        <w:tab/>
      </w:r>
    </w:p>
    <w:p w14:paraId="1824F70E" w14:textId="6288CD7D" w:rsidR="00104F8D" w:rsidRDefault="00BE7B88" w:rsidP="00104F8D">
      <w:pPr>
        <w:tabs>
          <w:tab w:val="center" w:pos="7200"/>
          <w:tab w:val="right" w:pos="9360"/>
        </w:tabs>
        <w:ind w:left="5760"/>
        <w:rPr>
          <w:rFonts w:cs="Arial"/>
        </w:rPr>
      </w:pPr>
      <w:r>
        <w:rPr>
          <w:rFonts w:cs="Arial"/>
        </w:rPr>
        <w:t>Frank P. Darr</w:t>
      </w:r>
    </w:p>
    <w:p w14:paraId="4C2EF80C" w14:textId="5D268610" w:rsidR="009E09D5" w:rsidRPr="005C47B2" w:rsidRDefault="009E09D5" w:rsidP="00104F8D">
      <w:pPr>
        <w:ind w:left="4320" w:hanging="4320"/>
        <w:rPr>
          <w:rFonts w:eastAsia="Times New Roman" w:cs="Arial"/>
          <w:szCs w:val="20"/>
        </w:rPr>
      </w:pPr>
    </w:p>
    <w:sectPr w:rsidR="009E09D5" w:rsidRPr="005C47B2" w:rsidSect="00C0405A">
      <w:headerReference w:type="default" r:id="rId31"/>
      <w:footerReference w:type="default" r:id="rId32"/>
      <w:headerReference w:type="first" r:id="rId33"/>
      <w:footerReference w:type="first" r:id="rId3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04443" w14:textId="77777777" w:rsidR="00AD67B9" w:rsidRDefault="00AD67B9" w:rsidP="00AD67B9">
      <w:r>
        <w:separator/>
      </w:r>
    </w:p>
  </w:endnote>
  <w:endnote w:type="continuationSeparator" w:id="0">
    <w:p w14:paraId="57BC87AC" w14:textId="77777777" w:rsidR="00AD67B9" w:rsidRDefault="00AD67B9" w:rsidP="00AD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4AAB1" w14:textId="77777777" w:rsidR="00C9030E" w:rsidRDefault="00C9030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11565" w14:textId="094961F2" w:rsidR="00463A52" w:rsidRPr="006038FC" w:rsidRDefault="00EF2EAF" w:rsidP="006038FC">
    <w:pPr>
      <w:pStyle w:val="Footer"/>
    </w:pPr>
    <w:r w:rsidRPr="00EF2EAF">
      <w:rPr>
        <w:noProof/>
        <w:vanish/>
        <w:sz w:val="16"/>
      </w:rPr>
      <w:t>{</w:t>
    </w:r>
    <w:r w:rsidRPr="00EF2EAF">
      <w:rPr>
        <w:noProof/>
        <w:sz w:val="16"/>
      </w:rPr>
      <w:t>C0100331:1</w:t>
    </w:r>
    <w:r w:rsidRPr="00EF2EAF">
      <w:rPr>
        <w:noProof/>
        <w:vanish/>
        <w:sz w:val="16"/>
      </w:rPr>
      <w:t>}</w:t>
    </w:r>
    <w:r w:rsidR="006038FC">
      <w:tab/>
    </w:r>
    <w:sdt>
      <w:sdtPr>
        <w:id w:val="-1617909477"/>
        <w:docPartObj>
          <w:docPartGallery w:val="Page Numbers (Bottom of Page)"/>
          <w:docPartUnique/>
        </w:docPartObj>
      </w:sdtPr>
      <w:sdtEndPr>
        <w:rPr>
          <w:noProof/>
        </w:rPr>
      </w:sdtEndPr>
      <w:sdtContent/>
    </w:sdt>
  </w:p>
  <w:p w14:paraId="4CFEA579" w14:textId="77777777" w:rsidR="00463A52" w:rsidRPr="006038FC" w:rsidRDefault="00463A52" w:rsidP="00DB14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E50EB" w14:textId="2ECE0577" w:rsidR="00261EC8" w:rsidRPr="00DB1420" w:rsidRDefault="00EF2EAF" w:rsidP="00DB1420">
    <w:pPr>
      <w:pStyle w:val="Footer"/>
    </w:pPr>
    <w:r w:rsidRPr="00EF2EAF">
      <w:rPr>
        <w:noProof/>
        <w:vanish/>
        <w:sz w:val="16"/>
      </w:rPr>
      <w:t>{</w:t>
    </w:r>
    <w:r w:rsidRPr="00EF2EAF">
      <w:rPr>
        <w:noProof/>
        <w:sz w:val="16"/>
      </w:rPr>
      <w:t>C0100331:1</w:t>
    </w:r>
    <w:r w:rsidRPr="00EF2EAF">
      <w:rPr>
        <w:noProof/>
        <w:vanish/>
        <w:sz w:val="16"/>
      </w:rPr>
      <w:t>}</w:t>
    </w:r>
    <w:r w:rsidR="00DB1420">
      <w:tab/>
    </w:r>
  </w:p>
  <w:p w14:paraId="5717231E" w14:textId="77777777" w:rsidR="00261EC8" w:rsidRPr="00DB1420" w:rsidRDefault="00261E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E5340" w14:textId="1335772B" w:rsidR="00031BB5" w:rsidRPr="006038FC" w:rsidRDefault="00EF2EAF" w:rsidP="006038FC">
    <w:pPr>
      <w:pStyle w:val="Footer"/>
    </w:pPr>
    <w:r w:rsidRPr="00EF2EAF">
      <w:rPr>
        <w:noProof/>
        <w:vanish/>
        <w:sz w:val="16"/>
      </w:rPr>
      <w:t>{</w:t>
    </w:r>
    <w:r w:rsidRPr="00EF2EAF">
      <w:rPr>
        <w:noProof/>
        <w:sz w:val="16"/>
      </w:rPr>
      <w:t>C0100331:1</w:t>
    </w:r>
    <w:r w:rsidRPr="00EF2EAF">
      <w:rPr>
        <w:noProof/>
        <w:vanish/>
        <w:sz w:val="16"/>
      </w:rPr>
      <w:t>}</w:t>
    </w:r>
    <w:r w:rsidR="006038FC">
      <w:tab/>
    </w:r>
    <w:sdt>
      <w:sdtPr>
        <w:id w:val="-746659762"/>
        <w:docPartObj>
          <w:docPartGallery w:val="Page Numbers (Bottom of Page)"/>
          <w:docPartUnique/>
        </w:docPartObj>
      </w:sdtPr>
      <w:sdtEndPr>
        <w:rPr>
          <w:noProof/>
        </w:rPr>
      </w:sdtEndPr>
      <w:sdtContent/>
    </w:sdt>
  </w:p>
  <w:p w14:paraId="705B4D4D" w14:textId="6E338911" w:rsidR="00DB1420" w:rsidRPr="006038FC" w:rsidRDefault="00DB1420" w:rsidP="00DB142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AEF12" w14:textId="2BC672E5" w:rsidR="00463A52" w:rsidRPr="00DB1420" w:rsidRDefault="00EF2EAF" w:rsidP="00DB1420">
    <w:pPr>
      <w:pStyle w:val="Footer"/>
    </w:pPr>
    <w:r w:rsidRPr="00EF2EAF">
      <w:rPr>
        <w:noProof/>
        <w:vanish/>
        <w:sz w:val="16"/>
      </w:rPr>
      <w:t>{</w:t>
    </w:r>
    <w:r w:rsidRPr="00EF2EAF">
      <w:rPr>
        <w:noProof/>
        <w:sz w:val="16"/>
      </w:rPr>
      <w:t>C0100331:1</w:t>
    </w:r>
    <w:r w:rsidRPr="00EF2EAF">
      <w:rPr>
        <w:noProof/>
        <w:vanish/>
        <w:sz w:val="16"/>
      </w:rPr>
      <w:t>}</w:t>
    </w:r>
    <w:r w:rsidR="00463A52">
      <w:tab/>
    </w:r>
  </w:p>
  <w:p w14:paraId="3E82465A" w14:textId="77777777" w:rsidR="00463A52" w:rsidRPr="00DB1420" w:rsidRDefault="00463A5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F11BF" w14:textId="69613307" w:rsidR="00463A52" w:rsidRPr="006038FC" w:rsidRDefault="00EF2EAF" w:rsidP="006038FC">
    <w:pPr>
      <w:pStyle w:val="Footer"/>
    </w:pPr>
    <w:r w:rsidRPr="00EF2EAF">
      <w:rPr>
        <w:noProof/>
        <w:vanish/>
        <w:sz w:val="16"/>
      </w:rPr>
      <w:t>{</w:t>
    </w:r>
    <w:r w:rsidRPr="00EF2EAF">
      <w:rPr>
        <w:noProof/>
        <w:sz w:val="16"/>
      </w:rPr>
      <w:t>C0100331:1</w:t>
    </w:r>
    <w:r w:rsidRPr="00EF2EAF">
      <w:rPr>
        <w:noProof/>
        <w:vanish/>
        <w:sz w:val="16"/>
      </w:rPr>
      <w:t>}</w:t>
    </w:r>
    <w:r w:rsidR="006038FC">
      <w:tab/>
    </w:r>
    <w:sdt>
      <w:sdtPr>
        <w:id w:val="569394705"/>
        <w:docPartObj>
          <w:docPartGallery w:val="Page Numbers (Bottom of Page)"/>
          <w:docPartUnique/>
        </w:docPartObj>
      </w:sdtPr>
      <w:sdtEndPr>
        <w:rPr>
          <w:noProof/>
        </w:rPr>
      </w:sdtEndPr>
      <w:sdtContent>
        <w:r w:rsidR="00463A52" w:rsidRPr="006038FC">
          <w:fldChar w:fldCharType="begin"/>
        </w:r>
        <w:r w:rsidR="00463A52" w:rsidRPr="006038FC">
          <w:instrText xml:space="preserve"> PAGE   \* MERGEFORMAT </w:instrText>
        </w:r>
        <w:r w:rsidR="00463A52" w:rsidRPr="006038FC">
          <w:fldChar w:fldCharType="separate"/>
        </w:r>
        <w:r>
          <w:rPr>
            <w:noProof/>
          </w:rPr>
          <w:t>i</w:t>
        </w:r>
        <w:r w:rsidR="00463A52" w:rsidRPr="006038FC">
          <w:rPr>
            <w:noProof/>
          </w:rPr>
          <w:fldChar w:fldCharType="end"/>
        </w:r>
      </w:sdtContent>
    </w:sdt>
  </w:p>
  <w:p w14:paraId="79D0E404" w14:textId="77777777" w:rsidR="00463A52" w:rsidRPr="006038FC" w:rsidRDefault="00463A52" w:rsidP="00DB142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E486F" w14:textId="6CFFFC97" w:rsidR="0064093F" w:rsidRPr="006038FC" w:rsidRDefault="00EF2EAF" w:rsidP="006038FC">
    <w:pPr>
      <w:pStyle w:val="Footer"/>
    </w:pPr>
    <w:r w:rsidRPr="00EF2EAF">
      <w:rPr>
        <w:noProof/>
        <w:vanish/>
        <w:sz w:val="16"/>
      </w:rPr>
      <w:t>{</w:t>
    </w:r>
    <w:r w:rsidRPr="00EF2EAF">
      <w:rPr>
        <w:noProof/>
        <w:sz w:val="16"/>
      </w:rPr>
      <w:t>C0100331:1</w:t>
    </w:r>
    <w:r w:rsidRPr="00EF2EAF">
      <w:rPr>
        <w:noProof/>
        <w:vanish/>
        <w:sz w:val="16"/>
      </w:rPr>
      <w:t>}</w:t>
    </w:r>
    <w:r w:rsidR="006038FC">
      <w:tab/>
    </w:r>
    <w:sdt>
      <w:sdtPr>
        <w:id w:val="1388755422"/>
        <w:docPartObj>
          <w:docPartGallery w:val="Page Numbers (Bottom of Page)"/>
          <w:docPartUnique/>
        </w:docPartObj>
      </w:sdtPr>
      <w:sdtEndPr>
        <w:rPr>
          <w:noProof/>
        </w:rPr>
      </w:sdtEndPr>
      <w:sdtContent>
        <w:r w:rsidR="0064093F" w:rsidRPr="006038FC">
          <w:fldChar w:fldCharType="begin"/>
        </w:r>
        <w:r w:rsidR="0064093F" w:rsidRPr="006038FC">
          <w:instrText xml:space="preserve"> PAGE   \* MERGEFORMAT </w:instrText>
        </w:r>
        <w:r w:rsidR="0064093F" w:rsidRPr="006038FC">
          <w:fldChar w:fldCharType="separate"/>
        </w:r>
        <w:r>
          <w:rPr>
            <w:noProof/>
          </w:rPr>
          <w:t>16</w:t>
        </w:r>
        <w:r w:rsidR="0064093F" w:rsidRPr="006038FC">
          <w:rPr>
            <w:noProof/>
          </w:rPr>
          <w:fldChar w:fldCharType="end"/>
        </w:r>
      </w:sdtContent>
    </w:sdt>
  </w:p>
  <w:p w14:paraId="67FD6247" w14:textId="77777777" w:rsidR="00463A52" w:rsidRPr="006038FC" w:rsidRDefault="00463A5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0CB2A" w14:textId="3AB982EB" w:rsidR="00463A52" w:rsidRPr="006038FC" w:rsidRDefault="00EF2EAF" w:rsidP="006038FC">
    <w:pPr>
      <w:pStyle w:val="Footer"/>
    </w:pPr>
    <w:r w:rsidRPr="00EF2EAF">
      <w:rPr>
        <w:noProof/>
        <w:vanish/>
        <w:sz w:val="16"/>
      </w:rPr>
      <w:t>{</w:t>
    </w:r>
    <w:r w:rsidRPr="00EF2EAF">
      <w:rPr>
        <w:noProof/>
        <w:sz w:val="16"/>
      </w:rPr>
      <w:t>C0100331:1</w:t>
    </w:r>
    <w:r w:rsidRPr="00EF2EAF">
      <w:rPr>
        <w:noProof/>
        <w:vanish/>
        <w:sz w:val="16"/>
      </w:rPr>
      <w:t>}</w:t>
    </w:r>
    <w:r w:rsidR="006038FC">
      <w:tab/>
    </w:r>
  </w:p>
  <w:p w14:paraId="3C5EC6BA" w14:textId="77777777" w:rsidR="00463A52" w:rsidRPr="006038FC" w:rsidRDefault="00463A52" w:rsidP="00DB142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E865C" w14:textId="19CC0F58" w:rsidR="004E44C0" w:rsidRPr="006038FC" w:rsidRDefault="00EF2EAF" w:rsidP="006038FC">
    <w:pPr>
      <w:pStyle w:val="Footer"/>
    </w:pPr>
    <w:r w:rsidRPr="00EF2EAF">
      <w:rPr>
        <w:noProof/>
        <w:vanish/>
        <w:sz w:val="16"/>
      </w:rPr>
      <w:t>{</w:t>
    </w:r>
    <w:r w:rsidRPr="00EF2EAF">
      <w:rPr>
        <w:noProof/>
        <w:sz w:val="16"/>
      </w:rPr>
      <w:t>C0100331:1</w:t>
    </w:r>
    <w:r w:rsidRPr="00EF2EAF">
      <w:rPr>
        <w:noProof/>
        <w:vanish/>
        <w:sz w:val="16"/>
      </w:rPr>
      <w:t>}</w:t>
    </w:r>
    <w:r w:rsidR="006038FC">
      <w:tab/>
    </w:r>
    <w:sdt>
      <w:sdtPr>
        <w:id w:val="-1413538667"/>
        <w:docPartObj>
          <w:docPartGallery w:val="Page Numbers (Bottom of Page)"/>
          <w:docPartUnique/>
        </w:docPartObj>
      </w:sdtPr>
      <w:sdtEndPr>
        <w:rPr>
          <w:noProof/>
        </w:rPr>
      </w:sdtEndPr>
      <w:sdtContent>
        <w:r w:rsidR="004E44C0" w:rsidRPr="006038FC">
          <w:fldChar w:fldCharType="begin"/>
        </w:r>
        <w:r w:rsidR="004E44C0" w:rsidRPr="006038FC">
          <w:instrText xml:space="preserve"> PAGE   \* MERGEFORMAT </w:instrText>
        </w:r>
        <w:r w:rsidR="004E44C0" w:rsidRPr="006038FC">
          <w:fldChar w:fldCharType="separate"/>
        </w:r>
        <w:r>
          <w:rPr>
            <w:noProof/>
          </w:rPr>
          <w:t>3</w:t>
        </w:r>
        <w:r w:rsidR="004E44C0" w:rsidRPr="006038FC">
          <w:rPr>
            <w:noProof/>
          </w:rPr>
          <w:fldChar w:fldCharType="end"/>
        </w:r>
      </w:sdtContent>
    </w:sdt>
  </w:p>
  <w:p w14:paraId="353ED04B" w14:textId="77777777" w:rsidR="00463A52" w:rsidRPr="006038FC" w:rsidRDefault="00463A52" w:rsidP="00DB1420">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3DA85" w14:textId="724FA101" w:rsidR="00463A52" w:rsidRPr="00DB1420" w:rsidRDefault="00EF2EAF" w:rsidP="00DB1420">
    <w:pPr>
      <w:pStyle w:val="Footer"/>
    </w:pPr>
    <w:r w:rsidRPr="00EF2EAF">
      <w:rPr>
        <w:noProof/>
        <w:vanish/>
        <w:sz w:val="16"/>
      </w:rPr>
      <w:t>{</w:t>
    </w:r>
    <w:r w:rsidRPr="00EF2EAF">
      <w:rPr>
        <w:noProof/>
        <w:sz w:val="16"/>
      </w:rPr>
      <w:t>C0100331:1</w:t>
    </w:r>
    <w:r w:rsidRPr="00EF2EAF">
      <w:rPr>
        <w:noProof/>
        <w:vanish/>
        <w:sz w:val="16"/>
      </w:rPr>
      <w:t>}</w:t>
    </w:r>
    <w:r w:rsidR="00463A52">
      <w:tab/>
    </w:r>
  </w:p>
  <w:p w14:paraId="4D03258A" w14:textId="77777777" w:rsidR="00463A52" w:rsidRPr="00DB1420" w:rsidRDefault="00463A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9E4A7" w14:textId="77777777" w:rsidR="00AD67B9" w:rsidRDefault="00AD67B9" w:rsidP="00AD67B9">
      <w:pPr>
        <w:rPr>
          <w:noProof/>
        </w:rPr>
      </w:pPr>
      <w:r>
        <w:rPr>
          <w:noProof/>
        </w:rPr>
        <w:separator/>
      </w:r>
    </w:p>
  </w:footnote>
  <w:footnote w:type="continuationSeparator" w:id="0">
    <w:p w14:paraId="29D7CCC7" w14:textId="77777777" w:rsidR="00AD67B9" w:rsidRDefault="00AD67B9" w:rsidP="00AD67B9">
      <w:r>
        <w:continuationSeparator/>
      </w:r>
    </w:p>
  </w:footnote>
  <w:footnote w:id="1">
    <w:p w14:paraId="3F81158E" w14:textId="3BA7AFE4" w:rsidR="00A05E98" w:rsidRDefault="00A05E98">
      <w:pPr>
        <w:pStyle w:val="FootnoteText"/>
      </w:pPr>
      <w:r>
        <w:rPr>
          <w:rStyle w:val="FootnoteReference"/>
        </w:rPr>
        <w:footnoteRef/>
      </w:r>
      <w:r>
        <w:t xml:space="preserve"> </w:t>
      </w:r>
      <w:r w:rsidR="00B52B21">
        <w:t>OHA and OMA are entering their appearance</w:t>
      </w:r>
      <w:r w:rsidR="00835782">
        <w:t xml:space="preserve"> and seeking rehearing</w:t>
      </w:r>
      <w:r w:rsidR="00B52B21">
        <w:t xml:space="preserve"> </w:t>
      </w:r>
      <w:r w:rsidR="00734BBE">
        <w:t xml:space="preserve">as affected persons </w:t>
      </w:r>
      <w:r w:rsidR="00B52B21">
        <w:t xml:space="preserve">in this proceeding through this application for rehearing.  </w:t>
      </w:r>
      <w:r w:rsidR="00734BBE">
        <w:t xml:space="preserve">R.C. 4903.10; Rule 4901-1-35, OAC.  </w:t>
      </w:r>
      <w:r w:rsidR="00B52B21">
        <w:t>IEU-Ohio previously filed comments.</w:t>
      </w:r>
      <w:r w:rsidR="00835782">
        <w:t xml:space="preserve">  Each represents a person, firm, or corporation that may be adversely affected by the Commission’s decision in this proceeding.</w:t>
      </w:r>
    </w:p>
  </w:footnote>
  <w:footnote w:id="2">
    <w:p w14:paraId="3BC6B7E9" w14:textId="77777777" w:rsidR="00AD67B9" w:rsidRPr="008C5355" w:rsidRDefault="00AD67B9" w:rsidP="00563102">
      <w:pPr>
        <w:pStyle w:val="FootnoteText"/>
        <w:rPr>
          <w:rFonts w:cs="Arial"/>
        </w:rPr>
      </w:pPr>
      <w:r w:rsidRPr="008C5355">
        <w:rPr>
          <w:rStyle w:val="FootnoteReference"/>
          <w:rFonts w:cs="Arial"/>
        </w:rPr>
        <w:footnoteRef/>
      </w:r>
      <w:r w:rsidRPr="008C5355">
        <w:rPr>
          <w:rFonts w:cs="Arial"/>
        </w:rPr>
        <w:t xml:space="preserve"> R.C. 4905.03 provides:</w:t>
      </w:r>
    </w:p>
    <w:p w14:paraId="518A4135" w14:textId="77777777" w:rsidR="00AD67B9" w:rsidRPr="008C5355" w:rsidRDefault="00AD67B9" w:rsidP="000E4119">
      <w:pPr>
        <w:pStyle w:val="NormalWeb"/>
        <w:shd w:val="clear" w:color="auto" w:fill="FFFFFF"/>
        <w:ind w:left="720" w:right="720"/>
        <w:jc w:val="both"/>
        <w:rPr>
          <w:rFonts w:ascii="Arial" w:hAnsi="Arial" w:cs="Arial"/>
          <w:color w:val="000000"/>
          <w:sz w:val="20"/>
          <w:szCs w:val="20"/>
        </w:rPr>
      </w:pPr>
      <w:r w:rsidRPr="008C5355">
        <w:rPr>
          <w:rFonts w:ascii="Arial" w:hAnsi="Arial" w:cs="Arial"/>
          <w:color w:val="000000"/>
          <w:sz w:val="20"/>
          <w:szCs w:val="20"/>
        </w:rPr>
        <w:t>As used in this chapter, any person, firm, copartnership, voluntary association, joint-stock association, company, or corporation, wherever organized or incorporated, is:</w:t>
      </w:r>
    </w:p>
    <w:p w14:paraId="3FF466BF" w14:textId="77777777" w:rsidR="00AD67B9" w:rsidRPr="008C5355" w:rsidRDefault="00AD67B9" w:rsidP="000E4119">
      <w:pPr>
        <w:pStyle w:val="NormalWeb"/>
        <w:shd w:val="clear" w:color="auto" w:fill="FFFFFF"/>
        <w:ind w:left="720" w:right="720"/>
        <w:jc w:val="both"/>
        <w:rPr>
          <w:rFonts w:ascii="Arial" w:hAnsi="Arial" w:cs="Arial"/>
          <w:color w:val="000000"/>
          <w:sz w:val="20"/>
          <w:szCs w:val="20"/>
        </w:rPr>
      </w:pPr>
      <w:r w:rsidRPr="008C5355">
        <w:rPr>
          <w:rFonts w:ascii="Arial" w:hAnsi="Arial" w:cs="Arial"/>
          <w:color w:val="00008B"/>
          <w:sz w:val="20"/>
          <w:szCs w:val="20"/>
        </w:rPr>
        <w:t>…</w:t>
      </w:r>
    </w:p>
    <w:p w14:paraId="1E1674B9" w14:textId="77777777" w:rsidR="00AD67B9" w:rsidRPr="008C5355" w:rsidRDefault="00AD67B9" w:rsidP="000E4119">
      <w:pPr>
        <w:pStyle w:val="NormalWeb"/>
        <w:shd w:val="clear" w:color="auto" w:fill="FFFFFF"/>
        <w:ind w:left="720" w:right="720"/>
        <w:jc w:val="both"/>
        <w:rPr>
          <w:rFonts w:ascii="Arial" w:hAnsi="Arial" w:cs="Arial"/>
          <w:color w:val="000000"/>
          <w:sz w:val="20"/>
          <w:szCs w:val="20"/>
        </w:rPr>
      </w:pPr>
      <w:bookmarkStart w:id="23" w:name="4905.03(C)"/>
      <w:r w:rsidRPr="008C5355">
        <w:rPr>
          <w:rFonts w:ascii="Arial" w:hAnsi="Arial" w:cs="Arial"/>
          <w:sz w:val="20"/>
          <w:szCs w:val="20"/>
        </w:rPr>
        <w:t>(C)</w:t>
      </w:r>
      <w:bookmarkEnd w:id="23"/>
      <w:r w:rsidRPr="008C5355">
        <w:rPr>
          <w:rStyle w:val="apple-converted-space"/>
          <w:rFonts w:ascii="Arial" w:hAnsi="Arial" w:cs="Arial"/>
          <w:color w:val="000000"/>
        </w:rPr>
        <w:t xml:space="preserve">  </w:t>
      </w:r>
      <w:r w:rsidRPr="008C5355">
        <w:rPr>
          <w:rFonts w:ascii="Arial" w:hAnsi="Arial" w:cs="Arial"/>
          <w:color w:val="000000"/>
          <w:sz w:val="20"/>
          <w:szCs w:val="20"/>
        </w:rPr>
        <w:t>An electric light company, when engaged in the business of supplying electricity for light, heat, or power purposes to consumers within this state, including supplying electric transmission service for electricity delivered to consumers in this state, but excluding a regional transmission organization approved by the federal energy regulatory commission;</w:t>
      </w:r>
    </w:p>
    <w:p w14:paraId="5E888DAF" w14:textId="77777777" w:rsidR="00AD67B9" w:rsidRPr="008C5355" w:rsidRDefault="00AD67B9" w:rsidP="000E4119">
      <w:pPr>
        <w:pStyle w:val="NormalWeb"/>
        <w:shd w:val="clear" w:color="auto" w:fill="FFFFFF"/>
        <w:ind w:left="720" w:right="720"/>
        <w:jc w:val="both"/>
        <w:rPr>
          <w:rFonts w:ascii="Arial" w:hAnsi="Arial" w:cs="Arial"/>
          <w:color w:val="000000"/>
          <w:sz w:val="20"/>
          <w:szCs w:val="20"/>
        </w:rPr>
      </w:pPr>
      <w:r w:rsidRPr="008C5355">
        <w:rPr>
          <w:rFonts w:ascii="Arial" w:hAnsi="Arial" w:cs="Arial"/>
          <w:color w:val="00008B"/>
          <w:sz w:val="20"/>
          <w:szCs w:val="20"/>
        </w:rPr>
        <w:t>…</w:t>
      </w:r>
    </w:p>
    <w:p w14:paraId="37B0606C" w14:textId="77777777" w:rsidR="00AD67B9" w:rsidRPr="008C5355" w:rsidRDefault="00AD67B9" w:rsidP="000E4119">
      <w:pPr>
        <w:pStyle w:val="NormalWeb"/>
        <w:shd w:val="clear" w:color="auto" w:fill="FFFFFF"/>
        <w:ind w:left="720" w:right="720"/>
        <w:jc w:val="both"/>
        <w:rPr>
          <w:rFonts w:ascii="Arial" w:hAnsi="Arial" w:cs="Arial"/>
          <w:color w:val="000000"/>
          <w:sz w:val="20"/>
          <w:szCs w:val="20"/>
        </w:rPr>
      </w:pPr>
      <w:bookmarkStart w:id="24" w:name="4905.03(G)"/>
      <w:r w:rsidRPr="008C5355">
        <w:rPr>
          <w:rFonts w:ascii="Arial" w:hAnsi="Arial" w:cs="Arial"/>
          <w:sz w:val="20"/>
          <w:szCs w:val="20"/>
        </w:rPr>
        <w:t>(G)</w:t>
      </w:r>
      <w:bookmarkEnd w:id="24"/>
      <w:r w:rsidRPr="008C5355">
        <w:rPr>
          <w:rStyle w:val="apple-converted-space"/>
          <w:rFonts w:ascii="Arial" w:hAnsi="Arial" w:cs="Arial"/>
          <w:color w:val="000000"/>
        </w:rPr>
        <w:t xml:space="preserve">  </w:t>
      </w:r>
      <w:r w:rsidRPr="008C5355">
        <w:rPr>
          <w:rFonts w:ascii="Arial" w:hAnsi="Arial" w:cs="Arial"/>
          <w:color w:val="000000"/>
          <w:sz w:val="20"/>
          <w:szCs w:val="20"/>
        </w:rPr>
        <w:t>A water-works company, when engaged in the business of supplying water through pipes or tubing, or in a similar manner, to consumers within this state;</w:t>
      </w:r>
    </w:p>
    <w:p w14:paraId="046FCDA7" w14:textId="77777777" w:rsidR="00AD67B9" w:rsidRPr="008C5355" w:rsidRDefault="00AD67B9" w:rsidP="000E4119">
      <w:pPr>
        <w:pStyle w:val="NormalWeb"/>
        <w:shd w:val="clear" w:color="auto" w:fill="FFFFFF"/>
        <w:ind w:left="720" w:right="720"/>
        <w:jc w:val="both"/>
        <w:rPr>
          <w:rFonts w:ascii="Arial" w:hAnsi="Arial" w:cs="Arial"/>
          <w:color w:val="000000"/>
          <w:sz w:val="20"/>
          <w:szCs w:val="20"/>
        </w:rPr>
      </w:pPr>
      <w:r w:rsidRPr="008C5355">
        <w:rPr>
          <w:rFonts w:ascii="Arial" w:hAnsi="Arial" w:cs="Arial"/>
          <w:color w:val="00008B"/>
          <w:sz w:val="20"/>
          <w:szCs w:val="20"/>
        </w:rPr>
        <w:t>…</w:t>
      </w:r>
    </w:p>
    <w:p w14:paraId="50313EE8" w14:textId="77777777" w:rsidR="00AD67B9" w:rsidRPr="008C5355" w:rsidRDefault="00AD67B9" w:rsidP="000E4119">
      <w:pPr>
        <w:pStyle w:val="NormalWeb"/>
        <w:shd w:val="clear" w:color="auto" w:fill="FFFFFF"/>
        <w:ind w:left="720" w:right="720"/>
        <w:jc w:val="both"/>
        <w:rPr>
          <w:rFonts w:ascii="Arial" w:hAnsi="Arial" w:cs="Arial"/>
        </w:rPr>
      </w:pPr>
      <w:bookmarkStart w:id="25" w:name="4905.03(M)"/>
      <w:r w:rsidRPr="008C5355">
        <w:rPr>
          <w:rFonts w:ascii="Arial" w:hAnsi="Arial" w:cs="Arial"/>
          <w:sz w:val="20"/>
          <w:szCs w:val="20"/>
        </w:rPr>
        <w:t>(M)</w:t>
      </w:r>
      <w:bookmarkEnd w:id="25"/>
      <w:r w:rsidRPr="008C5355">
        <w:rPr>
          <w:rStyle w:val="apple-converted-space"/>
          <w:rFonts w:ascii="Arial" w:hAnsi="Arial" w:cs="Arial"/>
          <w:color w:val="000000"/>
        </w:rPr>
        <w:t xml:space="preserve">  </w:t>
      </w:r>
      <w:r w:rsidRPr="008C5355">
        <w:rPr>
          <w:rFonts w:ascii="Arial" w:hAnsi="Arial" w:cs="Arial"/>
          <w:color w:val="000000"/>
          <w:sz w:val="20"/>
          <w:szCs w:val="20"/>
        </w:rPr>
        <w:t>A sewage disposal system company, when engaged in the business of sewage disposal services through pipes or tubing, and treatment works, or in a similar manner, within this state.</w:t>
      </w:r>
    </w:p>
  </w:footnote>
  <w:footnote w:id="3">
    <w:p w14:paraId="0C472FD0" w14:textId="4A9B4395" w:rsidR="00AD67B9" w:rsidRPr="00060636" w:rsidRDefault="00AD67B9" w:rsidP="00CF3D04">
      <w:pPr>
        <w:pStyle w:val="FootnoteText"/>
        <w:spacing w:after="120"/>
        <w:rPr>
          <w:rFonts w:cs="Arial"/>
        </w:rPr>
      </w:pPr>
      <w:r w:rsidRPr="008C5355">
        <w:rPr>
          <w:rStyle w:val="FootnoteReference"/>
          <w:rFonts w:cs="Arial"/>
        </w:rPr>
        <w:footnoteRef/>
      </w:r>
      <w:r w:rsidRPr="008C5355">
        <w:rPr>
          <w:rFonts w:cs="Arial"/>
        </w:rPr>
        <w:t xml:space="preserve"> The test </w:t>
      </w:r>
      <w:r w:rsidR="00060636">
        <w:rPr>
          <w:rFonts w:cs="Arial"/>
        </w:rPr>
        <w:t>proposed by the Staff</w:t>
      </w:r>
      <w:r w:rsidR="00060636" w:rsidRPr="008C5355">
        <w:rPr>
          <w:rFonts w:cs="Arial"/>
        </w:rPr>
        <w:t xml:space="preserve"> </w:t>
      </w:r>
      <w:r w:rsidRPr="008C5355">
        <w:rPr>
          <w:rFonts w:cs="Arial"/>
        </w:rPr>
        <w:t xml:space="preserve">contained a fourth element addressing the reasonableness of the landlord’s charges.  The Commission </w:t>
      </w:r>
      <w:r w:rsidR="00060636">
        <w:rPr>
          <w:rFonts w:cs="Arial"/>
        </w:rPr>
        <w:t xml:space="preserve">refused to adopt the fourth prong in </w:t>
      </w:r>
      <w:r w:rsidR="00060636" w:rsidRPr="00C01F47">
        <w:rPr>
          <w:rFonts w:cs="Arial"/>
          <w:i/>
        </w:rPr>
        <w:t>Shroyer</w:t>
      </w:r>
      <w:r w:rsidRPr="008C5355">
        <w:rPr>
          <w:rFonts w:cs="Arial"/>
        </w:rPr>
        <w:t xml:space="preserve">.  </w:t>
      </w:r>
      <w:r w:rsidR="00060636">
        <w:rPr>
          <w:rFonts w:cs="Arial"/>
          <w:i/>
          <w:iCs/>
        </w:rPr>
        <w:t>Shoyer,</w:t>
      </w:r>
      <w:r w:rsidR="00060636">
        <w:rPr>
          <w:rFonts w:cs="Arial"/>
          <w:iCs/>
        </w:rPr>
        <w:t xml:space="preserve"> </w:t>
      </w:r>
      <w:r w:rsidR="00732F8D">
        <w:rPr>
          <w:rFonts w:cs="Arial"/>
          <w:iCs/>
        </w:rPr>
        <w:t xml:space="preserve">Opinion and Order </w:t>
      </w:r>
      <w:r w:rsidR="00060636">
        <w:rPr>
          <w:rFonts w:cs="Arial"/>
          <w:iCs/>
        </w:rPr>
        <w:t>at 4.</w:t>
      </w:r>
    </w:p>
  </w:footnote>
  <w:footnote w:id="4">
    <w:p w14:paraId="2201F6C3" w14:textId="77777777" w:rsidR="00AD67B9" w:rsidRPr="008C5355" w:rsidRDefault="00AD67B9" w:rsidP="00CF3D04">
      <w:pPr>
        <w:pStyle w:val="FootnoteText"/>
        <w:spacing w:after="120"/>
        <w:rPr>
          <w:rFonts w:cs="Arial"/>
        </w:rPr>
      </w:pPr>
      <w:r w:rsidRPr="008C5355">
        <w:rPr>
          <w:rStyle w:val="FootnoteReference"/>
          <w:rFonts w:cs="Arial"/>
        </w:rPr>
        <w:footnoteRef/>
      </w:r>
      <w:r w:rsidRPr="008C5355">
        <w:rPr>
          <w:rFonts w:cs="Arial"/>
        </w:rPr>
        <w:t xml:space="preserve"> Subsequently, the General Assembly enacted R.C. 4928.40(D).  That division provides: “Beginning on the starting date of competitive retail electric service, no electric utility in this state shall prohibit the resale of electric generation service or impose unreasonable or discriminatory conditions or limitations on the resale of electric generation service.”</w:t>
      </w:r>
      <w:r w:rsidRPr="008C5355">
        <w:rPr>
          <w:rFonts w:eastAsia="Times New Roman" w:cs="Arial"/>
        </w:rPr>
        <w:t xml:space="preserve">  </w:t>
      </w:r>
    </w:p>
  </w:footnote>
  <w:footnote w:id="5">
    <w:p w14:paraId="40645328" w14:textId="77777777" w:rsidR="00AD67B9" w:rsidRPr="008C5355" w:rsidRDefault="00AD67B9" w:rsidP="00CF3D04">
      <w:pPr>
        <w:pStyle w:val="FootnoteText"/>
        <w:spacing w:after="120"/>
        <w:rPr>
          <w:rFonts w:cs="Arial"/>
        </w:rPr>
      </w:pPr>
      <w:r w:rsidRPr="008C5355">
        <w:rPr>
          <w:rStyle w:val="FootnoteReference"/>
          <w:rFonts w:cs="Arial"/>
        </w:rPr>
        <w:footnoteRef/>
      </w:r>
      <w:r w:rsidRPr="008C5355">
        <w:rPr>
          <w:rFonts w:cs="Arial"/>
        </w:rPr>
        <w:t xml:space="preserve"> </w:t>
      </w:r>
      <w:r w:rsidRPr="008C5355">
        <w:rPr>
          <w:rFonts w:cs="Arial"/>
          <w:i/>
        </w:rPr>
        <w:t>See, also, Orwell Natural Gas Co. v. Fredon Corp</w:t>
      </w:r>
      <w:r w:rsidRPr="008C5355">
        <w:rPr>
          <w:rFonts w:cs="Arial"/>
        </w:rPr>
        <w:t xml:space="preserve">., 2015-Ohio-1212 ¶¶ 60-72 (11th Dist. Ct. App. </w:t>
      </w:r>
      <w:r>
        <w:rPr>
          <w:rFonts w:cs="Arial"/>
        </w:rPr>
        <w:br/>
      </w:r>
      <w:r w:rsidRPr="008C5355">
        <w:rPr>
          <w:rFonts w:cs="Arial"/>
        </w:rPr>
        <w:t>Mar. 11, 2015) (deed restriction limiting right to procure natural gas violates public policy).</w:t>
      </w:r>
    </w:p>
  </w:footnote>
  <w:footnote w:id="6">
    <w:p w14:paraId="24FA1212" w14:textId="5E19AB22" w:rsidR="0017189D" w:rsidRPr="0017189D" w:rsidRDefault="0017189D" w:rsidP="0017189D">
      <w:pPr>
        <w:pStyle w:val="FootnoteText"/>
      </w:pPr>
      <w:r>
        <w:rPr>
          <w:rStyle w:val="FootnoteReference"/>
        </w:rPr>
        <w:footnoteRef/>
      </w:r>
      <w:r>
        <w:t xml:space="preserve"> </w:t>
      </w:r>
      <w:r w:rsidRPr="0017189D">
        <w:t>Under R.C. 4928.08, the Commission has the authority to regulate the providers of competitive electric services.</w:t>
      </w:r>
      <w:r w:rsidR="00AD133F">
        <w:t xml:space="preserve">  This authority may extend to the resale of electric services by submetering companies.</w:t>
      </w:r>
      <w:r w:rsidR="002F04E0">
        <w:t xml:space="preserve">  </w:t>
      </w:r>
    </w:p>
    <w:p w14:paraId="46DBFEBE" w14:textId="2BE4D937" w:rsidR="0017189D" w:rsidRDefault="0017189D">
      <w:pPr>
        <w:pStyle w:val="FootnoteText"/>
      </w:pPr>
    </w:p>
  </w:footnote>
  <w:footnote w:id="7">
    <w:p w14:paraId="63D707D6" w14:textId="77777777" w:rsidR="00AD67B9" w:rsidRDefault="00AD67B9" w:rsidP="00CF3D04">
      <w:pPr>
        <w:pStyle w:val="FootnoteText"/>
      </w:pPr>
      <w:r>
        <w:rPr>
          <w:rStyle w:val="FootnoteReference"/>
        </w:rPr>
        <w:footnoteRef/>
      </w:r>
      <w:r>
        <w:t xml:space="preserve"> </w:t>
      </w:r>
      <w:r w:rsidRPr="00C10156">
        <w:rPr>
          <w:rFonts w:cs="Arial"/>
          <w:i/>
        </w:rPr>
        <w:t>See, also,</w:t>
      </w:r>
      <w:r w:rsidRPr="00AC13C2">
        <w:rPr>
          <w:rFonts w:cs="Arial"/>
        </w:rPr>
        <w:t xml:space="preserve"> </w:t>
      </w:r>
      <w:r>
        <w:rPr>
          <w:rStyle w:val="ssit1"/>
          <w:rFonts w:cs="Arial"/>
          <w:color w:val="373739"/>
        </w:rPr>
        <w:t xml:space="preserve">In the Matter of the </w:t>
      </w:r>
      <w:r w:rsidRPr="00AC13C2">
        <w:rPr>
          <w:rStyle w:val="ssit1"/>
          <w:rFonts w:cs="Arial"/>
          <w:color w:val="373739"/>
        </w:rPr>
        <w:t xml:space="preserve">Commission Investigation </w:t>
      </w:r>
      <w:r>
        <w:rPr>
          <w:rStyle w:val="ssit1"/>
          <w:rFonts w:cs="Arial"/>
          <w:color w:val="373739"/>
        </w:rPr>
        <w:t>into the</w:t>
      </w:r>
      <w:r w:rsidRPr="00AC13C2">
        <w:rPr>
          <w:rStyle w:val="ssit1"/>
          <w:rFonts w:cs="Arial"/>
          <w:color w:val="373739"/>
        </w:rPr>
        <w:t xml:space="preserve"> Resale and Sharing of Local Exchange Telephone Service</w:t>
      </w:r>
      <w:r w:rsidRPr="00AC13C2">
        <w:rPr>
          <w:rFonts w:cs="Arial"/>
          <w:color w:val="373739"/>
        </w:rPr>
        <w:t xml:space="preserve">, </w:t>
      </w:r>
      <w:r w:rsidRPr="005107B1">
        <w:rPr>
          <w:rFonts w:cs="Arial"/>
          <w:color w:val="373739"/>
        </w:rPr>
        <w:t>Case No. 85-1199-TP-COI, 1986 Ohio PUC LEXIS 39 at *12 (Aug. 19, 1986)</w:t>
      </w:r>
      <w:r w:rsidRPr="00AC13C2">
        <w:rPr>
          <w:rFonts w:cs="Arial"/>
          <w:color w:val="373739"/>
        </w:rPr>
        <w:t xml:space="preserve"> (shared tenant services where a third-party provides telecommunications services to the occupants of multi-tenant buildings, complexes, or developed properties through a private branch exchange </w:t>
      </w:r>
      <w:r>
        <w:rPr>
          <w:rFonts w:cs="Arial"/>
          <w:color w:val="373739"/>
        </w:rPr>
        <w:t>are</w:t>
      </w:r>
      <w:r w:rsidRPr="00AC13C2">
        <w:rPr>
          <w:rFonts w:cs="Arial"/>
          <w:color w:val="373739"/>
        </w:rPr>
        <w:t xml:space="preserve"> not subject to Commission regulation)</w:t>
      </w:r>
      <w:r>
        <w:rPr>
          <w:rFonts w:cs="Arial"/>
          <w:color w:val="373739"/>
        </w:rPr>
        <w:t xml:space="preserve"> and</w:t>
      </w:r>
      <w:r w:rsidRPr="00AC13C2">
        <w:rPr>
          <w:rFonts w:cs="Arial"/>
          <w:color w:val="373739"/>
        </w:rPr>
        <w:t xml:space="preserve"> R.C. 4905.90(K) (operator of a master-metered natural gas system is not a public utility or a natural gas company</w:t>
      </w:r>
      <w:r>
        <w:rPr>
          <w:rFonts w:cs="Arial"/>
          <w:color w:val="373739"/>
        </w:rPr>
        <w:t xml:space="preserve"> for purposes of R.C. 4905.90 to 4905.96</w:t>
      </w:r>
      <w:r w:rsidRPr="00AC13C2">
        <w:rPr>
          <w:rFonts w:cs="Arial"/>
          <w:color w:val="373739"/>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F8BA1" w14:textId="77777777" w:rsidR="00C9030E" w:rsidRDefault="00C9030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4C5AB" w14:textId="77777777" w:rsidR="00463A52" w:rsidRDefault="00463A5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9F5A4" w14:textId="77777777" w:rsidR="00463A52" w:rsidRDefault="00463A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DFB041" w14:textId="77777777" w:rsidR="00C9030E" w:rsidRDefault="00C903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DC295" w14:textId="77777777" w:rsidR="00C9030E" w:rsidRDefault="00C9030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1558A" w14:textId="77777777" w:rsidR="00463A52" w:rsidRDefault="00463A5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44A0E" w14:textId="77777777" w:rsidR="00463A52" w:rsidRDefault="00463A5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D9BA5" w14:textId="77777777" w:rsidR="00463A52" w:rsidRDefault="00463A5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D10A9" w14:textId="77777777" w:rsidR="00463A52" w:rsidRDefault="00463A5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B689B" w14:textId="77777777" w:rsidR="00463A52" w:rsidRDefault="00463A5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26224" w14:textId="77777777" w:rsidR="00463A52" w:rsidRDefault="00463A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D5944"/>
    <w:multiLevelType w:val="multilevel"/>
    <w:tmpl w:val="28C20740"/>
    <w:lvl w:ilvl="0">
      <w:start w:val="1"/>
      <w:numFmt w:val="upperRoman"/>
      <w:pStyle w:val="Heading1"/>
      <w:lvlText w:val="%1."/>
      <w:lvlJc w:val="left"/>
      <w:pPr>
        <w:tabs>
          <w:tab w:val="num" w:pos="720"/>
        </w:tabs>
        <w:ind w:left="720" w:hanging="720"/>
      </w:pPr>
      <w:rPr>
        <w:b/>
        <w:caps w:val="0"/>
        <w:vanish w:val="0"/>
        <w:color w:val="010000"/>
        <w:u w:val="none"/>
      </w:rPr>
    </w:lvl>
    <w:lvl w:ilvl="1">
      <w:start w:val="1"/>
      <w:numFmt w:val="upperLetter"/>
      <w:pStyle w:val="Heading2"/>
      <w:lvlText w:val="%2."/>
      <w:lvlJc w:val="left"/>
      <w:pPr>
        <w:tabs>
          <w:tab w:val="num" w:pos="1440"/>
        </w:tabs>
        <w:ind w:left="1440" w:hanging="720"/>
      </w:pPr>
      <w:rPr>
        <w:b/>
        <w:caps w:val="0"/>
        <w:vanish w:val="0"/>
        <w:color w:val="010000"/>
        <w:u w:val="none"/>
      </w:rPr>
    </w:lvl>
    <w:lvl w:ilvl="2">
      <w:start w:val="1"/>
      <w:numFmt w:val="decimal"/>
      <w:pStyle w:val="Heading3"/>
      <w:lvlText w:val="%3."/>
      <w:lvlJc w:val="left"/>
      <w:pPr>
        <w:tabs>
          <w:tab w:val="num" w:pos="2160"/>
        </w:tabs>
        <w:ind w:left="2160" w:hanging="720"/>
      </w:pPr>
      <w:rPr>
        <w:b/>
        <w:i w:val="0"/>
        <w:caps w:val="0"/>
        <w:vanish w:val="0"/>
        <w:color w:val="010000"/>
        <w:u w:val="none"/>
      </w:rPr>
    </w:lvl>
    <w:lvl w:ilvl="3">
      <w:start w:val="1"/>
      <w:numFmt w:val="lowerLetter"/>
      <w:pStyle w:val="Heading4"/>
      <w:lvlText w:val="%4."/>
      <w:lvlJc w:val="left"/>
      <w:pPr>
        <w:tabs>
          <w:tab w:val="num" w:pos="2880"/>
        </w:tabs>
        <w:ind w:left="2880" w:hanging="720"/>
      </w:pPr>
      <w:rPr>
        <w:b/>
        <w:i/>
        <w:caps w:val="0"/>
        <w:vanish w:val="0"/>
        <w:color w:val="010000"/>
        <w:u w:val="none"/>
      </w:rPr>
    </w:lvl>
    <w:lvl w:ilvl="4">
      <w:start w:val="1"/>
      <w:numFmt w:val="lowerRoman"/>
      <w:pStyle w:val="Heading5"/>
      <w:lvlText w:val="%5."/>
      <w:lvlJc w:val="left"/>
      <w:pPr>
        <w:tabs>
          <w:tab w:val="num" w:pos="3600"/>
        </w:tabs>
        <w:ind w:left="3600" w:hanging="720"/>
      </w:pPr>
      <w:rPr>
        <w:caps w:val="0"/>
        <w:vanish w:val="0"/>
        <w:color w:val="010000"/>
        <w:u w:val="none"/>
      </w:rPr>
    </w:lvl>
    <w:lvl w:ilvl="5">
      <w:start w:val="1"/>
      <w:numFmt w:val="lowerLetter"/>
      <w:pStyle w:val="Heading6"/>
      <w:lvlText w:val="(%6)"/>
      <w:lvlJc w:val="left"/>
      <w:pPr>
        <w:tabs>
          <w:tab w:val="num" w:pos="4320"/>
        </w:tabs>
        <w:ind w:left="4320" w:hanging="720"/>
      </w:pPr>
      <w:rPr>
        <w:caps w:val="0"/>
        <w:vanish w:val="0"/>
        <w:color w:val="010000"/>
        <w:u w:val="none"/>
      </w:rPr>
    </w:lvl>
    <w:lvl w:ilvl="6">
      <w:start w:val="1"/>
      <w:numFmt w:val="decimal"/>
      <w:pStyle w:val="Heading7"/>
      <w:lvlText w:val="(%7)"/>
      <w:lvlJc w:val="left"/>
      <w:pPr>
        <w:tabs>
          <w:tab w:val="num" w:pos="5040"/>
        </w:tabs>
        <w:ind w:left="5040" w:hanging="720"/>
      </w:pPr>
      <w:rPr>
        <w:caps w:val="0"/>
        <w:vanish w:val="0"/>
        <w:color w:val="010000"/>
        <w:u w:val="none"/>
      </w:rPr>
    </w:lvl>
    <w:lvl w:ilvl="7">
      <w:start w:val="1"/>
      <w:numFmt w:val="lowerRoman"/>
      <w:pStyle w:val="Heading8"/>
      <w:lvlText w:val="%8)"/>
      <w:lvlJc w:val="left"/>
      <w:pPr>
        <w:tabs>
          <w:tab w:val="num" w:pos="5760"/>
        </w:tabs>
        <w:ind w:left="5760" w:hanging="720"/>
      </w:pPr>
      <w:rPr>
        <w:caps w:val="0"/>
        <w:vanish w:val="0"/>
        <w:color w:val="010000"/>
        <w:u w:val="none"/>
      </w:rPr>
    </w:lvl>
    <w:lvl w:ilvl="8">
      <w:start w:val="1"/>
      <w:numFmt w:val="lowerLetter"/>
      <w:pStyle w:val="Heading9"/>
      <w:lvlText w:val="%9)"/>
      <w:lvlJc w:val="left"/>
      <w:pPr>
        <w:tabs>
          <w:tab w:val="num" w:pos="6480"/>
        </w:tabs>
        <w:ind w:left="6480" w:hanging="720"/>
      </w:pPr>
      <w:rPr>
        <w:caps w:val="0"/>
        <w:vanish w:val="0"/>
        <w:color w:val="010000"/>
        <w:u w:val="none"/>
      </w:rPr>
    </w:lvl>
  </w:abstractNum>
  <w:abstractNum w:abstractNumId="1" w15:restartNumberingAfterBreak="0">
    <w:nsid w:val="3E3C4DB0"/>
    <w:multiLevelType w:val="hybridMultilevel"/>
    <w:tmpl w:val="A32650F8"/>
    <w:lvl w:ilvl="0" w:tplc="C9F671E0">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70D269EE"/>
    <w:multiLevelType w:val="hybridMultilevel"/>
    <w:tmpl w:val="133E9BFA"/>
    <w:name w:val="(Unnamed Numbering Scheme)"/>
    <w:lvl w:ilvl="0" w:tplc="171E574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dedNumberingSchemes" w:val="&lt;?xml version=&quot;1.0&quot; encoding=&quot;utf-16&quot;?&gt;&lt;ArrayOfAddedNumberingScheme xmlns:xsi=&quot;http://www.w3.org/2001/XMLSchema-instance&quot; xmlns:xsd=&quot;http://www.w3.org/2001/XMLSchema&quot;&gt;&lt;AddedNumberingScheme&gt;&lt;SelectedNumberingScheme&gt;&lt;LastUpdated&gt;0001-01-01T00:00:00&lt;/LastUpdated&gt;&lt;NumberingSchemeID&gt;1&lt;/NumberingSchemeID&gt;&lt;SortOrder&gt;0&lt;/SortOrder&gt;&lt;Name&gt;IEU-Ohio Headings&lt;/Name&gt;&lt;Description&gt; &lt;/Description&gt;&lt;FilterID&gt;0&lt;/FilterID&gt;&lt;CustomTOCAttached&gt;false&lt;/CustomTOCAttached&gt;&lt;DefaultTOCSchemeID&gt;0&lt;/DefaultTOCSchemeID&gt;&lt;BitMapID&gt;2&lt;/BitMapID&gt;&lt;Hidden&gt;false&lt;/Hidden&gt;&lt;ListIndexUsed&gt;0&lt;/ListIndexUsed&gt;&lt;CapturedDocument&gt;M:\CLIENTS\18480\0067\C46880.DOCX&lt;/CapturedDocument&gt;&lt;CreatedByEndUser&gt;true&lt;/CreatedByEndUser&gt;&lt;ConnectionType&gt;User&lt;/ConnectionType&gt;&lt;EnforceSchemeFont&gt;false&lt;/EnforceSchemeFont&gt;&lt;/SelectedNumberingScheme&gt;&lt;SelectedSchemeFilter&gt;&lt;LastUpdated&gt;0001-01-01T00:00:00&lt;/LastUpdated&gt;&lt;FilterID&gt;2&lt;/FilterID&gt;&lt;FilterName&gt;User-Defined Numbering Schemes&lt;/FilterName&gt;&lt;FilterNameFrench&gt;Schémas de numérotation définis par l'utilisateur&lt;/FilterNameFrench&gt;&lt;UserDatabaseOnly&gt;true&lt;/UserDatabaseOnly&gt;&lt;Default&gt;true&lt;/Default&gt;&lt;SortPosition&gt;2&lt;/SortPosition&gt;&lt;/SelectedSchemeFilter&gt;&lt;SelectedNumberingSchemeOptions /&gt;&lt;Index&gt;1&lt;/Index&gt;&lt;/AddedNumberingScheme&gt;&lt;/ArrayOfAddedNumberingScheme&gt;"/>
    <w:docVar w:name="CenterLevel1TOC" w:val="False"/>
    <w:docVar w:name="EnforceSchemeFont" w:val="False"/>
    <w:docVar w:name="ExcludeDirectFormattingInTOC1" w:val="False"/>
    <w:docVar w:name="IncludeTOCAndPageHeadings" w:val="True"/>
    <w:docVar w:name="LastSchemeChoice" w:val="IEU-Ohio Headings"/>
    <w:docVar w:name="LastSchemeUniqueID" w:val="1"/>
    <w:docVar w:name="LegacyNa" w:val="False"/>
    <w:docVar w:name="NoNumberLevel1TOC" w:val="False"/>
    <w:docVar w:name="TOCFormatConst" w:val="0"/>
    <w:docVar w:name="TOCFormatPreference" w:val="Leave TOC styles 'as is' in current document (default)"/>
    <w:docVar w:name="TOCHeadingAllCaps" w:val="False"/>
    <w:docVar w:name="TOCHeadingUnderlined" w:val="False"/>
    <w:docVar w:name="TOCIncludeSectionBreaks1" w:val="False"/>
    <w:docVar w:name="TOCPageUnderlined" w:val="False"/>
    <w:docVar w:name="TOCPosition" w:val="4"/>
    <w:docVar w:name="TOCRun" w:val="True"/>
    <w:docVar w:name="TOCSpecialLevels1" w:val="False"/>
    <w:docVar w:name="UnderlineTOCLevel1" w:val="False"/>
    <w:docVar w:name="UpperLevelTOC" w:val="3"/>
  </w:docVars>
  <w:rsids>
    <w:rsidRoot w:val="0093110F"/>
    <w:rsid w:val="00006793"/>
    <w:rsid w:val="0000766E"/>
    <w:rsid w:val="0001072F"/>
    <w:rsid w:val="00012D8F"/>
    <w:rsid w:val="000160B6"/>
    <w:rsid w:val="00022216"/>
    <w:rsid w:val="000242D8"/>
    <w:rsid w:val="00031BB5"/>
    <w:rsid w:val="0003342B"/>
    <w:rsid w:val="00036EFD"/>
    <w:rsid w:val="000409CB"/>
    <w:rsid w:val="00047886"/>
    <w:rsid w:val="00047DE5"/>
    <w:rsid w:val="00054C2E"/>
    <w:rsid w:val="000551F0"/>
    <w:rsid w:val="0005602E"/>
    <w:rsid w:val="0005730D"/>
    <w:rsid w:val="00060636"/>
    <w:rsid w:val="00071A0C"/>
    <w:rsid w:val="00087C8D"/>
    <w:rsid w:val="00092D57"/>
    <w:rsid w:val="000934F5"/>
    <w:rsid w:val="0009351C"/>
    <w:rsid w:val="00095339"/>
    <w:rsid w:val="000959E3"/>
    <w:rsid w:val="000A2AF2"/>
    <w:rsid w:val="000A5199"/>
    <w:rsid w:val="000A5338"/>
    <w:rsid w:val="000A6C3F"/>
    <w:rsid w:val="000A7DD0"/>
    <w:rsid w:val="000B2F8E"/>
    <w:rsid w:val="000C41DB"/>
    <w:rsid w:val="000C57C8"/>
    <w:rsid w:val="000D5632"/>
    <w:rsid w:val="000D5723"/>
    <w:rsid w:val="000E39EB"/>
    <w:rsid w:val="000E4119"/>
    <w:rsid w:val="000E467B"/>
    <w:rsid w:val="000E7262"/>
    <w:rsid w:val="000F1683"/>
    <w:rsid w:val="000F2197"/>
    <w:rsid w:val="000F51B8"/>
    <w:rsid w:val="000F7DA8"/>
    <w:rsid w:val="000F7E4B"/>
    <w:rsid w:val="00101046"/>
    <w:rsid w:val="00101CC0"/>
    <w:rsid w:val="00102952"/>
    <w:rsid w:val="00104F8D"/>
    <w:rsid w:val="00112F85"/>
    <w:rsid w:val="0011548E"/>
    <w:rsid w:val="001252CE"/>
    <w:rsid w:val="00133EBE"/>
    <w:rsid w:val="001358A2"/>
    <w:rsid w:val="00144ED3"/>
    <w:rsid w:val="0014769C"/>
    <w:rsid w:val="00150F55"/>
    <w:rsid w:val="0015511E"/>
    <w:rsid w:val="00155ABE"/>
    <w:rsid w:val="001605A5"/>
    <w:rsid w:val="001620E4"/>
    <w:rsid w:val="00170AE7"/>
    <w:rsid w:val="0017189D"/>
    <w:rsid w:val="00172D86"/>
    <w:rsid w:val="00177050"/>
    <w:rsid w:val="001813F1"/>
    <w:rsid w:val="00181449"/>
    <w:rsid w:val="00181BBA"/>
    <w:rsid w:val="001A46F1"/>
    <w:rsid w:val="001A6E7E"/>
    <w:rsid w:val="001B180F"/>
    <w:rsid w:val="001C5EE8"/>
    <w:rsid w:val="001C6852"/>
    <w:rsid w:val="001C738B"/>
    <w:rsid w:val="001D126E"/>
    <w:rsid w:val="001D1712"/>
    <w:rsid w:val="001D36FA"/>
    <w:rsid w:val="001E1BD4"/>
    <w:rsid w:val="001E2AB6"/>
    <w:rsid w:val="001E4E5B"/>
    <w:rsid w:val="001E5C4B"/>
    <w:rsid w:val="001E6749"/>
    <w:rsid w:val="001F4312"/>
    <w:rsid w:val="00201FC8"/>
    <w:rsid w:val="002026F3"/>
    <w:rsid w:val="0020646B"/>
    <w:rsid w:val="00211E0F"/>
    <w:rsid w:val="002161EA"/>
    <w:rsid w:val="00217E3F"/>
    <w:rsid w:val="0022180E"/>
    <w:rsid w:val="00233099"/>
    <w:rsid w:val="002336D6"/>
    <w:rsid w:val="0026036C"/>
    <w:rsid w:val="00260A03"/>
    <w:rsid w:val="00260C20"/>
    <w:rsid w:val="00261EC8"/>
    <w:rsid w:val="00263028"/>
    <w:rsid w:val="00265640"/>
    <w:rsid w:val="002710BC"/>
    <w:rsid w:val="00275346"/>
    <w:rsid w:val="00295916"/>
    <w:rsid w:val="002A17C4"/>
    <w:rsid w:val="002A185F"/>
    <w:rsid w:val="002A3E9C"/>
    <w:rsid w:val="002A69E9"/>
    <w:rsid w:val="002B351B"/>
    <w:rsid w:val="002C4FAC"/>
    <w:rsid w:val="002D0748"/>
    <w:rsid w:val="002D28E1"/>
    <w:rsid w:val="002D2B4E"/>
    <w:rsid w:val="002D39FB"/>
    <w:rsid w:val="002D4874"/>
    <w:rsid w:val="002D551C"/>
    <w:rsid w:val="002E09A3"/>
    <w:rsid w:val="002E29BD"/>
    <w:rsid w:val="002E4FFE"/>
    <w:rsid w:val="002E58D5"/>
    <w:rsid w:val="002F04E0"/>
    <w:rsid w:val="002F0611"/>
    <w:rsid w:val="002F0CE0"/>
    <w:rsid w:val="002F40D3"/>
    <w:rsid w:val="002F6CC9"/>
    <w:rsid w:val="00304369"/>
    <w:rsid w:val="00305BA4"/>
    <w:rsid w:val="003114AB"/>
    <w:rsid w:val="0031451B"/>
    <w:rsid w:val="00316379"/>
    <w:rsid w:val="00321976"/>
    <w:rsid w:val="003349A6"/>
    <w:rsid w:val="0033581C"/>
    <w:rsid w:val="003416D5"/>
    <w:rsid w:val="00342A3F"/>
    <w:rsid w:val="00343047"/>
    <w:rsid w:val="003432C4"/>
    <w:rsid w:val="00346B25"/>
    <w:rsid w:val="0035176A"/>
    <w:rsid w:val="00352B09"/>
    <w:rsid w:val="00353602"/>
    <w:rsid w:val="00353D12"/>
    <w:rsid w:val="003574BA"/>
    <w:rsid w:val="003602B8"/>
    <w:rsid w:val="00360362"/>
    <w:rsid w:val="0036036E"/>
    <w:rsid w:val="00370623"/>
    <w:rsid w:val="00372EB2"/>
    <w:rsid w:val="00383AEF"/>
    <w:rsid w:val="0039059B"/>
    <w:rsid w:val="003A6986"/>
    <w:rsid w:val="003B119E"/>
    <w:rsid w:val="003B178A"/>
    <w:rsid w:val="003B2009"/>
    <w:rsid w:val="003B537D"/>
    <w:rsid w:val="003B7EA6"/>
    <w:rsid w:val="003C45D4"/>
    <w:rsid w:val="003D0CED"/>
    <w:rsid w:val="003E07E8"/>
    <w:rsid w:val="003E1A88"/>
    <w:rsid w:val="003E4F89"/>
    <w:rsid w:val="003F7085"/>
    <w:rsid w:val="00406C39"/>
    <w:rsid w:val="00406CFE"/>
    <w:rsid w:val="004077F4"/>
    <w:rsid w:val="0041152E"/>
    <w:rsid w:val="00412E9A"/>
    <w:rsid w:val="0041780E"/>
    <w:rsid w:val="00441502"/>
    <w:rsid w:val="0044243D"/>
    <w:rsid w:val="0044580A"/>
    <w:rsid w:val="00451CE6"/>
    <w:rsid w:val="004525E0"/>
    <w:rsid w:val="004628C8"/>
    <w:rsid w:val="00463349"/>
    <w:rsid w:val="00463A52"/>
    <w:rsid w:val="00464814"/>
    <w:rsid w:val="00465027"/>
    <w:rsid w:val="00486F84"/>
    <w:rsid w:val="004973DF"/>
    <w:rsid w:val="004B2022"/>
    <w:rsid w:val="004B2BB1"/>
    <w:rsid w:val="004B589D"/>
    <w:rsid w:val="004B7629"/>
    <w:rsid w:val="004B7A0E"/>
    <w:rsid w:val="004C57A5"/>
    <w:rsid w:val="004C7642"/>
    <w:rsid w:val="004D20E9"/>
    <w:rsid w:val="004E44C0"/>
    <w:rsid w:val="004E4B80"/>
    <w:rsid w:val="004E5DAC"/>
    <w:rsid w:val="004E60D3"/>
    <w:rsid w:val="004E7991"/>
    <w:rsid w:val="004F3CE6"/>
    <w:rsid w:val="004F45D4"/>
    <w:rsid w:val="00500752"/>
    <w:rsid w:val="005019D1"/>
    <w:rsid w:val="005107B1"/>
    <w:rsid w:val="00511262"/>
    <w:rsid w:val="005222CC"/>
    <w:rsid w:val="00523419"/>
    <w:rsid w:val="00523E02"/>
    <w:rsid w:val="0052532C"/>
    <w:rsid w:val="0052772B"/>
    <w:rsid w:val="005307A1"/>
    <w:rsid w:val="00540DAC"/>
    <w:rsid w:val="00546FAD"/>
    <w:rsid w:val="00547F79"/>
    <w:rsid w:val="00556491"/>
    <w:rsid w:val="0056015D"/>
    <w:rsid w:val="005601E1"/>
    <w:rsid w:val="005612A9"/>
    <w:rsid w:val="00562EA8"/>
    <w:rsid w:val="00563102"/>
    <w:rsid w:val="0056487F"/>
    <w:rsid w:val="005714BF"/>
    <w:rsid w:val="00574364"/>
    <w:rsid w:val="005763A5"/>
    <w:rsid w:val="0058558E"/>
    <w:rsid w:val="00586AEF"/>
    <w:rsid w:val="00587978"/>
    <w:rsid w:val="00587F8A"/>
    <w:rsid w:val="00591D51"/>
    <w:rsid w:val="005A0EA8"/>
    <w:rsid w:val="005A5543"/>
    <w:rsid w:val="005B0E6A"/>
    <w:rsid w:val="005B23CF"/>
    <w:rsid w:val="005B6A6D"/>
    <w:rsid w:val="005C18B8"/>
    <w:rsid w:val="005C47B2"/>
    <w:rsid w:val="005C62BE"/>
    <w:rsid w:val="005D3EA8"/>
    <w:rsid w:val="005D4D14"/>
    <w:rsid w:val="005D5F8D"/>
    <w:rsid w:val="005D760B"/>
    <w:rsid w:val="005D795E"/>
    <w:rsid w:val="005F2DE1"/>
    <w:rsid w:val="005F3D46"/>
    <w:rsid w:val="005F4B5A"/>
    <w:rsid w:val="006038FC"/>
    <w:rsid w:val="00607F08"/>
    <w:rsid w:val="00623F9B"/>
    <w:rsid w:val="00625435"/>
    <w:rsid w:val="00630700"/>
    <w:rsid w:val="00635302"/>
    <w:rsid w:val="006369CA"/>
    <w:rsid w:val="006407F0"/>
    <w:rsid w:val="0064093F"/>
    <w:rsid w:val="006419E1"/>
    <w:rsid w:val="00642EA0"/>
    <w:rsid w:val="006524BB"/>
    <w:rsid w:val="006548CC"/>
    <w:rsid w:val="00657A86"/>
    <w:rsid w:val="006619F4"/>
    <w:rsid w:val="00664A97"/>
    <w:rsid w:val="00665258"/>
    <w:rsid w:val="00674A73"/>
    <w:rsid w:val="00675D2E"/>
    <w:rsid w:val="0068458A"/>
    <w:rsid w:val="00686204"/>
    <w:rsid w:val="00686338"/>
    <w:rsid w:val="00686767"/>
    <w:rsid w:val="00692B20"/>
    <w:rsid w:val="00694231"/>
    <w:rsid w:val="006A139E"/>
    <w:rsid w:val="006B5402"/>
    <w:rsid w:val="006C40D7"/>
    <w:rsid w:val="006C5551"/>
    <w:rsid w:val="006D0CD9"/>
    <w:rsid w:val="006D52DB"/>
    <w:rsid w:val="006D5D01"/>
    <w:rsid w:val="006E6C0F"/>
    <w:rsid w:val="006F13C5"/>
    <w:rsid w:val="006F1DE9"/>
    <w:rsid w:val="006F2993"/>
    <w:rsid w:val="006F34CD"/>
    <w:rsid w:val="00705781"/>
    <w:rsid w:val="007118C7"/>
    <w:rsid w:val="00717ADF"/>
    <w:rsid w:val="00720F91"/>
    <w:rsid w:val="00732F8D"/>
    <w:rsid w:val="00734BBE"/>
    <w:rsid w:val="00737050"/>
    <w:rsid w:val="007439FE"/>
    <w:rsid w:val="007470E8"/>
    <w:rsid w:val="00756EDF"/>
    <w:rsid w:val="007573BA"/>
    <w:rsid w:val="007618E9"/>
    <w:rsid w:val="00762EBD"/>
    <w:rsid w:val="00766AC4"/>
    <w:rsid w:val="0077046E"/>
    <w:rsid w:val="00771E22"/>
    <w:rsid w:val="007777B8"/>
    <w:rsid w:val="00781B37"/>
    <w:rsid w:val="0078611B"/>
    <w:rsid w:val="00787D2D"/>
    <w:rsid w:val="0079346F"/>
    <w:rsid w:val="007A0ABF"/>
    <w:rsid w:val="007A2250"/>
    <w:rsid w:val="007A2663"/>
    <w:rsid w:val="007A6DFB"/>
    <w:rsid w:val="007B0A54"/>
    <w:rsid w:val="007B69EC"/>
    <w:rsid w:val="007C2E8C"/>
    <w:rsid w:val="007D236D"/>
    <w:rsid w:val="007D4277"/>
    <w:rsid w:val="007D6F85"/>
    <w:rsid w:val="007E0491"/>
    <w:rsid w:val="007E61C0"/>
    <w:rsid w:val="007F04F6"/>
    <w:rsid w:val="007F3DCC"/>
    <w:rsid w:val="007F5F7F"/>
    <w:rsid w:val="00800526"/>
    <w:rsid w:val="00806F25"/>
    <w:rsid w:val="008110B8"/>
    <w:rsid w:val="008219F7"/>
    <w:rsid w:val="00827EB9"/>
    <w:rsid w:val="0083470A"/>
    <w:rsid w:val="00835782"/>
    <w:rsid w:val="00843246"/>
    <w:rsid w:val="00844012"/>
    <w:rsid w:val="0085259D"/>
    <w:rsid w:val="00853169"/>
    <w:rsid w:val="00866CA1"/>
    <w:rsid w:val="0087708B"/>
    <w:rsid w:val="00877171"/>
    <w:rsid w:val="008777D1"/>
    <w:rsid w:val="00880969"/>
    <w:rsid w:val="0088195D"/>
    <w:rsid w:val="008843F5"/>
    <w:rsid w:val="008879C3"/>
    <w:rsid w:val="00892483"/>
    <w:rsid w:val="00895CFB"/>
    <w:rsid w:val="008A1D03"/>
    <w:rsid w:val="008A31B0"/>
    <w:rsid w:val="008A6E9F"/>
    <w:rsid w:val="008B3C61"/>
    <w:rsid w:val="008B45D1"/>
    <w:rsid w:val="008B6FA4"/>
    <w:rsid w:val="008C645A"/>
    <w:rsid w:val="008D1FB8"/>
    <w:rsid w:val="008D6EC5"/>
    <w:rsid w:val="008E3BF4"/>
    <w:rsid w:val="008E7CFE"/>
    <w:rsid w:val="008E7D73"/>
    <w:rsid w:val="008F7577"/>
    <w:rsid w:val="00900565"/>
    <w:rsid w:val="0091707E"/>
    <w:rsid w:val="00923531"/>
    <w:rsid w:val="0093110F"/>
    <w:rsid w:val="00932561"/>
    <w:rsid w:val="00936847"/>
    <w:rsid w:val="009405DE"/>
    <w:rsid w:val="00941B43"/>
    <w:rsid w:val="00944309"/>
    <w:rsid w:val="00945100"/>
    <w:rsid w:val="00960C25"/>
    <w:rsid w:val="00965255"/>
    <w:rsid w:val="00970B84"/>
    <w:rsid w:val="009756D1"/>
    <w:rsid w:val="009845E9"/>
    <w:rsid w:val="00986D34"/>
    <w:rsid w:val="00987E3F"/>
    <w:rsid w:val="009913A4"/>
    <w:rsid w:val="009B0FBF"/>
    <w:rsid w:val="009B1404"/>
    <w:rsid w:val="009B558B"/>
    <w:rsid w:val="009D6B63"/>
    <w:rsid w:val="009E09D5"/>
    <w:rsid w:val="009E1F57"/>
    <w:rsid w:val="009E4D22"/>
    <w:rsid w:val="009F1FD7"/>
    <w:rsid w:val="009F494A"/>
    <w:rsid w:val="00A014E5"/>
    <w:rsid w:val="00A038C6"/>
    <w:rsid w:val="00A05E98"/>
    <w:rsid w:val="00A06B5D"/>
    <w:rsid w:val="00A11543"/>
    <w:rsid w:val="00A17BB3"/>
    <w:rsid w:val="00A2059E"/>
    <w:rsid w:val="00A20E1C"/>
    <w:rsid w:val="00A24336"/>
    <w:rsid w:val="00A303EF"/>
    <w:rsid w:val="00A32551"/>
    <w:rsid w:val="00A4161E"/>
    <w:rsid w:val="00A448B1"/>
    <w:rsid w:val="00A4531C"/>
    <w:rsid w:val="00A45E23"/>
    <w:rsid w:val="00A4670E"/>
    <w:rsid w:val="00A51255"/>
    <w:rsid w:val="00A57FDF"/>
    <w:rsid w:val="00A63437"/>
    <w:rsid w:val="00A642A2"/>
    <w:rsid w:val="00A7361F"/>
    <w:rsid w:val="00A83F20"/>
    <w:rsid w:val="00A84F8E"/>
    <w:rsid w:val="00A87ECE"/>
    <w:rsid w:val="00A9150A"/>
    <w:rsid w:val="00A9243F"/>
    <w:rsid w:val="00A93AB2"/>
    <w:rsid w:val="00A96A97"/>
    <w:rsid w:val="00AA4ACF"/>
    <w:rsid w:val="00AA4AD2"/>
    <w:rsid w:val="00AA5853"/>
    <w:rsid w:val="00AB024D"/>
    <w:rsid w:val="00AB7013"/>
    <w:rsid w:val="00AC3C38"/>
    <w:rsid w:val="00AC7147"/>
    <w:rsid w:val="00AC7A02"/>
    <w:rsid w:val="00AD133F"/>
    <w:rsid w:val="00AD67B9"/>
    <w:rsid w:val="00AE4F5B"/>
    <w:rsid w:val="00AE65AD"/>
    <w:rsid w:val="00AE6657"/>
    <w:rsid w:val="00AF76C9"/>
    <w:rsid w:val="00AF7DA8"/>
    <w:rsid w:val="00B00D02"/>
    <w:rsid w:val="00B023CE"/>
    <w:rsid w:val="00B023F5"/>
    <w:rsid w:val="00B042E1"/>
    <w:rsid w:val="00B0668B"/>
    <w:rsid w:val="00B07180"/>
    <w:rsid w:val="00B17E87"/>
    <w:rsid w:val="00B20F34"/>
    <w:rsid w:val="00B21FC4"/>
    <w:rsid w:val="00B25B8F"/>
    <w:rsid w:val="00B2620E"/>
    <w:rsid w:val="00B31877"/>
    <w:rsid w:val="00B331BF"/>
    <w:rsid w:val="00B40B3F"/>
    <w:rsid w:val="00B52B21"/>
    <w:rsid w:val="00B538EB"/>
    <w:rsid w:val="00B62938"/>
    <w:rsid w:val="00B75C72"/>
    <w:rsid w:val="00B80359"/>
    <w:rsid w:val="00B82AF7"/>
    <w:rsid w:val="00B82FB7"/>
    <w:rsid w:val="00B85094"/>
    <w:rsid w:val="00B85FC2"/>
    <w:rsid w:val="00B921AC"/>
    <w:rsid w:val="00B93705"/>
    <w:rsid w:val="00B96C74"/>
    <w:rsid w:val="00BA1E04"/>
    <w:rsid w:val="00BA4971"/>
    <w:rsid w:val="00BB558E"/>
    <w:rsid w:val="00BB55A9"/>
    <w:rsid w:val="00BD502F"/>
    <w:rsid w:val="00BE7B88"/>
    <w:rsid w:val="00BF55E4"/>
    <w:rsid w:val="00BF5FF5"/>
    <w:rsid w:val="00BF77D6"/>
    <w:rsid w:val="00C008BA"/>
    <w:rsid w:val="00C01F47"/>
    <w:rsid w:val="00C0405A"/>
    <w:rsid w:val="00C07893"/>
    <w:rsid w:val="00C112B8"/>
    <w:rsid w:val="00C12138"/>
    <w:rsid w:val="00C14058"/>
    <w:rsid w:val="00C14C60"/>
    <w:rsid w:val="00C15940"/>
    <w:rsid w:val="00C31B70"/>
    <w:rsid w:val="00C32E8A"/>
    <w:rsid w:val="00C335FC"/>
    <w:rsid w:val="00C37F5A"/>
    <w:rsid w:val="00C428B7"/>
    <w:rsid w:val="00C4335F"/>
    <w:rsid w:val="00C516D6"/>
    <w:rsid w:val="00C52B74"/>
    <w:rsid w:val="00C52DB9"/>
    <w:rsid w:val="00C533F5"/>
    <w:rsid w:val="00C563A4"/>
    <w:rsid w:val="00C56D00"/>
    <w:rsid w:val="00C73056"/>
    <w:rsid w:val="00C75F40"/>
    <w:rsid w:val="00C8156B"/>
    <w:rsid w:val="00C81645"/>
    <w:rsid w:val="00C9030E"/>
    <w:rsid w:val="00C94733"/>
    <w:rsid w:val="00CA12E2"/>
    <w:rsid w:val="00CA6595"/>
    <w:rsid w:val="00CB1394"/>
    <w:rsid w:val="00CB3303"/>
    <w:rsid w:val="00CB4EF4"/>
    <w:rsid w:val="00CB619F"/>
    <w:rsid w:val="00CC3DCA"/>
    <w:rsid w:val="00CC6D86"/>
    <w:rsid w:val="00CD25C3"/>
    <w:rsid w:val="00CD5F69"/>
    <w:rsid w:val="00CD7233"/>
    <w:rsid w:val="00CD7F28"/>
    <w:rsid w:val="00CE0EFA"/>
    <w:rsid w:val="00CE6B95"/>
    <w:rsid w:val="00CF3D04"/>
    <w:rsid w:val="00CF4638"/>
    <w:rsid w:val="00D00DD1"/>
    <w:rsid w:val="00D024AA"/>
    <w:rsid w:val="00D0421E"/>
    <w:rsid w:val="00D04D59"/>
    <w:rsid w:val="00D050B4"/>
    <w:rsid w:val="00D0650C"/>
    <w:rsid w:val="00D16403"/>
    <w:rsid w:val="00D17D91"/>
    <w:rsid w:val="00D23C2E"/>
    <w:rsid w:val="00D25A8C"/>
    <w:rsid w:val="00D27E74"/>
    <w:rsid w:val="00D311B7"/>
    <w:rsid w:val="00D315FF"/>
    <w:rsid w:val="00D371A4"/>
    <w:rsid w:val="00D40FD0"/>
    <w:rsid w:val="00D42766"/>
    <w:rsid w:val="00D56FC4"/>
    <w:rsid w:val="00D612CF"/>
    <w:rsid w:val="00D64ABC"/>
    <w:rsid w:val="00D677D1"/>
    <w:rsid w:val="00D67867"/>
    <w:rsid w:val="00D67D9A"/>
    <w:rsid w:val="00D712ED"/>
    <w:rsid w:val="00D71E2B"/>
    <w:rsid w:val="00D76966"/>
    <w:rsid w:val="00D81B8A"/>
    <w:rsid w:val="00D876A8"/>
    <w:rsid w:val="00D90D1C"/>
    <w:rsid w:val="00D90E5F"/>
    <w:rsid w:val="00DA18A6"/>
    <w:rsid w:val="00DA1A8C"/>
    <w:rsid w:val="00DA3EAD"/>
    <w:rsid w:val="00DA576F"/>
    <w:rsid w:val="00DB1420"/>
    <w:rsid w:val="00DB2072"/>
    <w:rsid w:val="00DB2516"/>
    <w:rsid w:val="00DB3000"/>
    <w:rsid w:val="00DB382A"/>
    <w:rsid w:val="00DD05E9"/>
    <w:rsid w:val="00DD0DDE"/>
    <w:rsid w:val="00DD5505"/>
    <w:rsid w:val="00DE2065"/>
    <w:rsid w:val="00DE4B8C"/>
    <w:rsid w:val="00DF030B"/>
    <w:rsid w:val="00E00424"/>
    <w:rsid w:val="00E0349F"/>
    <w:rsid w:val="00E11F66"/>
    <w:rsid w:val="00E13CA6"/>
    <w:rsid w:val="00E161EE"/>
    <w:rsid w:val="00E16B7A"/>
    <w:rsid w:val="00E20039"/>
    <w:rsid w:val="00E203C2"/>
    <w:rsid w:val="00E22D8C"/>
    <w:rsid w:val="00E32116"/>
    <w:rsid w:val="00E3614A"/>
    <w:rsid w:val="00E41245"/>
    <w:rsid w:val="00E41D8E"/>
    <w:rsid w:val="00E42556"/>
    <w:rsid w:val="00E44D1E"/>
    <w:rsid w:val="00E461C4"/>
    <w:rsid w:val="00E46C79"/>
    <w:rsid w:val="00E54FA2"/>
    <w:rsid w:val="00E77C52"/>
    <w:rsid w:val="00E87BB1"/>
    <w:rsid w:val="00E91A86"/>
    <w:rsid w:val="00E93481"/>
    <w:rsid w:val="00EA3250"/>
    <w:rsid w:val="00EC6864"/>
    <w:rsid w:val="00ED0A44"/>
    <w:rsid w:val="00ED6B96"/>
    <w:rsid w:val="00EE3A8D"/>
    <w:rsid w:val="00EE4E69"/>
    <w:rsid w:val="00EE74EA"/>
    <w:rsid w:val="00EF0399"/>
    <w:rsid w:val="00EF1930"/>
    <w:rsid w:val="00EF2EAF"/>
    <w:rsid w:val="00F01B32"/>
    <w:rsid w:val="00F06E2A"/>
    <w:rsid w:val="00F156E6"/>
    <w:rsid w:val="00F16AFD"/>
    <w:rsid w:val="00F1728C"/>
    <w:rsid w:val="00F17EFA"/>
    <w:rsid w:val="00F358F7"/>
    <w:rsid w:val="00F42511"/>
    <w:rsid w:val="00F44092"/>
    <w:rsid w:val="00F5215D"/>
    <w:rsid w:val="00F55BF9"/>
    <w:rsid w:val="00F61AA4"/>
    <w:rsid w:val="00F84FFD"/>
    <w:rsid w:val="00F9726A"/>
    <w:rsid w:val="00F97C25"/>
    <w:rsid w:val="00FB5B57"/>
    <w:rsid w:val="00FC3C7D"/>
    <w:rsid w:val="00FC66C4"/>
    <w:rsid w:val="00FD59B4"/>
    <w:rsid w:val="00FF1BC3"/>
    <w:rsid w:val="00FF7A92"/>
    <w:rsid w:val="00FF7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C882C7"/>
  <w15:chartTrackingRefBased/>
  <w15:docId w15:val="{A0520BAF-8751-4E89-9707-DFB70DC81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DA8"/>
  </w:style>
  <w:style w:type="paragraph" w:styleId="Heading1">
    <w:name w:val="heading 1"/>
    <w:basedOn w:val="Normal"/>
    <w:next w:val="Normal"/>
    <w:link w:val="Heading1Char"/>
    <w:uiPriority w:val="9"/>
    <w:qFormat/>
    <w:rsid w:val="00625435"/>
    <w:pPr>
      <w:numPr>
        <w:numId w:val="3"/>
      </w:numPr>
      <w:spacing w:after="240"/>
      <w:jc w:val="both"/>
      <w:outlineLvl w:val="0"/>
    </w:pPr>
    <w:rPr>
      <w:rFonts w:eastAsiaTheme="majorEastAsia" w:cs="Arial"/>
      <w:b/>
      <w:caps/>
      <w:szCs w:val="32"/>
      <w:u w:val="single"/>
    </w:rPr>
  </w:style>
  <w:style w:type="paragraph" w:styleId="Heading2">
    <w:name w:val="heading 2"/>
    <w:basedOn w:val="Normal"/>
    <w:next w:val="Normal"/>
    <w:link w:val="Heading2Char"/>
    <w:uiPriority w:val="9"/>
    <w:unhideWhenUsed/>
    <w:qFormat/>
    <w:rsid w:val="00625435"/>
    <w:pPr>
      <w:numPr>
        <w:ilvl w:val="1"/>
        <w:numId w:val="3"/>
      </w:numPr>
      <w:tabs>
        <w:tab w:val="left" w:pos="1440"/>
      </w:tabs>
      <w:spacing w:after="240"/>
      <w:jc w:val="both"/>
      <w:outlineLvl w:val="1"/>
    </w:pPr>
    <w:rPr>
      <w:rFonts w:eastAsiaTheme="majorEastAsia" w:cs="Arial"/>
      <w:b/>
      <w:szCs w:val="26"/>
    </w:rPr>
  </w:style>
  <w:style w:type="paragraph" w:styleId="Heading3">
    <w:name w:val="heading 3"/>
    <w:basedOn w:val="Normal"/>
    <w:next w:val="Normal"/>
    <w:link w:val="Heading3Char"/>
    <w:uiPriority w:val="9"/>
    <w:semiHidden/>
    <w:unhideWhenUsed/>
    <w:qFormat/>
    <w:rsid w:val="00625435"/>
    <w:pPr>
      <w:numPr>
        <w:ilvl w:val="2"/>
        <w:numId w:val="3"/>
      </w:numPr>
      <w:tabs>
        <w:tab w:val="left" w:pos="2160"/>
      </w:tabs>
      <w:spacing w:after="240"/>
      <w:jc w:val="both"/>
      <w:outlineLvl w:val="2"/>
    </w:pPr>
    <w:rPr>
      <w:rFonts w:eastAsiaTheme="majorEastAsia" w:cs="Arial"/>
      <w:b/>
    </w:rPr>
  </w:style>
  <w:style w:type="paragraph" w:styleId="Heading4">
    <w:name w:val="heading 4"/>
    <w:basedOn w:val="Normal"/>
    <w:next w:val="Normal"/>
    <w:link w:val="Heading4Char"/>
    <w:uiPriority w:val="9"/>
    <w:semiHidden/>
    <w:unhideWhenUsed/>
    <w:qFormat/>
    <w:rsid w:val="00625435"/>
    <w:pPr>
      <w:numPr>
        <w:ilvl w:val="3"/>
        <w:numId w:val="3"/>
      </w:numPr>
      <w:tabs>
        <w:tab w:val="left" w:pos="2880"/>
      </w:tabs>
      <w:spacing w:after="240"/>
      <w:jc w:val="both"/>
      <w:outlineLvl w:val="3"/>
    </w:pPr>
    <w:rPr>
      <w:rFonts w:eastAsiaTheme="majorEastAsia" w:cs="Arial"/>
      <w:b/>
      <w:i/>
      <w:iCs/>
    </w:rPr>
  </w:style>
  <w:style w:type="paragraph" w:styleId="Heading5">
    <w:name w:val="heading 5"/>
    <w:basedOn w:val="Normal"/>
    <w:next w:val="Normal"/>
    <w:link w:val="Heading5Char"/>
    <w:uiPriority w:val="9"/>
    <w:semiHidden/>
    <w:unhideWhenUsed/>
    <w:qFormat/>
    <w:rsid w:val="00625435"/>
    <w:pPr>
      <w:numPr>
        <w:ilvl w:val="4"/>
        <w:numId w:val="3"/>
      </w:numPr>
      <w:tabs>
        <w:tab w:val="left" w:pos="3600"/>
      </w:tabs>
      <w:spacing w:after="240"/>
      <w:jc w:val="both"/>
      <w:outlineLvl w:val="4"/>
    </w:pPr>
    <w:rPr>
      <w:rFonts w:eastAsiaTheme="majorEastAsia" w:cs="Arial"/>
      <w:color w:val="243F60"/>
    </w:rPr>
  </w:style>
  <w:style w:type="paragraph" w:styleId="Heading6">
    <w:name w:val="heading 6"/>
    <w:basedOn w:val="Normal"/>
    <w:next w:val="Normal"/>
    <w:link w:val="Heading6Char"/>
    <w:uiPriority w:val="9"/>
    <w:semiHidden/>
    <w:unhideWhenUsed/>
    <w:qFormat/>
    <w:rsid w:val="00625435"/>
    <w:pPr>
      <w:numPr>
        <w:ilvl w:val="5"/>
        <w:numId w:val="3"/>
      </w:numPr>
      <w:tabs>
        <w:tab w:val="left" w:pos="4320"/>
      </w:tabs>
      <w:spacing w:after="240"/>
      <w:jc w:val="both"/>
      <w:outlineLvl w:val="5"/>
    </w:pPr>
    <w:rPr>
      <w:rFonts w:eastAsiaTheme="majorEastAsia" w:cs="Arial"/>
      <w:color w:val="243F60"/>
    </w:rPr>
  </w:style>
  <w:style w:type="paragraph" w:styleId="Heading7">
    <w:name w:val="heading 7"/>
    <w:basedOn w:val="Normal"/>
    <w:next w:val="Normal"/>
    <w:link w:val="Heading7Char"/>
    <w:uiPriority w:val="9"/>
    <w:semiHidden/>
    <w:unhideWhenUsed/>
    <w:qFormat/>
    <w:rsid w:val="00625435"/>
    <w:pPr>
      <w:numPr>
        <w:ilvl w:val="6"/>
        <w:numId w:val="3"/>
      </w:numPr>
      <w:tabs>
        <w:tab w:val="left" w:pos="5040"/>
      </w:tabs>
      <w:spacing w:after="240"/>
      <w:jc w:val="both"/>
      <w:outlineLvl w:val="6"/>
    </w:pPr>
    <w:rPr>
      <w:rFonts w:eastAsiaTheme="majorEastAsia" w:cs="Arial"/>
      <w:iCs/>
      <w:color w:val="404040"/>
    </w:rPr>
  </w:style>
  <w:style w:type="paragraph" w:styleId="Heading8">
    <w:name w:val="heading 8"/>
    <w:basedOn w:val="Normal"/>
    <w:next w:val="Normal"/>
    <w:link w:val="Heading8Char"/>
    <w:uiPriority w:val="9"/>
    <w:semiHidden/>
    <w:unhideWhenUsed/>
    <w:qFormat/>
    <w:rsid w:val="00625435"/>
    <w:pPr>
      <w:numPr>
        <w:ilvl w:val="7"/>
        <w:numId w:val="3"/>
      </w:numPr>
      <w:tabs>
        <w:tab w:val="left" w:pos="5760"/>
      </w:tabs>
      <w:spacing w:after="240"/>
      <w:jc w:val="both"/>
      <w:outlineLvl w:val="7"/>
    </w:pPr>
    <w:rPr>
      <w:rFonts w:eastAsiaTheme="majorEastAsia" w:cs="Arial"/>
      <w:color w:val="404040"/>
      <w:szCs w:val="21"/>
    </w:rPr>
  </w:style>
  <w:style w:type="paragraph" w:styleId="Heading9">
    <w:name w:val="heading 9"/>
    <w:basedOn w:val="Normal"/>
    <w:next w:val="Normal"/>
    <w:link w:val="Heading9Char"/>
    <w:uiPriority w:val="9"/>
    <w:semiHidden/>
    <w:unhideWhenUsed/>
    <w:qFormat/>
    <w:rsid w:val="00625435"/>
    <w:pPr>
      <w:numPr>
        <w:ilvl w:val="8"/>
        <w:numId w:val="3"/>
      </w:numPr>
      <w:tabs>
        <w:tab w:val="left" w:pos="6480"/>
      </w:tabs>
      <w:spacing w:after="240"/>
      <w:jc w:val="both"/>
      <w:outlineLvl w:val="8"/>
    </w:pPr>
    <w:rPr>
      <w:rFonts w:eastAsiaTheme="majorEastAsia" w:cs="Arial"/>
      <w:iCs/>
      <w:color w:val="40404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4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D67B9"/>
    <w:rPr>
      <w:rFonts w:eastAsiaTheme="majorEastAsia" w:cs="Arial"/>
      <w:b/>
      <w:caps/>
      <w:szCs w:val="32"/>
      <w:u w:val="single"/>
    </w:rPr>
  </w:style>
  <w:style w:type="paragraph" w:styleId="NormalWeb">
    <w:name w:val="Normal (Web)"/>
    <w:basedOn w:val="Normal"/>
    <w:uiPriority w:val="99"/>
    <w:semiHidden/>
    <w:unhideWhenUsed/>
    <w:rsid w:val="00AD67B9"/>
    <w:rPr>
      <w:rFonts w:ascii="Times New Roman" w:hAnsi="Times New Roman" w:cs="Times New Roman"/>
    </w:rPr>
  </w:style>
  <w:style w:type="paragraph" w:styleId="FootnoteText">
    <w:name w:val="footnote text"/>
    <w:basedOn w:val="Normal"/>
    <w:link w:val="FootnoteTextChar"/>
    <w:uiPriority w:val="99"/>
    <w:semiHidden/>
    <w:unhideWhenUsed/>
    <w:rsid w:val="00AD67B9"/>
    <w:pPr>
      <w:jc w:val="both"/>
    </w:pPr>
    <w:rPr>
      <w:sz w:val="20"/>
      <w:szCs w:val="20"/>
    </w:rPr>
  </w:style>
  <w:style w:type="character" w:customStyle="1" w:styleId="FootnoteTextChar">
    <w:name w:val="Footnote Text Char"/>
    <w:basedOn w:val="DefaultParagraphFont"/>
    <w:link w:val="FootnoteText"/>
    <w:uiPriority w:val="99"/>
    <w:semiHidden/>
    <w:rsid w:val="00AD67B9"/>
    <w:rPr>
      <w:sz w:val="20"/>
      <w:szCs w:val="20"/>
    </w:rPr>
  </w:style>
  <w:style w:type="character" w:styleId="FootnoteReference">
    <w:name w:val="footnote reference"/>
    <w:aliases w:val="o,fr,(NECG) Footnote Reference,Style 17,Style 20,Style 13,Style 12,o1,fr1,o2,fr2,o3,fr3,Style 15,Style 8,Style 9,Style 18,Style 7,Style 19,Style 28,Style 42"/>
    <w:uiPriority w:val="99"/>
    <w:unhideWhenUsed/>
    <w:rsid w:val="00AD67B9"/>
    <w:rPr>
      <w:vertAlign w:val="superscript"/>
    </w:rPr>
  </w:style>
  <w:style w:type="character" w:customStyle="1" w:styleId="apple-converted-space">
    <w:name w:val="apple-converted-space"/>
    <w:basedOn w:val="DefaultParagraphFont"/>
    <w:rsid w:val="00AD67B9"/>
  </w:style>
  <w:style w:type="character" w:customStyle="1" w:styleId="ssit1">
    <w:name w:val="ss_it1"/>
    <w:basedOn w:val="DefaultParagraphFont"/>
    <w:rsid w:val="00AD67B9"/>
    <w:rPr>
      <w:i/>
      <w:iCs/>
    </w:rPr>
  </w:style>
  <w:style w:type="character" w:styleId="CommentReference">
    <w:name w:val="annotation reference"/>
    <w:basedOn w:val="DefaultParagraphFont"/>
    <w:uiPriority w:val="99"/>
    <w:semiHidden/>
    <w:unhideWhenUsed/>
    <w:rsid w:val="00E3614A"/>
    <w:rPr>
      <w:sz w:val="16"/>
      <w:szCs w:val="16"/>
    </w:rPr>
  </w:style>
  <w:style w:type="paragraph" w:styleId="CommentText">
    <w:name w:val="annotation text"/>
    <w:basedOn w:val="Normal"/>
    <w:link w:val="CommentTextChar"/>
    <w:uiPriority w:val="99"/>
    <w:semiHidden/>
    <w:unhideWhenUsed/>
    <w:rsid w:val="00E3614A"/>
    <w:rPr>
      <w:sz w:val="20"/>
      <w:szCs w:val="20"/>
    </w:rPr>
  </w:style>
  <w:style w:type="character" w:customStyle="1" w:styleId="CommentTextChar">
    <w:name w:val="Comment Text Char"/>
    <w:basedOn w:val="DefaultParagraphFont"/>
    <w:link w:val="CommentText"/>
    <w:uiPriority w:val="99"/>
    <w:semiHidden/>
    <w:rsid w:val="00E3614A"/>
    <w:rPr>
      <w:sz w:val="20"/>
      <w:szCs w:val="20"/>
    </w:rPr>
  </w:style>
  <w:style w:type="paragraph" w:styleId="CommentSubject">
    <w:name w:val="annotation subject"/>
    <w:basedOn w:val="CommentText"/>
    <w:next w:val="CommentText"/>
    <w:link w:val="CommentSubjectChar"/>
    <w:uiPriority w:val="99"/>
    <w:semiHidden/>
    <w:unhideWhenUsed/>
    <w:rsid w:val="00E3614A"/>
    <w:rPr>
      <w:b/>
      <w:bCs/>
    </w:rPr>
  </w:style>
  <w:style w:type="character" w:customStyle="1" w:styleId="CommentSubjectChar">
    <w:name w:val="Comment Subject Char"/>
    <w:basedOn w:val="CommentTextChar"/>
    <w:link w:val="CommentSubject"/>
    <w:uiPriority w:val="99"/>
    <w:semiHidden/>
    <w:rsid w:val="00E3614A"/>
    <w:rPr>
      <w:b/>
      <w:bCs/>
      <w:sz w:val="20"/>
      <w:szCs w:val="20"/>
    </w:rPr>
  </w:style>
  <w:style w:type="paragraph" w:styleId="BalloonText">
    <w:name w:val="Balloon Text"/>
    <w:basedOn w:val="Normal"/>
    <w:link w:val="BalloonTextChar"/>
    <w:uiPriority w:val="99"/>
    <w:semiHidden/>
    <w:unhideWhenUsed/>
    <w:rsid w:val="00E361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14A"/>
    <w:rPr>
      <w:rFonts w:ascii="Segoe UI" w:hAnsi="Segoe UI" w:cs="Segoe UI"/>
      <w:sz w:val="18"/>
      <w:szCs w:val="18"/>
    </w:rPr>
  </w:style>
  <w:style w:type="character" w:styleId="Hyperlink">
    <w:name w:val="Hyperlink"/>
    <w:basedOn w:val="DefaultParagraphFont"/>
    <w:uiPriority w:val="99"/>
    <w:unhideWhenUsed/>
    <w:rsid w:val="004F3CE6"/>
    <w:rPr>
      <w:color w:val="0000FF" w:themeColor="hyperlink"/>
      <w:u w:val="single"/>
    </w:rPr>
  </w:style>
  <w:style w:type="character" w:customStyle="1" w:styleId="Heading2Char">
    <w:name w:val="Heading 2 Char"/>
    <w:basedOn w:val="DefaultParagraphFont"/>
    <w:link w:val="Heading2"/>
    <w:uiPriority w:val="9"/>
    <w:rsid w:val="001C738B"/>
    <w:rPr>
      <w:rFonts w:eastAsiaTheme="majorEastAsia" w:cs="Arial"/>
      <w:b/>
      <w:szCs w:val="26"/>
    </w:rPr>
  </w:style>
  <w:style w:type="paragraph" w:styleId="ListParagraph">
    <w:name w:val="List Paragraph"/>
    <w:basedOn w:val="Normal"/>
    <w:uiPriority w:val="34"/>
    <w:qFormat/>
    <w:rsid w:val="00BB558E"/>
    <w:pPr>
      <w:ind w:left="720"/>
      <w:contextualSpacing/>
    </w:pPr>
  </w:style>
  <w:style w:type="character" w:customStyle="1" w:styleId="Heading3Char">
    <w:name w:val="Heading 3 Char"/>
    <w:basedOn w:val="DefaultParagraphFont"/>
    <w:link w:val="Heading3"/>
    <w:uiPriority w:val="9"/>
    <w:semiHidden/>
    <w:rsid w:val="00625435"/>
    <w:rPr>
      <w:rFonts w:eastAsiaTheme="majorEastAsia" w:cs="Arial"/>
      <w:b/>
    </w:rPr>
  </w:style>
  <w:style w:type="character" w:customStyle="1" w:styleId="Heading4Char">
    <w:name w:val="Heading 4 Char"/>
    <w:basedOn w:val="DefaultParagraphFont"/>
    <w:link w:val="Heading4"/>
    <w:uiPriority w:val="9"/>
    <w:semiHidden/>
    <w:rsid w:val="00625435"/>
    <w:rPr>
      <w:rFonts w:eastAsiaTheme="majorEastAsia" w:cs="Arial"/>
      <w:b/>
      <w:i/>
      <w:iCs/>
    </w:rPr>
  </w:style>
  <w:style w:type="character" w:customStyle="1" w:styleId="Heading5Char">
    <w:name w:val="Heading 5 Char"/>
    <w:basedOn w:val="DefaultParagraphFont"/>
    <w:link w:val="Heading5"/>
    <w:uiPriority w:val="9"/>
    <w:semiHidden/>
    <w:rsid w:val="00625435"/>
    <w:rPr>
      <w:rFonts w:eastAsiaTheme="majorEastAsia" w:cs="Arial"/>
      <w:color w:val="243F60"/>
    </w:rPr>
  </w:style>
  <w:style w:type="character" w:customStyle="1" w:styleId="Heading6Char">
    <w:name w:val="Heading 6 Char"/>
    <w:basedOn w:val="DefaultParagraphFont"/>
    <w:link w:val="Heading6"/>
    <w:uiPriority w:val="9"/>
    <w:semiHidden/>
    <w:rsid w:val="00625435"/>
    <w:rPr>
      <w:rFonts w:eastAsiaTheme="majorEastAsia" w:cs="Arial"/>
      <w:color w:val="243F60"/>
    </w:rPr>
  </w:style>
  <w:style w:type="character" w:customStyle="1" w:styleId="Heading7Char">
    <w:name w:val="Heading 7 Char"/>
    <w:basedOn w:val="DefaultParagraphFont"/>
    <w:link w:val="Heading7"/>
    <w:uiPriority w:val="9"/>
    <w:semiHidden/>
    <w:rsid w:val="00625435"/>
    <w:rPr>
      <w:rFonts w:eastAsiaTheme="majorEastAsia" w:cs="Arial"/>
      <w:iCs/>
      <w:color w:val="404040"/>
    </w:rPr>
  </w:style>
  <w:style w:type="character" w:customStyle="1" w:styleId="Heading8Char">
    <w:name w:val="Heading 8 Char"/>
    <w:basedOn w:val="DefaultParagraphFont"/>
    <w:link w:val="Heading8"/>
    <w:uiPriority w:val="9"/>
    <w:semiHidden/>
    <w:rsid w:val="00625435"/>
    <w:rPr>
      <w:rFonts w:eastAsiaTheme="majorEastAsia" w:cs="Arial"/>
      <w:color w:val="404040"/>
      <w:szCs w:val="21"/>
    </w:rPr>
  </w:style>
  <w:style w:type="character" w:customStyle="1" w:styleId="Heading9Char">
    <w:name w:val="Heading 9 Char"/>
    <w:basedOn w:val="DefaultParagraphFont"/>
    <w:link w:val="Heading9"/>
    <w:uiPriority w:val="9"/>
    <w:semiHidden/>
    <w:rsid w:val="00625435"/>
    <w:rPr>
      <w:rFonts w:eastAsiaTheme="majorEastAsia" w:cs="Arial"/>
      <w:iCs/>
      <w:color w:val="404040"/>
      <w:szCs w:val="21"/>
    </w:rPr>
  </w:style>
  <w:style w:type="paragraph" w:styleId="Header">
    <w:name w:val="header"/>
    <w:basedOn w:val="Normal"/>
    <w:link w:val="HeaderChar"/>
    <w:uiPriority w:val="99"/>
    <w:unhideWhenUsed/>
    <w:rsid w:val="00261EC8"/>
    <w:pPr>
      <w:tabs>
        <w:tab w:val="center" w:pos="4680"/>
        <w:tab w:val="right" w:pos="9360"/>
      </w:tabs>
    </w:pPr>
  </w:style>
  <w:style w:type="character" w:customStyle="1" w:styleId="HeaderChar">
    <w:name w:val="Header Char"/>
    <w:basedOn w:val="DefaultParagraphFont"/>
    <w:link w:val="Header"/>
    <w:uiPriority w:val="99"/>
    <w:rsid w:val="00261EC8"/>
  </w:style>
  <w:style w:type="paragraph" w:styleId="Footer">
    <w:name w:val="footer"/>
    <w:basedOn w:val="Normal"/>
    <w:link w:val="FooterChar"/>
    <w:uiPriority w:val="99"/>
    <w:unhideWhenUsed/>
    <w:rsid w:val="00261EC8"/>
    <w:pPr>
      <w:tabs>
        <w:tab w:val="center" w:pos="4680"/>
        <w:tab w:val="right" w:pos="9360"/>
      </w:tabs>
    </w:pPr>
  </w:style>
  <w:style w:type="character" w:customStyle="1" w:styleId="FooterChar">
    <w:name w:val="Footer Char"/>
    <w:basedOn w:val="DefaultParagraphFont"/>
    <w:link w:val="Footer"/>
    <w:uiPriority w:val="99"/>
    <w:rsid w:val="00261EC8"/>
  </w:style>
  <w:style w:type="paragraph" w:styleId="TOCHeading">
    <w:name w:val="TOC Heading"/>
    <w:basedOn w:val="Normal"/>
    <w:next w:val="TOC1"/>
    <w:uiPriority w:val="39"/>
    <w:unhideWhenUsed/>
    <w:qFormat/>
    <w:rsid w:val="00AE6657"/>
    <w:pPr>
      <w:keepNext/>
      <w:keepLines/>
      <w:spacing w:before="240" w:after="240"/>
      <w:jc w:val="center"/>
    </w:pPr>
    <w:rPr>
      <w:rFonts w:cs="Arial"/>
      <w:b/>
      <w:color w:val="000000"/>
    </w:rPr>
  </w:style>
  <w:style w:type="paragraph" w:styleId="TOC1">
    <w:name w:val="toc 1"/>
    <w:basedOn w:val="Normal"/>
    <w:next w:val="Normal"/>
    <w:autoRedefine/>
    <w:uiPriority w:val="39"/>
    <w:unhideWhenUsed/>
    <w:rsid w:val="00DE4B8C"/>
    <w:pPr>
      <w:tabs>
        <w:tab w:val="left" w:pos="720"/>
        <w:tab w:val="right" w:leader="dot" w:pos="9350"/>
      </w:tabs>
      <w:spacing w:after="100"/>
    </w:pPr>
  </w:style>
  <w:style w:type="paragraph" w:styleId="TOC2">
    <w:name w:val="toc 2"/>
    <w:basedOn w:val="Normal"/>
    <w:next w:val="Normal"/>
    <w:autoRedefine/>
    <w:uiPriority w:val="39"/>
    <w:unhideWhenUsed/>
    <w:rsid w:val="00686767"/>
    <w:pPr>
      <w:tabs>
        <w:tab w:val="left" w:pos="720"/>
        <w:tab w:val="left" w:pos="1440"/>
      </w:tabs>
      <w:spacing w:after="100"/>
      <w:ind w:left="1440" w:right="720" w:hanging="720"/>
      <w:jc w:val="both"/>
    </w:pPr>
  </w:style>
  <w:style w:type="paragraph" w:styleId="TOC3">
    <w:name w:val="toc 3"/>
    <w:basedOn w:val="Normal"/>
    <w:next w:val="Normal"/>
    <w:autoRedefine/>
    <w:uiPriority w:val="39"/>
    <w:semiHidden/>
    <w:unhideWhenUsed/>
    <w:rsid w:val="00AE6657"/>
    <w:pPr>
      <w:spacing w:after="100"/>
      <w:ind w:left="480"/>
    </w:pPr>
  </w:style>
  <w:style w:type="paragraph" w:styleId="TOC4">
    <w:name w:val="toc 4"/>
    <w:basedOn w:val="Normal"/>
    <w:next w:val="Normal"/>
    <w:autoRedefine/>
    <w:uiPriority w:val="39"/>
    <w:semiHidden/>
    <w:unhideWhenUsed/>
    <w:rsid w:val="00AE6657"/>
    <w:pPr>
      <w:spacing w:after="100"/>
      <w:ind w:left="720"/>
    </w:pPr>
  </w:style>
  <w:style w:type="paragraph" w:styleId="TOC5">
    <w:name w:val="toc 5"/>
    <w:basedOn w:val="Normal"/>
    <w:next w:val="Normal"/>
    <w:autoRedefine/>
    <w:uiPriority w:val="39"/>
    <w:semiHidden/>
    <w:unhideWhenUsed/>
    <w:rsid w:val="00AE6657"/>
    <w:pPr>
      <w:spacing w:after="100"/>
      <w:ind w:left="960"/>
    </w:pPr>
  </w:style>
  <w:style w:type="paragraph" w:styleId="TOC6">
    <w:name w:val="toc 6"/>
    <w:basedOn w:val="Normal"/>
    <w:next w:val="Normal"/>
    <w:autoRedefine/>
    <w:uiPriority w:val="39"/>
    <w:semiHidden/>
    <w:unhideWhenUsed/>
    <w:rsid w:val="00AE6657"/>
    <w:pPr>
      <w:spacing w:after="100"/>
      <w:ind w:left="1200"/>
    </w:pPr>
  </w:style>
  <w:style w:type="paragraph" w:styleId="TOC7">
    <w:name w:val="toc 7"/>
    <w:basedOn w:val="Normal"/>
    <w:next w:val="Normal"/>
    <w:autoRedefine/>
    <w:uiPriority w:val="39"/>
    <w:semiHidden/>
    <w:unhideWhenUsed/>
    <w:rsid w:val="00AE6657"/>
    <w:pPr>
      <w:spacing w:after="100"/>
      <w:ind w:left="1440"/>
    </w:pPr>
  </w:style>
  <w:style w:type="paragraph" w:styleId="TOC8">
    <w:name w:val="toc 8"/>
    <w:basedOn w:val="Normal"/>
    <w:next w:val="Normal"/>
    <w:autoRedefine/>
    <w:uiPriority w:val="39"/>
    <w:semiHidden/>
    <w:unhideWhenUsed/>
    <w:rsid w:val="00AE6657"/>
    <w:pPr>
      <w:spacing w:after="100"/>
      <w:ind w:left="1680"/>
    </w:pPr>
  </w:style>
  <w:style w:type="paragraph" w:styleId="TOC9">
    <w:name w:val="toc 9"/>
    <w:basedOn w:val="Normal"/>
    <w:next w:val="Normal"/>
    <w:autoRedefine/>
    <w:uiPriority w:val="39"/>
    <w:semiHidden/>
    <w:unhideWhenUsed/>
    <w:rsid w:val="00AE6657"/>
    <w:pPr>
      <w:spacing w:after="100"/>
      <w:ind w:left="1920"/>
    </w:pPr>
  </w:style>
  <w:style w:type="paragraph" w:customStyle="1" w:styleId="TOCPage">
    <w:name w:val="TOC Page"/>
    <w:basedOn w:val="Normal"/>
    <w:next w:val="Normal"/>
    <w:link w:val="TOCPageChar"/>
    <w:rsid w:val="00AE6657"/>
    <w:pPr>
      <w:spacing w:after="240"/>
      <w:jc w:val="right"/>
    </w:pPr>
    <w:rPr>
      <w:rFonts w:eastAsia="Times New Roman" w:cs="Arial"/>
      <w:b/>
      <w:color w:val="000000"/>
    </w:rPr>
  </w:style>
  <w:style w:type="character" w:customStyle="1" w:styleId="TOCPageChar">
    <w:name w:val="TOC Page Char"/>
    <w:basedOn w:val="DefaultParagraphFont"/>
    <w:link w:val="TOCPage"/>
    <w:rsid w:val="00AE6657"/>
    <w:rPr>
      <w:rFonts w:eastAsia="Times New Roman" w:cs="Arial"/>
      <w:b/>
      <w:color w:val="000000"/>
    </w:rPr>
  </w:style>
  <w:style w:type="paragraph" w:styleId="BodyText">
    <w:name w:val="Body Text"/>
    <w:basedOn w:val="Normal"/>
    <w:link w:val="BodyTextChar"/>
    <w:rsid w:val="00104F8D"/>
    <w:pPr>
      <w:jc w:val="both"/>
    </w:pPr>
    <w:rPr>
      <w:rFonts w:eastAsia="Times New Roman" w:cs="Arial"/>
    </w:rPr>
  </w:style>
  <w:style w:type="character" w:customStyle="1" w:styleId="BodyTextChar">
    <w:name w:val="Body Text Char"/>
    <w:basedOn w:val="DefaultParagraphFont"/>
    <w:link w:val="BodyText"/>
    <w:rsid w:val="00104F8D"/>
    <w:rPr>
      <w:rFonts w:eastAsia="Times New Roman"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0211">
      <w:bodyDiv w:val="1"/>
      <w:marLeft w:val="0"/>
      <w:marRight w:val="0"/>
      <w:marTop w:val="0"/>
      <w:marBottom w:val="0"/>
      <w:divBdr>
        <w:top w:val="none" w:sz="0" w:space="0" w:color="auto"/>
        <w:left w:val="none" w:sz="0" w:space="0" w:color="auto"/>
        <w:bottom w:val="none" w:sz="0" w:space="0" w:color="auto"/>
        <w:right w:val="none" w:sz="0" w:space="0" w:color="auto"/>
      </w:divBdr>
    </w:div>
    <w:div w:id="118454820">
      <w:bodyDiv w:val="1"/>
      <w:marLeft w:val="0"/>
      <w:marRight w:val="0"/>
      <w:marTop w:val="0"/>
      <w:marBottom w:val="0"/>
      <w:divBdr>
        <w:top w:val="none" w:sz="0" w:space="0" w:color="auto"/>
        <w:left w:val="none" w:sz="0" w:space="0" w:color="auto"/>
        <w:bottom w:val="none" w:sz="0" w:space="0" w:color="auto"/>
        <w:right w:val="none" w:sz="0" w:space="0" w:color="auto"/>
      </w:divBdr>
    </w:div>
    <w:div w:id="214243298">
      <w:bodyDiv w:val="1"/>
      <w:marLeft w:val="0"/>
      <w:marRight w:val="0"/>
      <w:marTop w:val="0"/>
      <w:marBottom w:val="0"/>
      <w:divBdr>
        <w:top w:val="none" w:sz="0" w:space="0" w:color="auto"/>
        <w:left w:val="none" w:sz="0" w:space="0" w:color="auto"/>
        <w:bottom w:val="none" w:sz="0" w:space="0" w:color="auto"/>
        <w:right w:val="none" w:sz="0" w:space="0" w:color="auto"/>
      </w:divBdr>
    </w:div>
    <w:div w:id="409159012">
      <w:bodyDiv w:val="1"/>
      <w:marLeft w:val="0"/>
      <w:marRight w:val="0"/>
      <w:marTop w:val="0"/>
      <w:marBottom w:val="0"/>
      <w:divBdr>
        <w:top w:val="none" w:sz="0" w:space="0" w:color="auto"/>
        <w:left w:val="none" w:sz="0" w:space="0" w:color="auto"/>
        <w:bottom w:val="none" w:sz="0" w:space="0" w:color="auto"/>
        <w:right w:val="none" w:sz="0" w:space="0" w:color="auto"/>
      </w:divBdr>
    </w:div>
    <w:div w:id="454178618">
      <w:bodyDiv w:val="1"/>
      <w:marLeft w:val="0"/>
      <w:marRight w:val="0"/>
      <w:marTop w:val="0"/>
      <w:marBottom w:val="0"/>
      <w:divBdr>
        <w:top w:val="none" w:sz="0" w:space="0" w:color="auto"/>
        <w:left w:val="none" w:sz="0" w:space="0" w:color="auto"/>
        <w:bottom w:val="none" w:sz="0" w:space="0" w:color="auto"/>
        <w:right w:val="none" w:sz="0" w:space="0" w:color="auto"/>
      </w:divBdr>
    </w:div>
    <w:div w:id="545526582">
      <w:bodyDiv w:val="1"/>
      <w:marLeft w:val="0"/>
      <w:marRight w:val="0"/>
      <w:marTop w:val="0"/>
      <w:marBottom w:val="0"/>
      <w:divBdr>
        <w:top w:val="none" w:sz="0" w:space="0" w:color="auto"/>
        <w:left w:val="none" w:sz="0" w:space="0" w:color="auto"/>
        <w:bottom w:val="none" w:sz="0" w:space="0" w:color="auto"/>
        <w:right w:val="none" w:sz="0" w:space="0" w:color="auto"/>
      </w:divBdr>
    </w:div>
    <w:div w:id="633800231">
      <w:bodyDiv w:val="1"/>
      <w:marLeft w:val="0"/>
      <w:marRight w:val="0"/>
      <w:marTop w:val="0"/>
      <w:marBottom w:val="0"/>
      <w:divBdr>
        <w:top w:val="none" w:sz="0" w:space="0" w:color="auto"/>
        <w:left w:val="none" w:sz="0" w:space="0" w:color="auto"/>
        <w:bottom w:val="none" w:sz="0" w:space="0" w:color="auto"/>
        <w:right w:val="none" w:sz="0" w:space="0" w:color="auto"/>
      </w:divBdr>
    </w:div>
    <w:div w:id="874386711">
      <w:bodyDiv w:val="1"/>
      <w:marLeft w:val="0"/>
      <w:marRight w:val="0"/>
      <w:marTop w:val="0"/>
      <w:marBottom w:val="0"/>
      <w:divBdr>
        <w:top w:val="none" w:sz="0" w:space="0" w:color="auto"/>
        <w:left w:val="none" w:sz="0" w:space="0" w:color="auto"/>
        <w:bottom w:val="none" w:sz="0" w:space="0" w:color="auto"/>
        <w:right w:val="none" w:sz="0" w:space="0" w:color="auto"/>
      </w:divBdr>
      <w:divsChild>
        <w:div w:id="934823635">
          <w:marLeft w:val="0"/>
          <w:marRight w:val="0"/>
          <w:marTop w:val="0"/>
          <w:marBottom w:val="0"/>
          <w:divBdr>
            <w:top w:val="none" w:sz="0" w:space="0" w:color="auto"/>
            <w:left w:val="none" w:sz="0" w:space="0" w:color="auto"/>
            <w:bottom w:val="none" w:sz="0" w:space="0" w:color="auto"/>
            <w:right w:val="none" w:sz="0" w:space="0" w:color="auto"/>
          </w:divBdr>
        </w:div>
      </w:divsChild>
    </w:div>
    <w:div w:id="982999746">
      <w:bodyDiv w:val="1"/>
      <w:marLeft w:val="0"/>
      <w:marRight w:val="0"/>
      <w:marTop w:val="0"/>
      <w:marBottom w:val="0"/>
      <w:divBdr>
        <w:top w:val="none" w:sz="0" w:space="0" w:color="auto"/>
        <w:left w:val="none" w:sz="0" w:space="0" w:color="auto"/>
        <w:bottom w:val="none" w:sz="0" w:space="0" w:color="auto"/>
        <w:right w:val="none" w:sz="0" w:space="0" w:color="auto"/>
      </w:divBdr>
    </w:div>
    <w:div w:id="1239439566">
      <w:bodyDiv w:val="1"/>
      <w:marLeft w:val="0"/>
      <w:marRight w:val="0"/>
      <w:marTop w:val="0"/>
      <w:marBottom w:val="0"/>
      <w:divBdr>
        <w:top w:val="none" w:sz="0" w:space="0" w:color="auto"/>
        <w:left w:val="none" w:sz="0" w:space="0" w:color="auto"/>
        <w:bottom w:val="none" w:sz="0" w:space="0" w:color="auto"/>
        <w:right w:val="none" w:sz="0" w:space="0" w:color="auto"/>
      </w:divBdr>
    </w:div>
    <w:div w:id="1524323770">
      <w:bodyDiv w:val="1"/>
      <w:marLeft w:val="0"/>
      <w:marRight w:val="0"/>
      <w:marTop w:val="0"/>
      <w:marBottom w:val="0"/>
      <w:divBdr>
        <w:top w:val="none" w:sz="0" w:space="0" w:color="auto"/>
        <w:left w:val="none" w:sz="0" w:space="0" w:color="auto"/>
        <w:bottom w:val="none" w:sz="0" w:space="0" w:color="auto"/>
        <w:right w:val="none" w:sz="0" w:space="0" w:color="auto"/>
      </w:divBdr>
      <w:divsChild>
        <w:div w:id="1892182833">
          <w:marLeft w:val="0"/>
          <w:marRight w:val="0"/>
          <w:marTop w:val="0"/>
          <w:marBottom w:val="0"/>
          <w:divBdr>
            <w:top w:val="none" w:sz="0" w:space="0" w:color="auto"/>
            <w:left w:val="none" w:sz="0" w:space="0" w:color="auto"/>
            <w:bottom w:val="none" w:sz="0" w:space="0" w:color="auto"/>
            <w:right w:val="none" w:sz="0" w:space="0" w:color="auto"/>
          </w:divBdr>
        </w:div>
      </w:divsChild>
    </w:div>
    <w:div w:id="203865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k.sites@ohiohospitals.org"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yperlink" Target="mailto:rick.sites@ohiohospitals.org" TargetMode="External"/><Relationship Id="rId3" Type="http://schemas.openxmlformats.org/officeDocument/2006/relationships/styles" Target="styles.xml"/><Relationship Id="rId21" Type="http://schemas.openxmlformats.org/officeDocument/2006/relationships/hyperlink" Target="mailto:rbrundrett@ohiomfg.com" TargetMode="External"/><Relationship Id="rId34"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rick.sites@ohiohospitals.org"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mailto:rbrundrett@ohiomfg.com"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hyperlink" Target="mailto:rbrundrett@ohiomfg.com" TargetMode="External"/><Relationship Id="rId30" Type="http://schemas.openxmlformats.org/officeDocument/2006/relationships/footer" Target="footer8.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FFAEF-68CF-4545-BFCB-86B64BB74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TotalTime>
  <Pages>25</Pages>
  <Words>5660</Words>
  <Characters>30341</Characters>
  <Application>Microsoft Office Word</Application>
  <DocSecurity>0</DocSecurity>
  <PresentationFormat/>
  <Lines>628</Lines>
  <Paragraphs>181</Paragraphs>
  <ScaleCrop>false</ScaleCrop>
  <HeadingPairs>
    <vt:vector size="2" baseType="variant">
      <vt:variant>
        <vt:lpstr>Title</vt:lpstr>
      </vt:variant>
      <vt:variant>
        <vt:i4>1</vt:i4>
      </vt:variant>
    </vt:vector>
  </HeadingPairs>
  <TitlesOfParts>
    <vt:vector size="1" baseType="lpstr">
      <vt:lpstr>submetering investigation; application for rehearing (C0100331).DOCX</vt:lpstr>
    </vt:vector>
  </TitlesOfParts>
  <Company/>
  <LinksUpToDate>false</LinksUpToDate>
  <CharactersWithSpaces>36142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submetering investigation; application for rehearing (C0100331).DOCX</dc:title>
  <dc:subject>C0100331:1</dc:subject>
  <dc:creator>Frank Darr</dc:creator>
  <cp:keywords/>
  <dc:description/>
  <cp:lastModifiedBy>Karen Bowman</cp:lastModifiedBy>
  <cp:revision>51</cp:revision>
  <cp:lastPrinted>2016-12-30T19:18:00Z</cp:lastPrinted>
  <dcterms:created xsi:type="dcterms:W3CDTF">2016-12-30T20:30:00Z</dcterms:created>
  <dcterms:modified xsi:type="dcterms:W3CDTF">2017-01-06T18:54:00Z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Date">
    <vt:lpwstr>12/29/2016 11:09:50 AM</vt:lpwstr>
  </property>
</Properties>
</file>