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286400" w:rsidP="007C2976" w14:paraId="6382A13A" w14:textId="77777777">
      <w:pPr>
        <w:pStyle w:val="HTMLPreformatted"/>
        <w:jc w:val="center"/>
        <w:rPr>
          <w:rFonts w:ascii="Times New Roman" w:hAnsi="Times New Roman" w:cs="Times New Roman"/>
          <w:b/>
          <w:bCs/>
          <w:sz w:val="24"/>
          <w:szCs w:val="24"/>
        </w:rPr>
      </w:pPr>
      <w:bookmarkStart w:id="0" w:name="_Hlk529973796"/>
      <w:r w:rsidRPr="00286400">
        <w:rPr>
          <w:rFonts w:ascii="Times New Roman" w:hAnsi="Times New Roman" w:cs="Times New Roman"/>
          <w:b/>
          <w:bCs/>
          <w:sz w:val="24"/>
          <w:szCs w:val="24"/>
        </w:rPr>
        <w:t>BEFORE</w:t>
      </w:r>
    </w:p>
    <w:p w:rsidR="002E181E" w:rsidRPr="00286400" w:rsidP="007C2976" w14:paraId="0EADF8CE" w14:textId="1D5B32B0">
      <w:pPr>
        <w:pStyle w:val="HTMLPreformatted"/>
        <w:jc w:val="center"/>
        <w:rPr>
          <w:rFonts w:ascii="Times New Roman" w:hAnsi="Times New Roman" w:cs="Times New Roman"/>
          <w:b/>
          <w:bCs/>
          <w:sz w:val="24"/>
          <w:szCs w:val="24"/>
        </w:rPr>
      </w:pPr>
      <w:r w:rsidRPr="00286400">
        <w:rPr>
          <w:rFonts w:ascii="Times New Roman" w:hAnsi="Times New Roman" w:cs="Times New Roman"/>
          <w:b/>
          <w:bCs/>
          <w:sz w:val="24"/>
          <w:szCs w:val="24"/>
        </w:rPr>
        <w:t>THE PUBLIC UTILITIES COMMISSION OF OHIO</w:t>
      </w:r>
    </w:p>
    <w:tbl>
      <w:tblPr>
        <w:tblW w:w="9728" w:type="dxa"/>
        <w:tblLook w:val="01E0"/>
      </w:tblPr>
      <w:tblGrid>
        <w:gridCol w:w="4968"/>
        <w:gridCol w:w="360"/>
        <w:gridCol w:w="4400"/>
      </w:tblGrid>
      <w:tr w14:paraId="53C1BAA3" w14:textId="77777777" w:rsidTr="002E181E">
        <w:tblPrEx>
          <w:tblW w:w="9728" w:type="dxa"/>
          <w:tblLook w:val="01E0"/>
        </w:tblPrEx>
        <w:trPr>
          <w:trHeight w:val="807"/>
        </w:trPr>
        <w:tc>
          <w:tcPr>
            <w:tcW w:w="4968" w:type="dxa"/>
            <w:shd w:val="clear" w:color="auto" w:fill="auto"/>
          </w:tcPr>
          <w:p w:rsidR="002E181E" w:rsidRPr="00286400" w:rsidP="009E7557" w14:paraId="0D3DE03E" w14:textId="77777777">
            <w:pPr>
              <w:autoSpaceDE w:val="0"/>
              <w:autoSpaceDN w:val="0"/>
              <w:adjustRightInd w:val="0"/>
              <w:rPr>
                <w:szCs w:val="24"/>
              </w:rPr>
            </w:pPr>
          </w:p>
          <w:p w:rsidR="002E181E" w:rsidRPr="00286400" w:rsidP="009E7557" w14:paraId="73CCB71F" w14:textId="77777777">
            <w:pPr>
              <w:autoSpaceDE w:val="0"/>
              <w:autoSpaceDN w:val="0"/>
              <w:adjustRightInd w:val="0"/>
              <w:rPr>
                <w:szCs w:val="24"/>
              </w:rPr>
            </w:pPr>
            <w:r w:rsidRPr="00286400">
              <w:rPr>
                <w:szCs w:val="24"/>
              </w:rPr>
              <w:t>In the Matter of the Determination of the Existence of Significantly Excessive Earnings for 2017 Under the Electric Security Plans of Ohio Edison Company, The Cleveland Electric Illuminating Company, and The Toledo Edison Company.</w:t>
            </w:r>
          </w:p>
          <w:p w:rsidR="007259D4" w:rsidRPr="00286400" w:rsidP="009E7557" w14:paraId="73B61C67" w14:textId="795CAFAF">
            <w:pPr>
              <w:autoSpaceDE w:val="0"/>
              <w:autoSpaceDN w:val="0"/>
              <w:adjustRightInd w:val="0"/>
              <w:rPr>
                <w:szCs w:val="24"/>
              </w:rPr>
            </w:pPr>
          </w:p>
        </w:tc>
        <w:tc>
          <w:tcPr>
            <w:tcW w:w="360" w:type="dxa"/>
            <w:shd w:val="clear" w:color="auto" w:fill="auto"/>
          </w:tcPr>
          <w:p w:rsidR="002E181E" w:rsidRPr="00286400" w:rsidP="009E7557" w14:paraId="60380452" w14:textId="67033190">
            <w:pPr>
              <w:pStyle w:val="HTMLPreformatted"/>
              <w:rPr>
                <w:rFonts w:ascii="Times New Roman" w:hAnsi="Times New Roman" w:cs="Times New Roman"/>
                <w:sz w:val="24"/>
                <w:szCs w:val="24"/>
              </w:rPr>
            </w:pPr>
          </w:p>
          <w:p w:rsidR="002E181E" w:rsidRPr="00286400" w:rsidP="009E7557" w14:paraId="600AA377"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132DF8BB"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65ABD202"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0BA479C9" w14:textId="5F3596CB">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3FE0CC71" w14:textId="39D95446">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2E0FDC46" w14:textId="77777777">
            <w:pPr>
              <w:pStyle w:val="HTMLPreformatted"/>
              <w:rPr>
                <w:rFonts w:ascii="Times New Roman" w:hAnsi="Times New Roman" w:cs="Times New Roman"/>
                <w:sz w:val="24"/>
                <w:szCs w:val="24"/>
              </w:rPr>
            </w:pPr>
          </w:p>
        </w:tc>
        <w:tc>
          <w:tcPr>
            <w:tcW w:w="4400" w:type="dxa"/>
            <w:shd w:val="clear" w:color="auto" w:fill="auto"/>
          </w:tcPr>
          <w:p w:rsidR="002E181E" w:rsidRPr="00286400" w:rsidP="009E7557" w14:paraId="31823F60" w14:textId="77777777">
            <w:pPr>
              <w:pStyle w:val="HTMLPreformatted"/>
              <w:rPr>
                <w:rFonts w:ascii="Times New Roman" w:hAnsi="Times New Roman" w:cs="Times New Roman"/>
                <w:sz w:val="24"/>
                <w:szCs w:val="24"/>
              </w:rPr>
            </w:pPr>
          </w:p>
          <w:p w:rsidR="002E181E" w:rsidRPr="00286400" w:rsidP="009E7557" w14:paraId="6CC60676" w14:textId="77777777">
            <w:pPr>
              <w:pStyle w:val="HTMLPreformatted"/>
              <w:rPr>
                <w:rFonts w:ascii="Times New Roman" w:hAnsi="Times New Roman" w:cs="Times New Roman"/>
                <w:sz w:val="24"/>
                <w:szCs w:val="24"/>
              </w:rPr>
            </w:pPr>
          </w:p>
          <w:p w:rsidR="002E181E" w:rsidRPr="00286400" w:rsidP="009E7557" w14:paraId="03F2CCBD" w14:textId="77777777">
            <w:pPr>
              <w:pStyle w:val="HTMLPreformatted"/>
              <w:rPr>
                <w:rFonts w:ascii="Times New Roman" w:hAnsi="Times New Roman" w:cs="Times New Roman"/>
                <w:sz w:val="24"/>
                <w:szCs w:val="24"/>
              </w:rPr>
            </w:pPr>
          </w:p>
          <w:p w:rsidR="002E181E" w:rsidRPr="00286400" w:rsidP="009E7557" w14:paraId="14A5297B"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Case No. 18-0857-EL-UNC</w:t>
            </w:r>
          </w:p>
          <w:p w:rsidR="002E181E" w:rsidRPr="00286400" w:rsidP="009E7557" w14:paraId="1F351DB7" w14:textId="77777777">
            <w:pPr>
              <w:pStyle w:val="HTMLPreformatted"/>
              <w:rPr>
                <w:rFonts w:ascii="Times New Roman" w:hAnsi="Times New Roman" w:cs="Times New Roman"/>
                <w:sz w:val="24"/>
                <w:szCs w:val="24"/>
              </w:rPr>
            </w:pPr>
          </w:p>
        </w:tc>
      </w:tr>
      <w:tr w14:paraId="01058604" w14:textId="77777777" w:rsidTr="009E7557">
        <w:tblPrEx>
          <w:tblW w:w="9728" w:type="dxa"/>
          <w:tblLook w:val="01E0"/>
        </w:tblPrEx>
        <w:trPr>
          <w:trHeight w:val="807"/>
        </w:trPr>
        <w:tc>
          <w:tcPr>
            <w:tcW w:w="4968" w:type="dxa"/>
            <w:shd w:val="clear" w:color="auto" w:fill="auto"/>
          </w:tcPr>
          <w:p w:rsidR="002E181E" w:rsidRPr="00286400" w:rsidP="009E7557" w14:paraId="116C2B7A" w14:textId="77777777">
            <w:pPr>
              <w:autoSpaceDE w:val="0"/>
              <w:autoSpaceDN w:val="0"/>
              <w:adjustRightInd w:val="0"/>
              <w:rPr>
                <w:szCs w:val="24"/>
              </w:rPr>
            </w:pPr>
            <w:r w:rsidRPr="00286400">
              <w:rPr>
                <w:szCs w:val="24"/>
              </w:rPr>
              <w:t>In the Matter of the Determination of the Existence of Significantly Excessive Earnings for 2018 Under the Electric Security Plans of Ohio Edison Company, The Cleveland Electric Illuminating Company, and the Toledo Edison Company.</w:t>
            </w:r>
          </w:p>
          <w:p w:rsidR="002E181E" w:rsidRPr="00286400" w:rsidP="009E7557" w14:paraId="7DCCB398" w14:textId="77777777">
            <w:pPr>
              <w:autoSpaceDE w:val="0"/>
              <w:autoSpaceDN w:val="0"/>
              <w:adjustRightInd w:val="0"/>
              <w:rPr>
                <w:szCs w:val="24"/>
              </w:rPr>
            </w:pPr>
          </w:p>
          <w:p w:rsidR="002E181E" w:rsidRPr="00286400" w:rsidP="009E7557" w14:paraId="3112CAFA" w14:textId="77777777">
            <w:pPr>
              <w:autoSpaceDE w:val="0"/>
              <w:autoSpaceDN w:val="0"/>
              <w:adjustRightInd w:val="0"/>
              <w:rPr>
                <w:szCs w:val="24"/>
              </w:rPr>
            </w:pPr>
            <w:r w:rsidRPr="00286400">
              <w:rPr>
                <w:szCs w:val="24"/>
              </w:rPr>
              <w:t>In the Matter of the Determination of the Existence of Significantly Excessive Earnings for 2019 Under the Electric Security Plans of Ohio Edison Company, The Cleveland Electric Illuminating Company, and the Toledo Edison Company.</w:t>
            </w:r>
          </w:p>
          <w:p w:rsidR="002E181E" w:rsidRPr="00286400" w:rsidP="009E7557" w14:paraId="39019CEE" w14:textId="77777777">
            <w:pPr>
              <w:autoSpaceDE w:val="0"/>
              <w:autoSpaceDN w:val="0"/>
              <w:adjustRightInd w:val="0"/>
              <w:rPr>
                <w:szCs w:val="24"/>
              </w:rPr>
            </w:pPr>
          </w:p>
          <w:p w:rsidR="002E181E" w:rsidRPr="00286400" w:rsidP="009E7557" w14:paraId="0DEE3493" w14:textId="77777777">
            <w:pPr>
              <w:autoSpaceDE w:val="0"/>
              <w:autoSpaceDN w:val="0"/>
              <w:adjustRightInd w:val="0"/>
              <w:rPr>
                <w:szCs w:val="24"/>
              </w:rPr>
            </w:pPr>
            <w:r w:rsidRPr="00286400">
              <w:rPr>
                <w:szCs w:val="24"/>
              </w:rPr>
              <w:t>In the Matter of the Quadrennial Review Required by R.C. 4928.143(E) for the Electric Security Plans of Ohio Edison Company, The Cleveland Electric Illuminating Company, and The Toledo Edison Company.</w:t>
            </w:r>
          </w:p>
        </w:tc>
        <w:tc>
          <w:tcPr>
            <w:tcW w:w="360" w:type="dxa"/>
            <w:shd w:val="clear" w:color="auto" w:fill="auto"/>
          </w:tcPr>
          <w:p w:rsidR="002E181E" w:rsidRPr="00286400" w:rsidP="009E7557" w14:paraId="0663A447"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37A1E619"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590530A9"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3728AC98"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2E721DF5"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6AF41891"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315F6757" w14:textId="77777777">
            <w:pPr>
              <w:pStyle w:val="HTMLPreformatted"/>
              <w:rPr>
                <w:rFonts w:ascii="Times New Roman" w:hAnsi="Times New Roman" w:cs="Times New Roman"/>
                <w:sz w:val="24"/>
                <w:szCs w:val="24"/>
              </w:rPr>
            </w:pPr>
          </w:p>
          <w:p w:rsidR="002E181E" w:rsidRPr="00286400" w:rsidP="009E7557" w14:paraId="340C4767"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561C093E"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0C9B6CAA"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41A460C4"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5A212315"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444BBB57"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285EC2DC" w14:textId="77777777">
            <w:pPr>
              <w:pStyle w:val="HTMLPreformatted"/>
              <w:rPr>
                <w:rFonts w:ascii="Times New Roman" w:hAnsi="Times New Roman" w:cs="Times New Roman"/>
                <w:sz w:val="24"/>
                <w:szCs w:val="24"/>
              </w:rPr>
            </w:pPr>
          </w:p>
          <w:p w:rsidR="002E181E" w:rsidRPr="00286400" w:rsidP="009E7557" w14:paraId="56664BFC"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2D7DE920"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52653DA7"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10FAFF05"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p w:rsidR="002E181E" w:rsidRPr="00286400" w:rsidP="009E7557" w14:paraId="08162402"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w:t>
            </w:r>
          </w:p>
        </w:tc>
        <w:tc>
          <w:tcPr>
            <w:tcW w:w="4400" w:type="dxa"/>
            <w:shd w:val="clear" w:color="auto" w:fill="auto"/>
          </w:tcPr>
          <w:p w:rsidR="002E181E" w:rsidRPr="00286400" w:rsidP="009E7557" w14:paraId="54701540" w14:textId="77777777">
            <w:pPr>
              <w:pStyle w:val="HTMLPreformatted"/>
              <w:rPr>
                <w:rFonts w:ascii="Times New Roman" w:hAnsi="Times New Roman" w:cs="Times New Roman"/>
                <w:sz w:val="24"/>
                <w:szCs w:val="24"/>
              </w:rPr>
            </w:pPr>
          </w:p>
          <w:p w:rsidR="002E181E" w:rsidRPr="00286400" w:rsidP="009E7557" w14:paraId="6AEC1EC0" w14:textId="77777777">
            <w:pPr>
              <w:pStyle w:val="HTMLPreformatted"/>
              <w:rPr>
                <w:rFonts w:ascii="Times New Roman" w:hAnsi="Times New Roman" w:cs="Times New Roman"/>
                <w:sz w:val="24"/>
                <w:szCs w:val="24"/>
              </w:rPr>
            </w:pPr>
          </w:p>
          <w:p w:rsidR="002E181E" w:rsidRPr="00286400" w:rsidP="009E7557" w14:paraId="7F64982B"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Case No. 19-1338-EL-UNC</w:t>
            </w:r>
          </w:p>
          <w:p w:rsidR="002E181E" w:rsidRPr="00286400" w:rsidP="009E7557" w14:paraId="512EA387" w14:textId="77777777">
            <w:pPr>
              <w:pStyle w:val="HTMLPreformatted"/>
              <w:rPr>
                <w:rFonts w:ascii="Times New Roman" w:hAnsi="Times New Roman" w:cs="Times New Roman"/>
                <w:sz w:val="24"/>
                <w:szCs w:val="24"/>
              </w:rPr>
            </w:pPr>
          </w:p>
          <w:p w:rsidR="002E181E" w:rsidRPr="00286400" w:rsidP="009E7557" w14:paraId="05446044" w14:textId="77777777">
            <w:pPr>
              <w:pStyle w:val="HTMLPreformatted"/>
              <w:rPr>
                <w:rFonts w:ascii="Times New Roman" w:hAnsi="Times New Roman" w:cs="Times New Roman"/>
                <w:sz w:val="24"/>
                <w:szCs w:val="24"/>
              </w:rPr>
            </w:pPr>
          </w:p>
          <w:p w:rsidR="002E181E" w:rsidRPr="00286400" w:rsidP="009E7557" w14:paraId="2B2DCB99" w14:textId="77777777">
            <w:pPr>
              <w:pStyle w:val="HTMLPreformatted"/>
              <w:rPr>
                <w:rFonts w:ascii="Times New Roman" w:hAnsi="Times New Roman" w:cs="Times New Roman"/>
                <w:sz w:val="24"/>
                <w:szCs w:val="24"/>
              </w:rPr>
            </w:pPr>
          </w:p>
          <w:p w:rsidR="002E181E" w:rsidRPr="00286400" w:rsidP="009E7557" w14:paraId="16E87D95" w14:textId="77777777">
            <w:pPr>
              <w:pStyle w:val="HTMLPreformatted"/>
              <w:rPr>
                <w:rFonts w:ascii="Times New Roman" w:hAnsi="Times New Roman" w:cs="Times New Roman"/>
                <w:sz w:val="24"/>
                <w:szCs w:val="24"/>
              </w:rPr>
            </w:pPr>
          </w:p>
          <w:p w:rsidR="002E181E" w:rsidRPr="00286400" w:rsidP="009E7557" w14:paraId="70267E2A" w14:textId="77777777">
            <w:pPr>
              <w:pStyle w:val="HTMLPreformatted"/>
              <w:rPr>
                <w:rFonts w:ascii="Times New Roman" w:hAnsi="Times New Roman" w:cs="Times New Roman"/>
                <w:sz w:val="24"/>
                <w:szCs w:val="24"/>
              </w:rPr>
            </w:pPr>
          </w:p>
          <w:p w:rsidR="002E181E" w:rsidRPr="00286400" w:rsidP="009E7557" w14:paraId="0FC30493" w14:textId="77777777">
            <w:pPr>
              <w:pStyle w:val="HTMLPreformatted"/>
              <w:rPr>
                <w:rFonts w:ascii="Times New Roman" w:hAnsi="Times New Roman" w:cs="Times New Roman"/>
                <w:sz w:val="24"/>
                <w:szCs w:val="24"/>
              </w:rPr>
            </w:pPr>
          </w:p>
          <w:p w:rsidR="002E181E" w:rsidRPr="00286400" w:rsidP="009E7557" w14:paraId="479343DC" w14:textId="77777777">
            <w:pPr>
              <w:pStyle w:val="HTMLPreformatted"/>
              <w:rPr>
                <w:rFonts w:ascii="Times New Roman" w:hAnsi="Times New Roman" w:cs="Times New Roman"/>
                <w:sz w:val="24"/>
                <w:szCs w:val="24"/>
              </w:rPr>
            </w:pPr>
            <w:r w:rsidRPr="00286400">
              <w:rPr>
                <w:rFonts w:ascii="Times New Roman" w:hAnsi="Times New Roman" w:cs="Times New Roman"/>
                <w:sz w:val="24"/>
                <w:szCs w:val="24"/>
              </w:rPr>
              <w:t>Case No. 20-1034-EL-UNC</w:t>
            </w:r>
          </w:p>
          <w:p w:rsidR="002E181E" w:rsidRPr="00286400" w:rsidP="009E7557" w14:paraId="779F1B32" w14:textId="77777777">
            <w:pPr>
              <w:pStyle w:val="HTMLPreformatted"/>
              <w:rPr>
                <w:rFonts w:ascii="Times New Roman" w:hAnsi="Times New Roman" w:cs="Times New Roman"/>
                <w:sz w:val="24"/>
                <w:szCs w:val="24"/>
              </w:rPr>
            </w:pPr>
          </w:p>
          <w:p w:rsidR="002E181E" w:rsidRPr="00286400" w:rsidP="009E7557" w14:paraId="2DE349EC" w14:textId="77777777">
            <w:pPr>
              <w:pStyle w:val="HTMLPreformatted"/>
              <w:rPr>
                <w:rFonts w:ascii="Times New Roman" w:hAnsi="Times New Roman" w:cs="Times New Roman"/>
                <w:sz w:val="24"/>
                <w:szCs w:val="24"/>
              </w:rPr>
            </w:pPr>
          </w:p>
          <w:p w:rsidR="002E181E" w:rsidRPr="00286400" w:rsidP="009E7557" w14:paraId="0397A6D9" w14:textId="77777777">
            <w:pPr>
              <w:pStyle w:val="HTMLPreformatted"/>
              <w:rPr>
                <w:rFonts w:ascii="Times New Roman" w:hAnsi="Times New Roman" w:cs="Times New Roman"/>
                <w:sz w:val="24"/>
                <w:szCs w:val="24"/>
              </w:rPr>
            </w:pPr>
          </w:p>
          <w:p w:rsidR="002E181E" w:rsidRPr="00286400" w:rsidP="009E7557" w14:paraId="6BE88A94" w14:textId="77777777">
            <w:pPr>
              <w:pStyle w:val="HTMLPreformatted"/>
              <w:rPr>
                <w:rFonts w:ascii="Times New Roman" w:hAnsi="Times New Roman" w:cs="Times New Roman"/>
                <w:sz w:val="24"/>
                <w:szCs w:val="24"/>
              </w:rPr>
            </w:pPr>
          </w:p>
          <w:p w:rsidR="002E181E" w:rsidRPr="00286400" w:rsidP="009E7557" w14:paraId="53192F00" w14:textId="77777777">
            <w:pPr>
              <w:pStyle w:val="HTMLPreformatted"/>
              <w:rPr>
                <w:rFonts w:ascii="Times New Roman" w:hAnsi="Times New Roman" w:cs="Times New Roman"/>
                <w:sz w:val="24"/>
                <w:szCs w:val="24"/>
              </w:rPr>
            </w:pPr>
          </w:p>
          <w:p w:rsidR="002E181E" w:rsidRPr="00286400" w:rsidP="009E7557" w14:paraId="082CE7BF" w14:textId="77777777">
            <w:pPr>
              <w:pStyle w:val="HTMLPreformatted"/>
              <w:rPr>
                <w:rFonts w:ascii="Times New Roman" w:hAnsi="Times New Roman" w:cs="Times New Roman"/>
                <w:sz w:val="24"/>
                <w:szCs w:val="24"/>
              </w:rPr>
            </w:pPr>
          </w:p>
          <w:p w:rsidR="002E181E" w:rsidRPr="00286400" w:rsidP="002E181E" w14:paraId="08AA1C1F" w14:textId="6182E48F">
            <w:pPr>
              <w:pStyle w:val="HTMLPreformatted"/>
              <w:rPr>
                <w:rFonts w:ascii="Times New Roman" w:hAnsi="Times New Roman" w:cs="Times New Roman"/>
                <w:sz w:val="24"/>
                <w:szCs w:val="24"/>
              </w:rPr>
            </w:pPr>
            <w:r w:rsidRPr="00286400">
              <w:rPr>
                <w:rFonts w:ascii="Times New Roman" w:hAnsi="Times New Roman" w:cs="Times New Roman"/>
                <w:sz w:val="24"/>
                <w:szCs w:val="24"/>
              </w:rPr>
              <w:t>Case No. 20-1476-EL-UNC</w:t>
            </w:r>
          </w:p>
        </w:tc>
      </w:tr>
    </w:tbl>
    <w:p w:rsidR="002E181E" w:rsidRPr="00286400" w:rsidP="007C2976" w14:paraId="482A14C9" w14:textId="77777777">
      <w:pPr>
        <w:pStyle w:val="HTMLPreformatted"/>
        <w:jc w:val="center"/>
        <w:rPr>
          <w:rFonts w:ascii="Times New Roman" w:hAnsi="Times New Roman" w:cs="Times New Roman"/>
          <w:b/>
          <w:bCs/>
          <w:sz w:val="24"/>
          <w:szCs w:val="24"/>
        </w:rPr>
      </w:pPr>
    </w:p>
    <w:p w:rsidR="007C2976" w:rsidRPr="00286400" w:rsidP="007C2976" w14:paraId="7F362339" w14:textId="77777777">
      <w:pPr>
        <w:pStyle w:val="HTMLPreformatted"/>
        <w:rPr>
          <w:rFonts w:ascii="Times New Roman" w:hAnsi="Times New Roman" w:cs="Times New Roman"/>
          <w:sz w:val="24"/>
          <w:szCs w:val="24"/>
        </w:rPr>
      </w:pPr>
    </w:p>
    <w:p w:rsidR="007C2976" w:rsidRPr="00286400" w:rsidP="007C2976" w14:paraId="5AF24A3A" w14:textId="77777777">
      <w:pPr>
        <w:pStyle w:val="HTMLPreformatted"/>
        <w:pBdr>
          <w:top w:val="single" w:sz="12" w:space="1" w:color="auto"/>
        </w:pBdr>
        <w:rPr>
          <w:rFonts w:ascii="Times New Roman" w:hAnsi="Times New Roman" w:cs="Times New Roman"/>
          <w:sz w:val="24"/>
          <w:szCs w:val="24"/>
        </w:rPr>
      </w:pPr>
    </w:p>
    <w:p w:rsidR="007C2976" w:rsidRPr="00286400" w:rsidP="007C2976" w14:paraId="1C166B1D" w14:textId="2FCBB606">
      <w:pPr>
        <w:jc w:val="center"/>
        <w:rPr>
          <w:b/>
          <w:bCs/>
          <w:szCs w:val="24"/>
        </w:rPr>
      </w:pPr>
      <w:r w:rsidRPr="00286400">
        <w:rPr>
          <w:b/>
          <w:bCs/>
          <w:szCs w:val="24"/>
        </w:rPr>
        <w:t xml:space="preserve">REPLY IN SUPPORT OF </w:t>
      </w:r>
      <w:r w:rsidRPr="00286400" w:rsidR="005958D2">
        <w:rPr>
          <w:b/>
          <w:bCs/>
          <w:szCs w:val="24"/>
        </w:rPr>
        <w:t>MOTION FOR A CONTINUANCE OF THE PROCEDURAL SCHEDULE</w:t>
      </w:r>
      <w:r w:rsidRPr="00286400" w:rsidR="007F2531">
        <w:rPr>
          <w:b/>
          <w:bCs/>
          <w:szCs w:val="24"/>
        </w:rPr>
        <w:t xml:space="preserve"> INVOLVING </w:t>
      </w:r>
      <w:r w:rsidRPr="00286400" w:rsidR="008E0676">
        <w:rPr>
          <w:b/>
          <w:bCs/>
          <w:szCs w:val="24"/>
        </w:rPr>
        <w:t xml:space="preserve">WHAT </w:t>
      </w:r>
      <w:r w:rsidRPr="00286400" w:rsidR="007E2960">
        <w:rPr>
          <w:b/>
          <w:bCs/>
          <w:szCs w:val="24"/>
        </w:rPr>
        <w:t xml:space="preserve">THE </w:t>
      </w:r>
      <w:r w:rsidRPr="00286400" w:rsidR="007F2531">
        <w:rPr>
          <w:b/>
          <w:bCs/>
          <w:szCs w:val="24"/>
        </w:rPr>
        <w:t>FIRSTENERGY</w:t>
      </w:r>
      <w:r w:rsidRPr="00286400" w:rsidR="008E0676">
        <w:rPr>
          <w:b/>
          <w:bCs/>
          <w:szCs w:val="24"/>
        </w:rPr>
        <w:t xml:space="preserve"> </w:t>
      </w:r>
      <w:r w:rsidRPr="00286400" w:rsidR="007E2960">
        <w:rPr>
          <w:b/>
          <w:bCs/>
          <w:szCs w:val="24"/>
        </w:rPr>
        <w:t xml:space="preserve">UTILITIES </w:t>
      </w:r>
      <w:r w:rsidRPr="00286400" w:rsidR="008E0676">
        <w:rPr>
          <w:b/>
          <w:bCs/>
          <w:szCs w:val="24"/>
        </w:rPr>
        <w:t>CHARGE CONSUMERS FOR</w:t>
      </w:r>
      <w:r w:rsidRPr="00286400" w:rsidR="007F2531">
        <w:rPr>
          <w:b/>
          <w:bCs/>
          <w:szCs w:val="24"/>
        </w:rPr>
        <w:t xml:space="preserve"> PROFITS</w:t>
      </w:r>
    </w:p>
    <w:p w:rsidR="007C2976" w:rsidRPr="00286400" w:rsidP="007C2976" w14:paraId="2317FB6C" w14:textId="77777777">
      <w:pPr>
        <w:jc w:val="center"/>
        <w:rPr>
          <w:b/>
          <w:bCs/>
          <w:szCs w:val="24"/>
        </w:rPr>
      </w:pPr>
      <w:r w:rsidRPr="00286400">
        <w:rPr>
          <w:b/>
          <w:bCs/>
          <w:szCs w:val="24"/>
        </w:rPr>
        <w:t>BY</w:t>
      </w:r>
    </w:p>
    <w:p w:rsidR="007C2976" w:rsidRPr="00286400" w:rsidP="007C2976" w14:paraId="6A152770" w14:textId="2B9D04D8">
      <w:pPr>
        <w:jc w:val="center"/>
        <w:rPr>
          <w:b/>
          <w:bCs/>
          <w:szCs w:val="24"/>
        </w:rPr>
      </w:pPr>
      <w:r w:rsidRPr="00286400">
        <w:rPr>
          <w:b/>
          <w:bCs/>
          <w:szCs w:val="24"/>
        </w:rPr>
        <w:t>OFFICE OF THE OHIO CONSUMERS’ COUNSEL</w:t>
      </w:r>
    </w:p>
    <w:p w:rsidR="00083556" w:rsidRPr="00286400" w:rsidP="007C2976" w14:paraId="4896DF49" w14:textId="77777777">
      <w:pPr>
        <w:pBdr>
          <w:bottom w:val="single" w:sz="12" w:space="1" w:color="auto"/>
        </w:pBdr>
        <w:tabs>
          <w:tab w:val="left" w:pos="4320"/>
        </w:tabs>
        <w:rPr>
          <w:szCs w:val="24"/>
        </w:rPr>
      </w:pPr>
    </w:p>
    <w:bookmarkEnd w:id="0"/>
    <w:p w:rsidR="00083556" w:rsidRPr="00286400" w:rsidP="00083556" w14:paraId="5F00C710" w14:textId="77777777">
      <w:pPr>
        <w:rPr>
          <w:szCs w:val="24"/>
        </w:rPr>
      </w:pPr>
    </w:p>
    <w:p w:rsidR="004920E7" w:rsidRPr="00286400" w:rsidP="004920E7" w14:paraId="4E72B4C3" w14:textId="77777777">
      <w:pPr>
        <w:spacing w:line="480" w:lineRule="auto"/>
        <w:ind w:firstLine="720"/>
        <w:rPr>
          <w:color w:val="000000" w:themeColor="text1"/>
          <w:szCs w:val="24"/>
        </w:rPr>
        <w:sectPr w:rsidSect="00D526B9">
          <w:footerReference w:type="default" r:id="rId6"/>
          <w:pgSz w:w="12240" w:h="15840"/>
          <w:pgMar w:top="1440" w:right="1800" w:bottom="1440" w:left="1800" w:header="720" w:footer="720" w:gutter="0"/>
          <w:cols w:space="720"/>
          <w:docGrid w:linePitch="360"/>
        </w:sectPr>
      </w:pPr>
      <w:r w:rsidRPr="00286400">
        <w:rPr>
          <w:color w:val="000000" w:themeColor="text1"/>
          <w:szCs w:val="24"/>
        </w:rPr>
        <w:t>Presently, Senate Bill 10 is</w:t>
      </w:r>
      <w:r w:rsidRPr="00286400" w:rsidR="00893C7B">
        <w:rPr>
          <w:color w:val="000000" w:themeColor="text1"/>
          <w:szCs w:val="24"/>
        </w:rPr>
        <w:t xml:space="preserve"> </w:t>
      </w:r>
      <w:r w:rsidRPr="00286400" w:rsidR="005B67CC">
        <w:rPr>
          <w:color w:val="000000" w:themeColor="text1"/>
          <w:szCs w:val="24"/>
        </w:rPr>
        <w:t xml:space="preserve">pending </w:t>
      </w:r>
      <w:r w:rsidRPr="00286400">
        <w:rPr>
          <w:color w:val="000000" w:themeColor="text1"/>
          <w:szCs w:val="24"/>
        </w:rPr>
        <w:t>to protect consumers by repealing parts of House Bills 6 and 166</w:t>
      </w:r>
      <w:r w:rsidRPr="00286400" w:rsidR="005B67CC">
        <w:rPr>
          <w:color w:val="000000" w:themeColor="text1"/>
          <w:szCs w:val="24"/>
        </w:rPr>
        <w:t xml:space="preserve">.  </w:t>
      </w:r>
      <w:r w:rsidRPr="00286400">
        <w:rPr>
          <w:color w:val="000000" w:themeColor="text1"/>
          <w:szCs w:val="24"/>
        </w:rPr>
        <w:t xml:space="preserve">As background, House Bill 166 (state budget) allowed </w:t>
      </w:r>
      <w:r w:rsidRPr="00286400" w:rsidR="007E2960">
        <w:rPr>
          <w:color w:val="000000" w:themeColor="text1"/>
          <w:szCs w:val="24"/>
        </w:rPr>
        <w:t xml:space="preserve">the </w:t>
      </w:r>
      <w:r w:rsidRPr="00286400">
        <w:rPr>
          <w:color w:val="000000" w:themeColor="text1"/>
          <w:szCs w:val="24"/>
        </w:rPr>
        <w:t xml:space="preserve">FirstEnergy </w:t>
      </w:r>
      <w:r w:rsidRPr="00286400" w:rsidR="007E2960">
        <w:rPr>
          <w:color w:val="000000" w:themeColor="text1"/>
          <w:szCs w:val="24"/>
        </w:rPr>
        <w:t xml:space="preserve">Utilities </w:t>
      </w:r>
      <w:r w:rsidRPr="00286400">
        <w:rPr>
          <w:color w:val="000000" w:themeColor="text1"/>
          <w:szCs w:val="24"/>
        </w:rPr>
        <w:t xml:space="preserve">to likely avoid making a refund to consumers for “significantly excessive” profits for </w:t>
      </w:r>
      <w:r w:rsidRPr="00286400" w:rsidR="009853F0">
        <w:rPr>
          <w:color w:val="000000" w:themeColor="text1"/>
          <w:szCs w:val="24"/>
        </w:rPr>
        <w:t xml:space="preserve">at least </w:t>
      </w:r>
      <w:r w:rsidRPr="00286400">
        <w:rPr>
          <w:color w:val="000000" w:themeColor="text1"/>
          <w:szCs w:val="24"/>
        </w:rPr>
        <w:t>one of its three utilities (Ohio Edison)</w:t>
      </w:r>
      <w:r w:rsidRPr="00286400" w:rsidR="009853F0">
        <w:rPr>
          <w:color w:val="000000" w:themeColor="text1"/>
          <w:szCs w:val="24"/>
        </w:rPr>
        <w:t xml:space="preserve"> in 2019 and years </w:t>
      </w:r>
    </w:p>
    <w:p w:rsidR="00D05190" w:rsidRPr="00286400" w:rsidP="004920E7" w14:paraId="5751A575" w14:textId="316787AC">
      <w:pPr>
        <w:spacing w:line="480" w:lineRule="auto"/>
        <w:rPr>
          <w:color w:val="000000" w:themeColor="text1"/>
          <w:szCs w:val="24"/>
        </w:rPr>
      </w:pPr>
      <w:r w:rsidRPr="00286400">
        <w:rPr>
          <w:color w:val="000000" w:themeColor="text1"/>
          <w:szCs w:val="24"/>
        </w:rPr>
        <w:t>after that</w:t>
      </w:r>
      <w:r w:rsidRPr="00286400" w:rsidR="005958D2">
        <w:rPr>
          <w:color w:val="000000" w:themeColor="text1"/>
          <w:szCs w:val="24"/>
        </w:rPr>
        <w:t xml:space="preserve">. This ploy was enabled by allowing </w:t>
      </w:r>
      <w:r w:rsidRPr="00286400" w:rsidR="007E2960">
        <w:rPr>
          <w:color w:val="000000" w:themeColor="text1"/>
          <w:szCs w:val="24"/>
        </w:rPr>
        <w:t xml:space="preserve">the </w:t>
      </w:r>
      <w:r w:rsidRPr="00286400" w:rsidR="005958D2">
        <w:rPr>
          <w:color w:val="000000" w:themeColor="text1"/>
          <w:szCs w:val="24"/>
        </w:rPr>
        <w:t>FirstEnergy</w:t>
      </w:r>
      <w:r w:rsidRPr="00286400" w:rsidR="007E2960">
        <w:rPr>
          <w:color w:val="000000" w:themeColor="text1"/>
          <w:szCs w:val="24"/>
        </w:rPr>
        <w:t xml:space="preserve"> Util</w:t>
      </w:r>
      <w:r w:rsidRPr="00286400" w:rsidR="000C74B9">
        <w:rPr>
          <w:color w:val="000000" w:themeColor="text1"/>
          <w:szCs w:val="24"/>
        </w:rPr>
        <w:t>i</w:t>
      </w:r>
      <w:r w:rsidRPr="00286400" w:rsidR="007E2960">
        <w:rPr>
          <w:color w:val="000000" w:themeColor="text1"/>
          <w:szCs w:val="24"/>
        </w:rPr>
        <w:t xml:space="preserve">ties </w:t>
      </w:r>
      <w:r w:rsidRPr="00286400" w:rsidR="005958D2">
        <w:rPr>
          <w:color w:val="000000" w:themeColor="text1"/>
          <w:szCs w:val="24"/>
        </w:rPr>
        <w:t xml:space="preserve">to average the profits of </w:t>
      </w:r>
      <w:r w:rsidRPr="00286400" w:rsidR="007E2960">
        <w:rPr>
          <w:color w:val="000000" w:themeColor="text1"/>
          <w:szCs w:val="24"/>
        </w:rPr>
        <w:t xml:space="preserve">the </w:t>
      </w:r>
      <w:r w:rsidRPr="00286400" w:rsidR="005958D2">
        <w:rPr>
          <w:color w:val="000000" w:themeColor="text1"/>
          <w:szCs w:val="24"/>
        </w:rPr>
        <w:t xml:space="preserve"> three utilities for determining </w:t>
      </w:r>
      <w:r w:rsidRPr="00286400" w:rsidR="007E2960">
        <w:rPr>
          <w:color w:val="000000" w:themeColor="text1"/>
          <w:szCs w:val="24"/>
        </w:rPr>
        <w:t xml:space="preserve">their </w:t>
      </w:r>
      <w:r w:rsidRPr="00286400" w:rsidR="005958D2">
        <w:rPr>
          <w:color w:val="000000" w:themeColor="text1"/>
          <w:szCs w:val="24"/>
        </w:rPr>
        <w:t>profit level, thereby reducing the especially high profits of one of its utilities.</w:t>
      </w:r>
      <w:r>
        <w:rPr>
          <w:rStyle w:val="FootnoteReference"/>
          <w:color w:val="000000" w:themeColor="text1"/>
          <w:szCs w:val="24"/>
        </w:rPr>
        <w:footnoteReference w:id="2"/>
      </w:r>
      <w:r w:rsidRPr="00286400" w:rsidR="005958D2">
        <w:rPr>
          <w:color w:val="000000" w:themeColor="text1"/>
          <w:szCs w:val="24"/>
        </w:rPr>
        <w:t xml:space="preserve"> Senate Bill 10 would repeal that FirstEnergy</w:t>
      </w:r>
      <w:r w:rsidR="00865F35">
        <w:rPr>
          <w:color w:val="000000" w:themeColor="text1"/>
          <w:szCs w:val="24"/>
        </w:rPr>
        <w:t xml:space="preserve"> Utilities</w:t>
      </w:r>
      <w:r w:rsidRPr="00286400" w:rsidR="005958D2">
        <w:rPr>
          <w:color w:val="000000" w:themeColor="text1"/>
          <w:szCs w:val="24"/>
        </w:rPr>
        <w:t xml:space="preserve"> legislative</w:t>
      </w:r>
      <w:r w:rsidRPr="00286400" w:rsidR="007E2960">
        <w:rPr>
          <w:color w:val="000000" w:themeColor="text1"/>
          <w:szCs w:val="24"/>
        </w:rPr>
        <w:t xml:space="preserve"> gift</w:t>
      </w:r>
      <w:r w:rsidRPr="00286400" w:rsidR="00B60618">
        <w:rPr>
          <w:color w:val="000000" w:themeColor="text1"/>
          <w:szCs w:val="24"/>
        </w:rPr>
        <w:t>.</w:t>
      </w:r>
      <w:r>
        <w:rPr>
          <w:rStyle w:val="FootnoteReference"/>
          <w:color w:val="000000" w:themeColor="text1"/>
          <w:szCs w:val="24"/>
        </w:rPr>
        <w:footnoteReference w:id="3"/>
      </w:r>
      <w:r w:rsidRPr="00286400" w:rsidR="007E2960">
        <w:rPr>
          <w:color w:val="000000" w:themeColor="text1"/>
          <w:szCs w:val="24"/>
        </w:rPr>
        <w:t xml:space="preserve"> </w:t>
      </w:r>
    </w:p>
    <w:p w:rsidR="00CB2997" w:rsidRPr="00286400" w:rsidP="00C86047" w14:paraId="37BEC942" w14:textId="5D784597">
      <w:pPr>
        <w:spacing w:line="480" w:lineRule="auto"/>
        <w:ind w:firstLine="720"/>
        <w:rPr>
          <w:szCs w:val="24"/>
        </w:rPr>
      </w:pPr>
      <w:r w:rsidRPr="00286400">
        <w:rPr>
          <w:szCs w:val="24"/>
        </w:rPr>
        <w:t xml:space="preserve">To protect consumers, the </w:t>
      </w:r>
      <w:r w:rsidRPr="00286400" w:rsidR="00BA67B3">
        <w:rPr>
          <w:szCs w:val="24"/>
        </w:rPr>
        <w:t>Ohio Consumers’ Counsel (“OCC”) move</w:t>
      </w:r>
      <w:r w:rsidRPr="00286400">
        <w:rPr>
          <w:szCs w:val="24"/>
        </w:rPr>
        <w:t>d</w:t>
      </w:r>
      <w:r w:rsidRPr="00286400" w:rsidR="00BA67B3">
        <w:rPr>
          <w:szCs w:val="24"/>
        </w:rPr>
        <w:t xml:space="preserve"> the </w:t>
      </w:r>
      <w:r w:rsidRPr="00286400" w:rsidR="007E389D">
        <w:rPr>
          <w:szCs w:val="24"/>
        </w:rPr>
        <w:t>Public Utilities Commission of Ohio (“</w:t>
      </w:r>
      <w:r w:rsidRPr="00286400" w:rsidR="00BA67B3">
        <w:rPr>
          <w:szCs w:val="24"/>
        </w:rPr>
        <w:t>PUCO</w:t>
      </w:r>
      <w:r w:rsidRPr="00286400" w:rsidR="007E389D">
        <w:rPr>
          <w:szCs w:val="24"/>
        </w:rPr>
        <w:t>”)</w:t>
      </w:r>
      <w:r w:rsidRPr="00286400" w:rsidR="00BA67B3">
        <w:rPr>
          <w:szCs w:val="24"/>
        </w:rPr>
        <w:t xml:space="preserve"> </w:t>
      </w:r>
      <w:r w:rsidRPr="00286400" w:rsidR="00B14103">
        <w:rPr>
          <w:szCs w:val="24"/>
        </w:rPr>
        <w:t>on behalf of FirstEnergy</w:t>
      </w:r>
      <w:r w:rsidRPr="00286400" w:rsidR="007E2960">
        <w:rPr>
          <w:szCs w:val="24"/>
        </w:rPr>
        <w:t xml:space="preserve"> Utilities’</w:t>
      </w:r>
      <w:r w:rsidRPr="00286400" w:rsidR="00B14103">
        <w:rPr>
          <w:szCs w:val="24"/>
        </w:rPr>
        <w:t xml:space="preserve"> 1.9 million consumers </w:t>
      </w:r>
      <w:r w:rsidRPr="00286400" w:rsidR="00BA67B3">
        <w:rPr>
          <w:szCs w:val="24"/>
        </w:rPr>
        <w:t xml:space="preserve">for a continuance of </w:t>
      </w:r>
      <w:r w:rsidRPr="00286400" w:rsidR="001B6EF9">
        <w:rPr>
          <w:szCs w:val="24"/>
        </w:rPr>
        <w:t>the schedule in these consolidated cases</w:t>
      </w:r>
      <w:r w:rsidRPr="00286400" w:rsidR="005958D2">
        <w:rPr>
          <w:szCs w:val="24"/>
        </w:rPr>
        <w:t>,</w:t>
      </w:r>
      <w:r w:rsidRPr="00286400" w:rsidR="00416084">
        <w:rPr>
          <w:szCs w:val="24"/>
        </w:rPr>
        <w:t xml:space="preserve"> </w:t>
      </w:r>
      <w:r w:rsidRPr="00286400" w:rsidR="00BA67B3">
        <w:rPr>
          <w:szCs w:val="24"/>
        </w:rPr>
        <w:t>pending the Ohio General Assembly’s consideration of S.B. 10</w:t>
      </w:r>
      <w:r w:rsidRPr="00286400" w:rsidR="001B6EF9">
        <w:rPr>
          <w:szCs w:val="24"/>
        </w:rPr>
        <w:t xml:space="preserve">.  </w:t>
      </w:r>
      <w:r w:rsidRPr="00286400" w:rsidR="007E389D">
        <w:rPr>
          <w:szCs w:val="24"/>
        </w:rPr>
        <w:t xml:space="preserve">In its Memorandum Contra, FirstEnergy </w:t>
      </w:r>
      <w:r w:rsidR="00865F35">
        <w:rPr>
          <w:szCs w:val="24"/>
        </w:rPr>
        <w:t xml:space="preserve">Utilities </w:t>
      </w:r>
      <w:r w:rsidRPr="00286400" w:rsidR="007E389D">
        <w:rPr>
          <w:szCs w:val="24"/>
        </w:rPr>
        <w:t>does not oppose the requested continuance, but asks that a continuance apply to discovery too.</w:t>
      </w:r>
      <w:r>
        <w:rPr>
          <w:rStyle w:val="FootnoteReference"/>
          <w:szCs w:val="24"/>
        </w:rPr>
        <w:footnoteReference w:id="4"/>
      </w:r>
    </w:p>
    <w:p w:rsidR="007E2960" w:rsidRPr="00286400" w:rsidP="00C86047" w14:paraId="7C47FD07" w14:textId="77777777">
      <w:pPr>
        <w:spacing w:line="480" w:lineRule="auto"/>
        <w:ind w:firstLine="720"/>
        <w:rPr>
          <w:szCs w:val="24"/>
        </w:rPr>
      </w:pPr>
      <w:r w:rsidRPr="00286400">
        <w:rPr>
          <w:szCs w:val="24"/>
        </w:rPr>
        <w:t xml:space="preserve">OCC does not oppose </w:t>
      </w:r>
      <w:r w:rsidRPr="00286400" w:rsidR="00FE1C2F">
        <w:rPr>
          <w:szCs w:val="24"/>
        </w:rPr>
        <w:t>continuing</w:t>
      </w:r>
      <w:r w:rsidRPr="00286400">
        <w:rPr>
          <w:szCs w:val="24"/>
        </w:rPr>
        <w:t xml:space="preserve"> </w:t>
      </w:r>
      <w:r w:rsidRPr="00286400">
        <w:rPr>
          <w:i/>
          <w:iCs/>
          <w:szCs w:val="24"/>
        </w:rPr>
        <w:t xml:space="preserve">additional </w:t>
      </w:r>
      <w:r w:rsidRPr="00286400">
        <w:rPr>
          <w:szCs w:val="24"/>
        </w:rPr>
        <w:t xml:space="preserve">discovery.  But </w:t>
      </w:r>
      <w:r w:rsidRPr="00286400" w:rsidR="00AC6AE1">
        <w:rPr>
          <w:szCs w:val="24"/>
        </w:rPr>
        <w:t xml:space="preserve">discovery </w:t>
      </w:r>
      <w:r w:rsidRPr="00286400">
        <w:rPr>
          <w:i/>
          <w:iCs/>
          <w:szCs w:val="24"/>
        </w:rPr>
        <w:t xml:space="preserve">pending </w:t>
      </w:r>
      <w:r w:rsidRPr="00286400" w:rsidR="00AC6AE1">
        <w:rPr>
          <w:szCs w:val="24"/>
        </w:rPr>
        <w:t xml:space="preserve">at the time of the PUCO’s ruling on OCC’s motion </w:t>
      </w:r>
      <w:r w:rsidRPr="00286400">
        <w:rPr>
          <w:szCs w:val="24"/>
        </w:rPr>
        <w:t>should be answered</w:t>
      </w:r>
      <w:r w:rsidRPr="00286400" w:rsidR="00AC6AE1">
        <w:rPr>
          <w:szCs w:val="24"/>
        </w:rPr>
        <w:t>.</w:t>
      </w:r>
      <w:r>
        <w:rPr>
          <w:rStyle w:val="FootnoteReference"/>
          <w:szCs w:val="24"/>
        </w:rPr>
        <w:footnoteReference w:id="5"/>
      </w:r>
      <w:r w:rsidRPr="00286400" w:rsidR="00AC6AE1">
        <w:rPr>
          <w:szCs w:val="24"/>
        </w:rPr>
        <w:t xml:space="preserve">  </w:t>
      </w:r>
    </w:p>
    <w:p w:rsidR="007E389D" w:rsidRPr="00286400" w:rsidP="00C86047" w14:paraId="599500A9" w14:textId="2F73B3FF">
      <w:pPr>
        <w:spacing w:line="480" w:lineRule="auto"/>
        <w:ind w:firstLine="720"/>
        <w:rPr>
          <w:szCs w:val="24"/>
        </w:rPr>
      </w:pPr>
      <w:r w:rsidRPr="00286400">
        <w:rPr>
          <w:szCs w:val="24"/>
        </w:rPr>
        <w:t xml:space="preserve">And discovery matters </w:t>
      </w:r>
      <w:r w:rsidRPr="00286400">
        <w:rPr>
          <w:i/>
          <w:iCs/>
          <w:szCs w:val="24"/>
        </w:rPr>
        <w:t xml:space="preserve">pending </w:t>
      </w:r>
      <w:r w:rsidRPr="00286400">
        <w:rPr>
          <w:szCs w:val="24"/>
        </w:rPr>
        <w:t>at the time of the PUCO’s ruling on OCC’s motion</w:t>
      </w:r>
      <w:r w:rsidRPr="00286400" w:rsidR="007E2960">
        <w:rPr>
          <w:szCs w:val="24"/>
        </w:rPr>
        <w:t>, including OCC’s October 5, 2020 Motion to Compel</w:t>
      </w:r>
      <w:r w:rsidR="00865F35">
        <w:rPr>
          <w:szCs w:val="24"/>
        </w:rPr>
        <w:t>,</w:t>
      </w:r>
      <w:r w:rsidRPr="00286400">
        <w:rPr>
          <w:szCs w:val="24"/>
        </w:rPr>
        <w:t xml:space="preserve"> should be resolved.</w:t>
      </w:r>
      <w:r>
        <w:rPr>
          <w:rStyle w:val="FootnoteReference"/>
          <w:szCs w:val="24"/>
        </w:rPr>
        <w:footnoteReference w:id="6"/>
      </w:r>
      <w:r w:rsidRPr="00286400">
        <w:rPr>
          <w:szCs w:val="24"/>
        </w:rPr>
        <w:t xml:space="preserve">  This would be keeping with the spirit of comments reported to have been made by FirstEnergy</w:t>
      </w:r>
      <w:r w:rsidR="00865F35">
        <w:rPr>
          <w:szCs w:val="24"/>
        </w:rPr>
        <w:t xml:space="preserve"> Utilities</w:t>
      </w:r>
      <w:r w:rsidRPr="00286400">
        <w:rPr>
          <w:szCs w:val="24"/>
        </w:rPr>
        <w:t>’ President and Acting Chief Executive Officer, Steven Strah:</w:t>
      </w:r>
    </w:p>
    <w:p w:rsidR="007E389D" w:rsidRPr="00286400" w:rsidP="006C6FAD" w14:paraId="2AA6CC2E" w14:textId="55B8A164">
      <w:pPr>
        <w:ind w:left="720"/>
        <w:rPr>
          <w:szCs w:val="24"/>
        </w:rPr>
      </w:pPr>
      <w:r w:rsidRPr="00286400">
        <w:rPr>
          <w:color w:val="303030"/>
          <w:szCs w:val="24"/>
          <w:shd w:val="clear" w:color="auto" w:fill="FFFFFF"/>
        </w:rPr>
        <w:t>Our commitment starts at the top and extends throughout the organization, . . .  The utility is committed to creating a company-wide culture in which compliance is second nature and communication is open and transparent, . . .</w:t>
      </w:r>
      <w:r>
        <w:rPr>
          <w:rStyle w:val="FootnoteReference"/>
          <w:color w:val="303030"/>
          <w:szCs w:val="24"/>
          <w:shd w:val="clear" w:color="auto" w:fill="FFFFFF"/>
        </w:rPr>
        <w:footnoteReference w:id="7"/>
      </w:r>
      <w:r w:rsidRPr="00286400">
        <w:rPr>
          <w:szCs w:val="24"/>
        </w:rPr>
        <w:t xml:space="preserve"> </w:t>
      </w:r>
    </w:p>
    <w:p w:rsidR="00F3422F" w:rsidRPr="00286400" w:rsidP="00F3422F" w14:paraId="27145E7C" w14:textId="1ECEDEA2">
      <w:pPr>
        <w:rPr>
          <w:szCs w:val="24"/>
        </w:rPr>
      </w:pPr>
    </w:p>
    <w:p w:rsidR="00F3422F" w:rsidRPr="00286400" w:rsidP="00E57D9A" w14:paraId="013FB889" w14:textId="56CE753A">
      <w:pPr>
        <w:spacing w:line="480" w:lineRule="auto"/>
        <w:ind w:firstLine="720"/>
        <w:rPr>
          <w:szCs w:val="24"/>
        </w:rPr>
      </w:pPr>
      <w:r w:rsidRPr="00286400">
        <w:rPr>
          <w:szCs w:val="24"/>
        </w:rPr>
        <w:t xml:space="preserve">FirstEnergy </w:t>
      </w:r>
      <w:r w:rsidR="00865F35">
        <w:rPr>
          <w:szCs w:val="24"/>
        </w:rPr>
        <w:t xml:space="preserve">Utilities </w:t>
      </w:r>
      <w:r w:rsidRPr="00286400">
        <w:rPr>
          <w:szCs w:val="24"/>
        </w:rPr>
        <w:t xml:space="preserve">in Case No. 20-1034-EL-UNC refused to respond to some of OCC’s </w:t>
      </w:r>
      <w:r w:rsidRPr="00286400" w:rsidR="00E57D9A">
        <w:rPr>
          <w:szCs w:val="24"/>
        </w:rPr>
        <w:t xml:space="preserve">consumer protection </w:t>
      </w:r>
      <w:r w:rsidRPr="00286400">
        <w:rPr>
          <w:szCs w:val="24"/>
        </w:rPr>
        <w:t xml:space="preserve">discovery, which sought </w:t>
      </w:r>
      <w:r w:rsidRPr="00286400" w:rsidR="00E57D9A">
        <w:rPr>
          <w:szCs w:val="24"/>
        </w:rPr>
        <w:t>information that is relevant and reasonably calculated to lead to the discovery of admissible evidence</w:t>
      </w:r>
      <w:r w:rsidRPr="00286400">
        <w:rPr>
          <w:szCs w:val="24"/>
        </w:rPr>
        <w:t>.</w:t>
      </w:r>
      <w:r>
        <w:rPr>
          <w:rStyle w:val="FootnoteReference"/>
          <w:szCs w:val="24"/>
        </w:rPr>
        <w:footnoteReference w:id="8"/>
      </w:r>
      <w:r w:rsidRPr="00286400" w:rsidR="00E57D9A">
        <w:rPr>
          <w:szCs w:val="24"/>
        </w:rPr>
        <w:t xml:space="preserve">  Accordingly, OCC was left with no choice but to file a motion to compel.</w:t>
      </w:r>
      <w:r>
        <w:rPr>
          <w:rStyle w:val="FootnoteReference"/>
          <w:szCs w:val="24"/>
        </w:rPr>
        <w:footnoteReference w:id="9"/>
      </w:r>
      <w:r w:rsidRPr="00286400" w:rsidR="00E57D9A">
        <w:rPr>
          <w:szCs w:val="24"/>
        </w:rPr>
        <w:t xml:space="preserve">  Despite requesting expedited treatment for its </w:t>
      </w:r>
      <w:r w:rsidRPr="00286400" w:rsidR="00FE1C2F">
        <w:rPr>
          <w:szCs w:val="24"/>
        </w:rPr>
        <w:t>m</w:t>
      </w:r>
      <w:r w:rsidRPr="00286400" w:rsidR="00E57D9A">
        <w:rPr>
          <w:szCs w:val="24"/>
        </w:rPr>
        <w:t xml:space="preserve">otion to </w:t>
      </w:r>
      <w:r w:rsidRPr="00286400" w:rsidR="00FE1C2F">
        <w:rPr>
          <w:szCs w:val="24"/>
        </w:rPr>
        <w:t>c</w:t>
      </w:r>
      <w:r w:rsidRPr="00286400" w:rsidR="00E57D9A">
        <w:rPr>
          <w:szCs w:val="24"/>
        </w:rPr>
        <w:t>ompel, over four months have passed without a ruling.</w:t>
      </w:r>
      <w:r w:rsidRPr="00286400" w:rsidR="00FE1C2F">
        <w:rPr>
          <w:szCs w:val="24"/>
        </w:rPr>
        <w:t xml:space="preserve">  Continuing </w:t>
      </w:r>
      <w:r w:rsidRPr="00286400" w:rsidR="00FE1C2F">
        <w:rPr>
          <w:i/>
          <w:iCs/>
          <w:szCs w:val="24"/>
        </w:rPr>
        <w:t xml:space="preserve">additional </w:t>
      </w:r>
      <w:r w:rsidRPr="00286400" w:rsidR="00FE1C2F">
        <w:rPr>
          <w:szCs w:val="24"/>
        </w:rPr>
        <w:t xml:space="preserve">discovery in this case should not impact the PUCO’s ruling on this </w:t>
      </w:r>
      <w:r w:rsidRPr="00286400" w:rsidR="00FE1C2F">
        <w:rPr>
          <w:i/>
          <w:iCs/>
          <w:szCs w:val="24"/>
        </w:rPr>
        <w:t xml:space="preserve">pending </w:t>
      </w:r>
      <w:r w:rsidRPr="00286400" w:rsidR="00FE1C2F">
        <w:rPr>
          <w:szCs w:val="24"/>
        </w:rPr>
        <w:t>motion (or FirstEnergy</w:t>
      </w:r>
      <w:r w:rsidR="00865F35">
        <w:rPr>
          <w:szCs w:val="24"/>
        </w:rPr>
        <w:t xml:space="preserve"> Utilities’</w:t>
      </w:r>
      <w:r w:rsidRPr="00286400" w:rsidR="00FE1C2F">
        <w:rPr>
          <w:szCs w:val="24"/>
        </w:rPr>
        <w:t xml:space="preserve"> compliance with a ruling on the motion).</w:t>
      </w:r>
      <w:r w:rsidRPr="00286400" w:rsidR="00CB3335">
        <w:rPr>
          <w:szCs w:val="24"/>
        </w:rPr>
        <w:t xml:space="preserve">  </w:t>
      </w:r>
      <w:r w:rsidRPr="00286400" w:rsidR="003F24FB">
        <w:rPr>
          <w:szCs w:val="24"/>
        </w:rPr>
        <w:t>To protect consumers, t</w:t>
      </w:r>
      <w:r w:rsidRPr="00286400" w:rsidR="0070229B">
        <w:rPr>
          <w:szCs w:val="24"/>
        </w:rPr>
        <w:t>he PUCO should weigh-in on FirstEnergy</w:t>
      </w:r>
      <w:r w:rsidR="00865F35">
        <w:rPr>
          <w:szCs w:val="24"/>
        </w:rPr>
        <w:t xml:space="preserve"> Utilities’</w:t>
      </w:r>
      <w:r w:rsidRPr="00286400" w:rsidR="0070229B">
        <w:rPr>
          <w:szCs w:val="24"/>
        </w:rPr>
        <w:t xml:space="preserve"> disregard (to consumers’ detriment) of the broad discovery rules permitting ample discovery</w:t>
      </w:r>
      <w:r w:rsidRPr="00286400" w:rsidR="003F24FB">
        <w:rPr>
          <w:szCs w:val="24"/>
        </w:rPr>
        <w:t xml:space="preserve">.  It should </w:t>
      </w:r>
      <w:r w:rsidRPr="00286400" w:rsidR="0070229B">
        <w:rPr>
          <w:szCs w:val="24"/>
        </w:rPr>
        <w:t>rule on OCC’s motion to compel</w:t>
      </w:r>
      <w:r w:rsidRPr="00286400" w:rsidR="003002EF">
        <w:rPr>
          <w:szCs w:val="24"/>
        </w:rPr>
        <w:t xml:space="preserve"> </w:t>
      </w:r>
      <w:r w:rsidRPr="00286400" w:rsidR="007E2960">
        <w:rPr>
          <w:szCs w:val="24"/>
        </w:rPr>
        <w:t>now</w:t>
      </w:r>
      <w:r w:rsidRPr="00286400" w:rsidR="003002EF">
        <w:rPr>
          <w:szCs w:val="24"/>
        </w:rPr>
        <w:t>, and FirstEnergy</w:t>
      </w:r>
      <w:r w:rsidR="00865F35">
        <w:rPr>
          <w:szCs w:val="24"/>
        </w:rPr>
        <w:t xml:space="preserve"> Utilities</w:t>
      </w:r>
      <w:r w:rsidRPr="00286400" w:rsidR="003002EF">
        <w:rPr>
          <w:szCs w:val="24"/>
        </w:rPr>
        <w:t xml:space="preserve"> should comply with that ruling post haste</w:t>
      </w:r>
      <w:r w:rsidRPr="00286400" w:rsidR="0070229B">
        <w:rPr>
          <w:szCs w:val="24"/>
        </w:rPr>
        <w:t>.</w:t>
      </w:r>
      <w:r>
        <w:rPr>
          <w:rStyle w:val="FootnoteReference"/>
          <w:szCs w:val="24"/>
        </w:rPr>
        <w:footnoteReference w:id="10"/>
      </w:r>
      <w:r w:rsidRPr="00286400">
        <w:rPr>
          <w:szCs w:val="24"/>
        </w:rPr>
        <w:t xml:space="preserve"> </w:t>
      </w:r>
    </w:p>
    <w:p w:rsidR="0070229B" w:rsidRPr="00286400" w:rsidP="00E57D9A" w14:paraId="1D202D15" w14:textId="3509915F">
      <w:pPr>
        <w:spacing w:line="480" w:lineRule="auto"/>
        <w:ind w:firstLine="720"/>
        <w:rPr>
          <w:szCs w:val="24"/>
        </w:rPr>
      </w:pPr>
      <w:r w:rsidRPr="00286400">
        <w:rPr>
          <w:szCs w:val="24"/>
        </w:rPr>
        <w:t xml:space="preserve">The PUCO should continue these proceedings, including </w:t>
      </w:r>
      <w:r w:rsidRPr="00286400">
        <w:rPr>
          <w:i/>
          <w:iCs/>
          <w:szCs w:val="24"/>
        </w:rPr>
        <w:t>additional</w:t>
      </w:r>
      <w:r w:rsidRPr="00286400">
        <w:rPr>
          <w:szCs w:val="24"/>
        </w:rPr>
        <w:t xml:space="preserve"> discovery, pending the outcome of S.B. 10.  But discovery (and discovery matters) </w:t>
      </w:r>
      <w:r w:rsidRPr="00286400">
        <w:rPr>
          <w:i/>
          <w:iCs/>
          <w:szCs w:val="24"/>
        </w:rPr>
        <w:t xml:space="preserve">pending </w:t>
      </w:r>
      <w:r w:rsidRPr="00286400">
        <w:rPr>
          <w:szCs w:val="24"/>
        </w:rPr>
        <w:t>at the time of the PUCO’s ruling on OCC’s motion should be answered (and resolved).</w:t>
      </w:r>
    </w:p>
    <w:p w:rsidR="00C86047" w:rsidRPr="00286400" w14:paraId="49A14390" w14:textId="77777777">
      <w:pPr>
        <w:rPr>
          <w:szCs w:val="24"/>
        </w:rPr>
      </w:pPr>
      <w:bookmarkStart w:id="1" w:name="_Hlk529974082"/>
      <w:r w:rsidRPr="00286400">
        <w:rPr>
          <w:szCs w:val="24"/>
        </w:rPr>
        <w:br w:type="page"/>
      </w:r>
    </w:p>
    <w:p w:rsidR="002E181E" w:rsidRPr="00286400" w:rsidP="002E181E" w14:paraId="10525193" w14:textId="76BCF21D">
      <w:pPr>
        <w:pStyle w:val="BodyTextIndent3"/>
        <w:widowControl w:val="0"/>
        <w:spacing w:line="480" w:lineRule="auto"/>
        <w:ind w:left="3600" w:firstLine="0"/>
        <w:rPr>
          <w:szCs w:val="24"/>
        </w:rPr>
      </w:pPr>
      <w:r w:rsidRPr="00286400">
        <w:rPr>
          <w:szCs w:val="24"/>
        </w:rPr>
        <w:t>Respectfully submitted,</w:t>
      </w:r>
    </w:p>
    <w:p w:rsidR="002E181E" w:rsidRPr="00286400" w:rsidP="002E181E" w14:paraId="41103152" w14:textId="77777777">
      <w:pPr>
        <w:ind w:left="3600"/>
        <w:rPr>
          <w:szCs w:val="24"/>
        </w:rPr>
      </w:pPr>
      <w:r w:rsidRPr="00286400">
        <w:rPr>
          <w:szCs w:val="24"/>
        </w:rPr>
        <w:t>Bruce Weston (0016973)</w:t>
      </w:r>
    </w:p>
    <w:p w:rsidR="002E181E" w:rsidRPr="00286400" w:rsidP="002E181E" w14:paraId="2540E41E" w14:textId="77777777">
      <w:pPr>
        <w:tabs>
          <w:tab w:val="left" w:pos="4320"/>
        </w:tabs>
        <w:ind w:left="3600"/>
        <w:rPr>
          <w:szCs w:val="24"/>
        </w:rPr>
      </w:pPr>
      <w:r w:rsidRPr="00286400">
        <w:rPr>
          <w:szCs w:val="24"/>
        </w:rPr>
        <w:t>Ohio Consumers’ Counsel</w:t>
      </w:r>
    </w:p>
    <w:p w:rsidR="002E181E" w:rsidRPr="00286400" w:rsidP="002E181E" w14:paraId="457C17C2" w14:textId="77777777">
      <w:pPr>
        <w:tabs>
          <w:tab w:val="left" w:pos="4320"/>
        </w:tabs>
        <w:ind w:left="3600"/>
        <w:rPr>
          <w:szCs w:val="24"/>
        </w:rPr>
      </w:pPr>
    </w:p>
    <w:p w:rsidR="002E181E" w:rsidRPr="00286400" w:rsidP="002E181E" w14:paraId="44A8448B" w14:textId="49F76A5F">
      <w:pPr>
        <w:autoSpaceDE w:val="0"/>
        <w:autoSpaceDN w:val="0"/>
        <w:adjustRightInd w:val="0"/>
        <w:ind w:left="3600"/>
        <w:rPr>
          <w:i/>
          <w:szCs w:val="24"/>
        </w:rPr>
      </w:pPr>
      <w:r w:rsidRPr="00286400">
        <w:rPr>
          <w:i/>
          <w:szCs w:val="24"/>
          <w:u w:val="single"/>
        </w:rPr>
        <w:t>/s/</w:t>
      </w:r>
      <w:r w:rsidRPr="00286400" w:rsidR="00A34A34">
        <w:rPr>
          <w:i/>
          <w:szCs w:val="24"/>
          <w:u w:val="single"/>
        </w:rPr>
        <w:t xml:space="preserve"> William J. Michael</w:t>
      </w:r>
      <w:r w:rsidRPr="00286400">
        <w:rPr>
          <w:i/>
          <w:szCs w:val="24"/>
          <w:u w:val="single"/>
        </w:rPr>
        <w:tab/>
      </w:r>
      <w:r w:rsidRPr="00286400">
        <w:rPr>
          <w:i/>
          <w:szCs w:val="24"/>
          <w:u w:val="single"/>
        </w:rPr>
        <w:tab/>
      </w:r>
      <w:r w:rsidRPr="00286400">
        <w:rPr>
          <w:i/>
          <w:szCs w:val="24"/>
          <w:u w:val="single"/>
        </w:rPr>
        <w:tab/>
      </w:r>
      <w:r w:rsidRPr="00286400">
        <w:rPr>
          <w:i/>
          <w:szCs w:val="24"/>
          <w:u w:val="single"/>
        </w:rPr>
        <w:tab/>
      </w:r>
    </w:p>
    <w:p w:rsidR="00A34A34" w:rsidRPr="00286400" w:rsidP="00A34A34" w14:paraId="544520A0" w14:textId="77777777">
      <w:pPr>
        <w:tabs>
          <w:tab w:val="left" w:pos="4320"/>
        </w:tabs>
        <w:ind w:left="3600"/>
        <w:rPr>
          <w:szCs w:val="24"/>
        </w:rPr>
      </w:pPr>
      <w:r w:rsidRPr="00286400">
        <w:rPr>
          <w:szCs w:val="24"/>
        </w:rPr>
        <w:t>William J. Michael (0070921)</w:t>
      </w:r>
    </w:p>
    <w:p w:rsidR="00A34A34" w:rsidRPr="00286400" w:rsidP="00A34A34" w14:paraId="7B018EDD" w14:textId="77777777">
      <w:pPr>
        <w:tabs>
          <w:tab w:val="left" w:pos="4320"/>
        </w:tabs>
        <w:ind w:left="3600"/>
        <w:rPr>
          <w:szCs w:val="24"/>
        </w:rPr>
      </w:pPr>
      <w:r w:rsidRPr="00286400">
        <w:rPr>
          <w:szCs w:val="24"/>
        </w:rPr>
        <w:t>Counsel of Record for Case No. 18-857-EL-UNC</w:t>
      </w:r>
    </w:p>
    <w:p w:rsidR="002E181E" w:rsidRPr="00286400" w:rsidP="002E181E" w14:paraId="065A64E3" w14:textId="44CCDD25">
      <w:pPr>
        <w:tabs>
          <w:tab w:val="left" w:pos="4320"/>
        </w:tabs>
        <w:ind w:left="3600"/>
        <w:rPr>
          <w:szCs w:val="24"/>
        </w:rPr>
      </w:pPr>
      <w:r w:rsidRPr="00286400">
        <w:rPr>
          <w:szCs w:val="24"/>
        </w:rPr>
        <w:t>Angela D. O’Brien (0097579)</w:t>
      </w:r>
    </w:p>
    <w:p w:rsidR="002E181E" w:rsidRPr="00286400" w:rsidP="002E181E" w14:paraId="54DD0A84" w14:textId="77777777">
      <w:pPr>
        <w:tabs>
          <w:tab w:val="left" w:pos="4320"/>
        </w:tabs>
        <w:ind w:left="3600"/>
        <w:rPr>
          <w:szCs w:val="24"/>
        </w:rPr>
      </w:pPr>
      <w:r w:rsidRPr="00286400">
        <w:rPr>
          <w:szCs w:val="24"/>
        </w:rPr>
        <w:t>Counsel of Record for Case No. 19-1338-EL-UNC</w:t>
      </w:r>
    </w:p>
    <w:p w:rsidR="002E181E" w:rsidRPr="00286400" w:rsidP="002E181E" w14:paraId="3EE950AE" w14:textId="77777777">
      <w:pPr>
        <w:tabs>
          <w:tab w:val="left" w:pos="4320"/>
        </w:tabs>
        <w:ind w:left="3600"/>
        <w:rPr>
          <w:szCs w:val="24"/>
        </w:rPr>
      </w:pPr>
      <w:r w:rsidRPr="00286400">
        <w:rPr>
          <w:szCs w:val="24"/>
        </w:rPr>
        <w:t>Amy Botschner O’Brien (0074423)</w:t>
      </w:r>
    </w:p>
    <w:p w:rsidR="002E181E" w:rsidRPr="00286400" w:rsidP="002E181E" w14:paraId="17C8FE2D" w14:textId="77777777">
      <w:pPr>
        <w:tabs>
          <w:tab w:val="left" w:pos="4320"/>
        </w:tabs>
        <w:ind w:left="3600"/>
        <w:rPr>
          <w:szCs w:val="24"/>
        </w:rPr>
      </w:pPr>
      <w:r w:rsidRPr="00286400">
        <w:rPr>
          <w:szCs w:val="24"/>
        </w:rPr>
        <w:t>Counsel of Record for Case No. 20-1034-EL-UNC</w:t>
      </w:r>
    </w:p>
    <w:p w:rsidR="002E181E" w:rsidRPr="00286400" w:rsidP="002E181E" w14:paraId="14CBCB75" w14:textId="77777777">
      <w:pPr>
        <w:tabs>
          <w:tab w:val="left" w:pos="4320"/>
        </w:tabs>
        <w:ind w:left="3600"/>
        <w:rPr>
          <w:szCs w:val="24"/>
        </w:rPr>
      </w:pPr>
      <w:r w:rsidRPr="00286400">
        <w:rPr>
          <w:szCs w:val="24"/>
        </w:rPr>
        <w:t>Christopher Healey (0086027)</w:t>
      </w:r>
    </w:p>
    <w:p w:rsidR="002E181E" w:rsidRPr="00286400" w:rsidP="002E181E" w14:paraId="69490970" w14:textId="77777777">
      <w:pPr>
        <w:tabs>
          <w:tab w:val="left" w:pos="4320"/>
        </w:tabs>
        <w:ind w:left="3600"/>
        <w:rPr>
          <w:szCs w:val="24"/>
        </w:rPr>
      </w:pPr>
      <w:r w:rsidRPr="00286400">
        <w:rPr>
          <w:szCs w:val="24"/>
        </w:rPr>
        <w:t>Counsel of Record for Case No. 20-1476-EL-UNC</w:t>
      </w:r>
    </w:p>
    <w:p w:rsidR="002E181E" w:rsidRPr="00286400" w:rsidP="002E181E" w14:paraId="2CC7BFD9" w14:textId="77777777">
      <w:pPr>
        <w:tabs>
          <w:tab w:val="left" w:pos="4320"/>
        </w:tabs>
        <w:ind w:left="3600"/>
        <w:rPr>
          <w:szCs w:val="24"/>
        </w:rPr>
      </w:pPr>
      <w:r w:rsidRPr="00286400">
        <w:rPr>
          <w:szCs w:val="24"/>
        </w:rPr>
        <w:t>Assistant Consumers’ Counsel</w:t>
      </w:r>
      <w:r w:rsidRPr="00286400">
        <w:rPr>
          <w:szCs w:val="24"/>
        </w:rPr>
        <w:br/>
      </w:r>
    </w:p>
    <w:p w:rsidR="002E181E" w:rsidRPr="00286400" w:rsidP="002E181E" w14:paraId="0617B1A4" w14:textId="77777777">
      <w:pPr>
        <w:tabs>
          <w:tab w:val="left" w:pos="4320"/>
        </w:tabs>
        <w:ind w:left="3600"/>
        <w:rPr>
          <w:b/>
          <w:szCs w:val="24"/>
        </w:rPr>
      </w:pPr>
      <w:r w:rsidRPr="00286400">
        <w:rPr>
          <w:b/>
          <w:szCs w:val="24"/>
        </w:rPr>
        <w:t>Office of the Ohio Consumers' Counsel</w:t>
      </w:r>
    </w:p>
    <w:p w:rsidR="002E181E" w:rsidRPr="00286400" w:rsidP="002E181E" w14:paraId="560690D5" w14:textId="77777777">
      <w:pPr>
        <w:tabs>
          <w:tab w:val="left" w:pos="4320"/>
        </w:tabs>
        <w:ind w:left="3600"/>
        <w:rPr>
          <w:szCs w:val="24"/>
        </w:rPr>
      </w:pPr>
      <w:r w:rsidRPr="00286400">
        <w:rPr>
          <w:szCs w:val="24"/>
        </w:rPr>
        <w:t>65 E. State Street, 7</w:t>
      </w:r>
      <w:r w:rsidRPr="00286400">
        <w:rPr>
          <w:szCs w:val="24"/>
          <w:vertAlign w:val="superscript"/>
        </w:rPr>
        <w:t>th</w:t>
      </w:r>
      <w:r w:rsidRPr="00286400">
        <w:rPr>
          <w:szCs w:val="24"/>
        </w:rPr>
        <w:t xml:space="preserve"> Floor</w:t>
      </w:r>
    </w:p>
    <w:p w:rsidR="002E181E" w:rsidRPr="00286400" w:rsidP="002E181E" w14:paraId="54EF1451" w14:textId="77777777">
      <w:pPr>
        <w:tabs>
          <w:tab w:val="left" w:pos="4320"/>
        </w:tabs>
        <w:ind w:left="3600"/>
        <w:rPr>
          <w:szCs w:val="24"/>
        </w:rPr>
      </w:pPr>
      <w:r w:rsidRPr="00286400">
        <w:rPr>
          <w:szCs w:val="24"/>
        </w:rPr>
        <w:t>Columbus, Ohio 43215</w:t>
      </w:r>
    </w:p>
    <w:p w:rsidR="002E181E" w:rsidRPr="00286400" w:rsidP="002E181E" w14:paraId="72EB5891" w14:textId="77777777">
      <w:pPr>
        <w:tabs>
          <w:tab w:val="left" w:pos="4320"/>
        </w:tabs>
        <w:ind w:left="3600"/>
        <w:rPr>
          <w:szCs w:val="24"/>
        </w:rPr>
      </w:pPr>
      <w:r w:rsidRPr="00286400">
        <w:rPr>
          <w:szCs w:val="24"/>
        </w:rPr>
        <w:t>Telephone [O’Brien] (614) 466-9531</w:t>
      </w:r>
    </w:p>
    <w:p w:rsidR="002E181E" w:rsidRPr="00286400" w:rsidP="002E181E" w14:paraId="49B19728" w14:textId="77777777">
      <w:pPr>
        <w:tabs>
          <w:tab w:val="left" w:pos="4320"/>
        </w:tabs>
        <w:ind w:left="3600"/>
        <w:rPr>
          <w:szCs w:val="24"/>
        </w:rPr>
      </w:pPr>
      <w:r w:rsidRPr="00286400">
        <w:rPr>
          <w:szCs w:val="24"/>
        </w:rPr>
        <w:t>Telephone [Botschner O’Brien] (614) 466-9575</w:t>
      </w:r>
    </w:p>
    <w:p w:rsidR="002E181E" w:rsidRPr="00286400" w:rsidP="002E181E" w14:paraId="3D00A356" w14:textId="77777777">
      <w:pPr>
        <w:tabs>
          <w:tab w:val="left" w:pos="4320"/>
        </w:tabs>
        <w:ind w:left="3600"/>
        <w:rPr>
          <w:szCs w:val="24"/>
        </w:rPr>
      </w:pPr>
      <w:r w:rsidRPr="00286400">
        <w:rPr>
          <w:szCs w:val="24"/>
        </w:rPr>
        <w:t>Telephone [Healey] (614) 466-9571</w:t>
      </w:r>
    </w:p>
    <w:p w:rsidR="002E181E" w:rsidRPr="00286400" w:rsidP="002E181E" w14:paraId="5C86F0DC" w14:textId="77777777">
      <w:pPr>
        <w:tabs>
          <w:tab w:val="left" w:pos="4320"/>
        </w:tabs>
        <w:ind w:left="3600"/>
        <w:rPr>
          <w:szCs w:val="24"/>
        </w:rPr>
      </w:pPr>
      <w:r w:rsidRPr="00286400">
        <w:rPr>
          <w:szCs w:val="24"/>
        </w:rPr>
        <w:t>Telephone [Michael] (614) 466-1291</w:t>
      </w:r>
    </w:p>
    <w:p w:rsidR="00A34A34" w:rsidRPr="00286400" w:rsidP="00A34A34" w14:paraId="5F3287B3" w14:textId="77777777">
      <w:pPr>
        <w:ind w:left="3600"/>
        <w:rPr>
          <w:szCs w:val="24"/>
        </w:rPr>
      </w:pPr>
      <w:hyperlink r:id="rId7" w:history="1">
        <w:r w:rsidRPr="00286400" w:rsidR="005958D2">
          <w:rPr>
            <w:rStyle w:val="Hyperlink"/>
            <w:szCs w:val="24"/>
          </w:rPr>
          <w:t>william.michael@occ.ohio.gov</w:t>
        </w:r>
      </w:hyperlink>
      <w:r w:rsidRPr="00286400" w:rsidR="005958D2">
        <w:rPr>
          <w:szCs w:val="24"/>
        </w:rPr>
        <w:t xml:space="preserve"> </w:t>
      </w:r>
    </w:p>
    <w:p w:rsidR="002E181E" w:rsidRPr="00286400" w:rsidP="002E181E" w14:paraId="3FD300DD" w14:textId="1F120572">
      <w:pPr>
        <w:ind w:left="3600"/>
        <w:rPr>
          <w:szCs w:val="24"/>
        </w:rPr>
      </w:pPr>
      <w:hyperlink r:id="rId8" w:history="1">
        <w:r w:rsidRPr="00286400" w:rsidR="00A34A34">
          <w:rPr>
            <w:rStyle w:val="Hyperlink"/>
            <w:szCs w:val="24"/>
          </w:rPr>
          <w:t>angela.obrien@occ.ohio.gov</w:t>
        </w:r>
      </w:hyperlink>
    </w:p>
    <w:p w:rsidR="002E181E" w:rsidRPr="00286400" w:rsidP="002E181E" w14:paraId="1CD4E911" w14:textId="77777777">
      <w:pPr>
        <w:ind w:left="3600"/>
        <w:rPr>
          <w:szCs w:val="24"/>
        </w:rPr>
      </w:pPr>
      <w:hyperlink r:id="rId9" w:history="1">
        <w:r w:rsidRPr="00286400" w:rsidR="005958D2">
          <w:rPr>
            <w:rStyle w:val="Hyperlink"/>
            <w:szCs w:val="24"/>
          </w:rPr>
          <w:t>amy.botschner.obrien@occ.ohio.gov</w:t>
        </w:r>
      </w:hyperlink>
      <w:r w:rsidRPr="00286400" w:rsidR="005958D2">
        <w:rPr>
          <w:szCs w:val="24"/>
        </w:rPr>
        <w:t xml:space="preserve"> </w:t>
      </w:r>
    </w:p>
    <w:p w:rsidR="002E181E" w:rsidRPr="00286400" w:rsidP="002E181E" w14:paraId="2EFDEF4B" w14:textId="77777777">
      <w:pPr>
        <w:ind w:left="3600"/>
        <w:rPr>
          <w:szCs w:val="24"/>
        </w:rPr>
      </w:pPr>
      <w:hyperlink r:id="rId10" w:history="1">
        <w:r w:rsidRPr="00286400" w:rsidR="005958D2">
          <w:rPr>
            <w:rStyle w:val="Hyperlink"/>
            <w:szCs w:val="24"/>
          </w:rPr>
          <w:t>christopher.healey@occ.ohio.gov</w:t>
        </w:r>
      </w:hyperlink>
    </w:p>
    <w:p w:rsidR="002E181E" w:rsidRPr="00286400" w:rsidP="002E181E" w14:paraId="33A41B78" w14:textId="1BA5DC40">
      <w:pPr>
        <w:autoSpaceDE w:val="0"/>
        <w:autoSpaceDN w:val="0"/>
        <w:adjustRightInd w:val="0"/>
        <w:spacing w:line="480" w:lineRule="auto"/>
        <w:ind w:left="3600"/>
        <w:rPr>
          <w:szCs w:val="24"/>
        </w:rPr>
      </w:pPr>
      <w:r w:rsidRPr="00286400">
        <w:rPr>
          <w:szCs w:val="24"/>
        </w:rPr>
        <w:t>(willing to accept service by e-mail)</w:t>
      </w:r>
    </w:p>
    <w:p w:rsidR="0070229B" w:rsidRPr="00286400" w:rsidP="002E181E" w14:paraId="44FF45F0" w14:textId="6B3E50BA">
      <w:pPr>
        <w:autoSpaceDE w:val="0"/>
        <w:autoSpaceDN w:val="0"/>
        <w:adjustRightInd w:val="0"/>
        <w:spacing w:line="480" w:lineRule="auto"/>
        <w:ind w:left="3600"/>
        <w:rPr>
          <w:szCs w:val="24"/>
        </w:rPr>
      </w:pPr>
    </w:p>
    <w:p w:rsidR="0070229B" w:rsidRPr="00286400" w:rsidP="002E181E" w14:paraId="50ABD253" w14:textId="367BEC76">
      <w:pPr>
        <w:autoSpaceDE w:val="0"/>
        <w:autoSpaceDN w:val="0"/>
        <w:adjustRightInd w:val="0"/>
        <w:spacing w:line="480" w:lineRule="auto"/>
        <w:ind w:left="3600"/>
        <w:rPr>
          <w:szCs w:val="24"/>
        </w:rPr>
      </w:pPr>
    </w:p>
    <w:p w:rsidR="0070229B" w:rsidRPr="00286400" w:rsidP="002E181E" w14:paraId="4B2B2A68" w14:textId="79BC9202">
      <w:pPr>
        <w:autoSpaceDE w:val="0"/>
        <w:autoSpaceDN w:val="0"/>
        <w:adjustRightInd w:val="0"/>
        <w:spacing w:line="480" w:lineRule="auto"/>
        <w:ind w:left="3600"/>
        <w:rPr>
          <w:szCs w:val="24"/>
        </w:rPr>
      </w:pPr>
    </w:p>
    <w:p w:rsidR="0070229B" w:rsidRPr="00286400" w:rsidP="002E181E" w14:paraId="523A40D3" w14:textId="6AAACAFA">
      <w:pPr>
        <w:autoSpaceDE w:val="0"/>
        <w:autoSpaceDN w:val="0"/>
        <w:adjustRightInd w:val="0"/>
        <w:spacing w:line="480" w:lineRule="auto"/>
        <w:ind w:left="3600"/>
        <w:rPr>
          <w:szCs w:val="24"/>
        </w:rPr>
      </w:pPr>
    </w:p>
    <w:p w:rsidR="0070229B" w:rsidRPr="00286400" w:rsidP="002E181E" w14:paraId="3539CC36" w14:textId="43F84BEC">
      <w:pPr>
        <w:autoSpaceDE w:val="0"/>
        <w:autoSpaceDN w:val="0"/>
        <w:adjustRightInd w:val="0"/>
        <w:spacing w:line="480" w:lineRule="auto"/>
        <w:ind w:left="3600"/>
        <w:rPr>
          <w:szCs w:val="24"/>
        </w:rPr>
      </w:pPr>
    </w:p>
    <w:p w:rsidR="0070229B" w:rsidRPr="00286400" w:rsidP="002E181E" w14:paraId="2785724E" w14:textId="0AB0A003">
      <w:pPr>
        <w:autoSpaceDE w:val="0"/>
        <w:autoSpaceDN w:val="0"/>
        <w:adjustRightInd w:val="0"/>
        <w:spacing w:line="480" w:lineRule="auto"/>
        <w:ind w:left="3600"/>
        <w:rPr>
          <w:szCs w:val="24"/>
        </w:rPr>
      </w:pPr>
    </w:p>
    <w:p w:rsidR="0070229B" w:rsidRPr="00286400" w:rsidP="002E181E" w14:paraId="34F74598" w14:textId="387B8E7F">
      <w:pPr>
        <w:autoSpaceDE w:val="0"/>
        <w:autoSpaceDN w:val="0"/>
        <w:adjustRightInd w:val="0"/>
        <w:spacing w:line="480" w:lineRule="auto"/>
        <w:ind w:left="3600"/>
        <w:rPr>
          <w:szCs w:val="24"/>
        </w:rPr>
      </w:pPr>
    </w:p>
    <w:p w:rsidR="0070229B" w:rsidRPr="00286400" w:rsidP="002E181E" w14:paraId="77167247" w14:textId="2A394E53">
      <w:pPr>
        <w:autoSpaceDE w:val="0"/>
        <w:autoSpaceDN w:val="0"/>
        <w:adjustRightInd w:val="0"/>
        <w:spacing w:line="480" w:lineRule="auto"/>
        <w:ind w:left="3600"/>
        <w:rPr>
          <w:szCs w:val="24"/>
        </w:rPr>
      </w:pPr>
    </w:p>
    <w:p w:rsidR="0070229B" w:rsidRPr="00286400" w:rsidP="002E181E" w14:paraId="737E853D" w14:textId="77777777">
      <w:pPr>
        <w:autoSpaceDE w:val="0"/>
        <w:autoSpaceDN w:val="0"/>
        <w:adjustRightInd w:val="0"/>
        <w:spacing w:line="480" w:lineRule="auto"/>
        <w:ind w:left="3600"/>
        <w:rPr>
          <w:szCs w:val="24"/>
        </w:rPr>
      </w:pPr>
    </w:p>
    <w:bookmarkEnd w:id="1"/>
    <w:p w:rsidR="007C2976" w:rsidRPr="00286400" w:rsidP="007C2976" w14:paraId="7406A458" w14:textId="5A08B8C9">
      <w:pPr>
        <w:jc w:val="center"/>
        <w:rPr>
          <w:b/>
          <w:bCs/>
          <w:szCs w:val="24"/>
          <w:u w:val="single"/>
        </w:rPr>
      </w:pPr>
      <w:r w:rsidRPr="00286400">
        <w:rPr>
          <w:b/>
          <w:bCs/>
          <w:szCs w:val="24"/>
          <w:u w:val="single"/>
        </w:rPr>
        <w:t>C</w:t>
      </w:r>
      <w:r w:rsidRPr="00286400" w:rsidR="005958D2">
        <w:rPr>
          <w:b/>
          <w:bCs/>
          <w:szCs w:val="24"/>
          <w:u w:val="single"/>
        </w:rPr>
        <w:t>ERTIFICATE OF SERVICE</w:t>
      </w:r>
    </w:p>
    <w:p w:rsidR="007C2976" w:rsidRPr="00286400" w:rsidP="00D0554D" w14:paraId="3DDBAB85" w14:textId="20F56894">
      <w:pPr>
        <w:spacing w:line="480" w:lineRule="atLeast"/>
        <w:ind w:firstLine="720"/>
        <w:rPr>
          <w:szCs w:val="24"/>
        </w:rPr>
      </w:pPr>
      <w:r w:rsidRPr="00286400">
        <w:rPr>
          <w:szCs w:val="24"/>
        </w:rPr>
        <w:t xml:space="preserve">I hereby certify that a copy of this </w:t>
      </w:r>
      <w:r w:rsidRPr="00286400" w:rsidR="003A30F5">
        <w:rPr>
          <w:szCs w:val="24"/>
        </w:rPr>
        <w:t>Reply</w:t>
      </w:r>
      <w:r w:rsidRPr="00286400">
        <w:rPr>
          <w:szCs w:val="24"/>
        </w:rPr>
        <w:t xml:space="preserve"> was served on the persons stated below via</w:t>
      </w:r>
      <w:r w:rsidRPr="00286400">
        <w:rPr>
          <w:i/>
          <w:szCs w:val="24"/>
        </w:rPr>
        <w:t xml:space="preserve"> </w:t>
      </w:r>
      <w:r w:rsidRPr="00286400">
        <w:rPr>
          <w:szCs w:val="24"/>
        </w:rPr>
        <w:t xml:space="preserve">electric transmission this </w:t>
      </w:r>
      <w:r w:rsidRPr="00286400" w:rsidR="003A30F5">
        <w:rPr>
          <w:szCs w:val="24"/>
        </w:rPr>
        <w:t>23rd</w:t>
      </w:r>
      <w:r w:rsidRPr="00286400">
        <w:rPr>
          <w:szCs w:val="24"/>
        </w:rPr>
        <w:t xml:space="preserve"> day of </w:t>
      </w:r>
      <w:r w:rsidRPr="00286400" w:rsidR="002E181E">
        <w:rPr>
          <w:szCs w:val="24"/>
        </w:rPr>
        <w:t>February 2021</w:t>
      </w:r>
      <w:r w:rsidRPr="00286400">
        <w:rPr>
          <w:szCs w:val="24"/>
        </w:rPr>
        <w:t>.</w:t>
      </w:r>
    </w:p>
    <w:p w:rsidR="007C2976" w:rsidRPr="00286400" w:rsidP="007C2976" w14:paraId="2F4FE85B" w14:textId="77777777">
      <w:pPr>
        <w:spacing w:line="480" w:lineRule="atLeast"/>
        <w:rPr>
          <w:szCs w:val="24"/>
        </w:rPr>
      </w:pPr>
    </w:p>
    <w:p w:rsidR="004F3219" w:rsidRPr="00286400" w:rsidP="004F3219" w14:paraId="2791B923" w14:textId="7253580C">
      <w:pPr>
        <w:tabs>
          <w:tab w:val="left" w:pos="4320"/>
        </w:tabs>
        <w:ind w:left="4320"/>
        <w:rPr>
          <w:szCs w:val="24"/>
        </w:rPr>
      </w:pPr>
      <w:r w:rsidRPr="00286400">
        <w:rPr>
          <w:i/>
          <w:szCs w:val="24"/>
          <w:u w:val="single"/>
        </w:rPr>
        <w:t>/s/</w:t>
      </w:r>
      <w:r w:rsidRPr="00286400" w:rsidR="00A34A34">
        <w:rPr>
          <w:i/>
          <w:szCs w:val="24"/>
          <w:u w:val="single"/>
        </w:rPr>
        <w:t xml:space="preserve"> Willian J. Michael</w:t>
      </w:r>
      <w:r w:rsidRPr="00286400">
        <w:rPr>
          <w:i/>
          <w:szCs w:val="24"/>
          <w:u w:val="single"/>
        </w:rPr>
        <w:tab/>
      </w:r>
      <w:r w:rsidRPr="00286400">
        <w:rPr>
          <w:i/>
          <w:szCs w:val="24"/>
          <w:u w:val="single"/>
        </w:rPr>
        <w:tab/>
      </w:r>
    </w:p>
    <w:p w:rsidR="00A34A34" w:rsidRPr="00286400" w:rsidP="00C05D8D" w14:paraId="16188FB7" w14:textId="150176BC">
      <w:pPr>
        <w:tabs>
          <w:tab w:val="left" w:pos="4320"/>
        </w:tabs>
        <w:ind w:left="4320"/>
        <w:rPr>
          <w:szCs w:val="24"/>
        </w:rPr>
      </w:pPr>
      <w:r w:rsidRPr="00286400">
        <w:rPr>
          <w:szCs w:val="24"/>
        </w:rPr>
        <w:t>William J. Michael</w:t>
      </w:r>
    </w:p>
    <w:p w:rsidR="007C2976" w:rsidRPr="00286400" w:rsidP="00C05D8D" w14:paraId="4A1102A0" w14:textId="4A85F326">
      <w:pPr>
        <w:tabs>
          <w:tab w:val="left" w:pos="4320"/>
        </w:tabs>
        <w:ind w:left="4320"/>
        <w:rPr>
          <w:szCs w:val="24"/>
        </w:rPr>
      </w:pPr>
      <w:r w:rsidRPr="00286400">
        <w:rPr>
          <w:szCs w:val="24"/>
        </w:rPr>
        <w:t xml:space="preserve">Assistant Consumer’s Counsel </w:t>
      </w:r>
    </w:p>
    <w:p w:rsidR="0070229B" w:rsidRPr="00286400" w:rsidP="00C05D8D" w14:paraId="0FCDE754" w14:textId="693031EB">
      <w:pPr>
        <w:tabs>
          <w:tab w:val="left" w:pos="4320"/>
        </w:tabs>
        <w:ind w:left="4320"/>
        <w:rPr>
          <w:szCs w:val="24"/>
        </w:rPr>
      </w:pPr>
    </w:p>
    <w:p w:rsidR="0070229B" w:rsidRPr="00286400" w:rsidP="00C05D8D" w14:paraId="78F7EB3F" w14:textId="77777777">
      <w:pPr>
        <w:tabs>
          <w:tab w:val="left" w:pos="4320"/>
        </w:tabs>
        <w:ind w:left="4320"/>
        <w:rPr>
          <w:szCs w:val="24"/>
        </w:rPr>
      </w:pPr>
    </w:p>
    <w:p w:rsidR="00A876E7" w:rsidRPr="00286400" w:rsidP="00A876E7" w14:paraId="5CB27791" w14:textId="77777777">
      <w:pPr>
        <w:pStyle w:val="CommentText"/>
      </w:pPr>
    </w:p>
    <w:p w:rsidR="00A876E7" w:rsidRPr="00286400" w:rsidP="00A876E7" w14:paraId="41559B0B" w14:textId="6275CFD1">
      <w:pPr>
        <w:pStyle w:val="CommentText"/>
      </w:pPr>
      <w:r w:rsidRPr="00286400">
        <w:t>The PUCO’s e-filing system will electronically serve notice of the filing of this document on the following parties:</w:t>
      </w:r>
    </w:p>
    <w:p w:rsidR="00A876E7" w:rsidRPr="00286400" w:rsidP="00A876E7" w14:paraId="0C29C52C" w14:textId="77777777">
      <w:pPr>
        <w:tabs>
          <w:tab w:val="left" w:pos="4320"/>
        </w:tabs>
        <w:rPr>
          <w:b/>
          <w:szCs w:val="24"/>
          <w:u w:val="single"/>
        </w:rPr>
      </w:pPr>
    </w:p>
    <w:p w:rsidR="00A876E7" w:rsidRPr="00286400" w:rsidP="00A876E7" w14:paraId="397DEA19" w14:textId="77777777">
      <w:pPr>
        <w:pStyle w:val="CommentText"/>
        <w:jc w:val="center"/>
        <w:rPr>
          <w:b/>
          <w:u w:val="single"/>
        </w:rPr>
      </w:pPr>
    </w:p>
    <w:p w:rsidR="00A876E7" w:rsidRPr="00286400" w:rsidP="00A876E7" w14:paraId="71008E24" w14:textId="77777777">
      <w:pPr>
        <w:pStyle w:val="CommentText"/>
        <w:jc w:val="center"/>
        <w:rPr>
          <w:b/>
          <w:bCs/>
          <w:u w:val="single"/>
        </w:rPr>
      </w:pPr>
      <w:r w:rsidRPr="00286400">
        <w:rPr>
          <w:b/>
          <w:bCs/>
          <w:u w:val="single"/>
        </w:rPr>
        <w:t>SERVICE LIST</w:t>
      </w:r>
    </w:p>
    <w:p w:rsidR="00A876E7" w:rsidRPr="00286400" w:rsidP="00A876E7" w14:paraId="3D59E3D4" w14:textId="77777777">
      <w:pPr>
        <w:pStyle w:val="CommentText"/>
        <w:jc w:val="center"/>
        <w:rPr>
          <w:b/>
          <w:u w:val="single"/>
        </w:rPr>
      </w:pPr>
    </w:p>
    <w:tbl>
      <w:tblPr>
        <w:tblW w:w="0" w:type="auto"/>
        <w:tblLook w:val="04A0"/>
      </w:tblPr>
      <w:tblGrid>
        <w:gridCol w:w="4410"/>
        <w:gridCol w:w="4230"/>
      </w:tblGrid>
      <w:tr w14:paraId="28D571FB" w14:textId="77777777" w:rsidTr="009E7557">
        <w:tblPrEx>
          <w:tblW w:w="0" w:type="auto"/>
          <w:tblLook w:val="04A0"/>
        </w:tblPrEx>
        <w:tc>
          <w:tcPr>
            <w:tcW w:w="4428" w:type="dxa"/>
            <w:shd w:val="clear" w:color="auto" w:fill="auto"/>
          </w:tcPr>
          <w:p w:rsidR="00A876E7" w:rsidRPr="00286400" w:rsidP="009E7557" w14:paraId="3C861375" w14:textId="77777777">
            <w:pPr>
              <w:pStyle w:val="CommentText"/>
            </w:pPr>
            <w:hyperlink r:id="rId11" w:history="1">
              <w:r w:rsidRPr="00286400" w:rsidR="005958D2">
                <w:rPr>
                  <w:rStyle w:val="Hyperlink"/>
                </w:rPr>
                <w:t>Werner.margard@ohioattorneygeneral.gov</w:t>
              </w:r>
            </w:hyperlink>
          </w:p>
          <w:p w:rsidR="00A876E7" w:rsidRPr="00286400" w:rsidP="009E7557" w14:paraId="7EA5485E" w14:textId="77777777">
            <w:pPr>
              <w:pStyle w:val="CommentText"/>
              <w:rPr>
                <w:rStyle w:val="Hyperlink"/>
              </w:rPr>
            </w:pPr>
            <w:hyperlink r:id="rId12" w:history="1">
              <w:r w:rsidRPr="00286400" w:rsidR="005958D2">
                <w:rPr>
                  <w:rStyle w:val="Hyperlink"/>
                </w:rPr>
                <w:t>Kyle.kern@ohioattorneygeneral.gov</w:t>
              </w:r>
            </w:hyperlink>
          </w:p>
          <w:p w:rsidR="00A876E7" w:rsidRPr="00286400" w:rsidP="009E7557" w14:paraId="25D62853" w14:textId="77777777">
            <w:pPr>
              <w:pStyle w:val="CommentText"/>
            </w:pPr>
            <w:hyperlink r:id="rId13" w:history="1">
              <w:r w:rsidRPr="00286400" w:rsidR="005958D2">
                <w:rPr>
                  <w:rStyle w:val="Hyperlink"/>
                </w:rPr>
                <w:t>mkurtz@BKLlawfirm.com</w:t>
              </w:r>
            </w:hyperlink>
          </w:p>
          <w:p w:rsidR="00A876E7" w:rsidRPr="00286400" w:rsidP="009E7557" w14:paraId="23D5BA77" w14:textId="77777777">
            <w:pPr>
              <w:pStyle w:val="CommentText"/>
            </w:pPr>
            <w:hyperlink r:id="rId14" w:history="1">
              <w:r w:rsidRPr="00286400" w:rsidR="005958D2">
                <w:rPr>
                  <w:rStyle w:val="Hyperlink"/>
                </w:rPr>
                <w:t>Kboehm@BKLlawfirm.com</w:t>
              </w:r>
            </w:hyperlink>
          </w:p>
          <w:p w:rsidR="00A876E7" w:rsidRPr="00286400" w:rsidP="009E7557" w14:paraId="595F378D" w14:textId="77777777">
            <w:pPr>
              <w:pStyle w:val="CommentText"/>
              <w:rPr>
                <w:rStyle w:val="Hyperlink"/>
              </w:rPr>
            </w:pPr>
            <w:hyperlink r:id="rId15" w:history="1">
              <w:r w:rsidRPr="00286400" w:rsidR="005958D2">
                <w:rPr>
                  <w:rStyle w:val="Hyperlink"/>
                </w:rPr>
                <w:t>jkylercohn@BKLlawfirm.com</w:t>
              </w:r>
            </w:hyperlink>
          </w:p>
          <w:p w:rsidR="00A876E7" w:rsidRPr="00286400" w:rsidP="009E7557" w14:paraId="34E311A3" w14:textId="77777777">
            <w:pPr>
              <w:autoSpaceDE w:val="0"/>
              <w:autoSpaceDN w:val="0"/>
              <w:adjustRightInd w:val="0"/>
              <w:rPr>
                <w:rFonts w:eastAsiaTheme="minorHAnsi"/>
                <w:color w:val="0000FF"/>
                <w:szCs w:val="24"/>
              </w:rPr>
            </w:pPr>
            <w:hyperlink r:id="rId16" w:history="1">
              <w:r w:rsidRPr="00286400" w:rsidR="005958D2">
                <w:rPr>
                  <w:rStyle w:val="Hyperlink"/>
                  <w:rFonts w:eastAsiaTheme="minorHAnsi"/>
                  <w:szCs w:val="24"/>
                </w:rPr>
                <w:t>mpritchard@mcneeslaw.com</w:t>
              </w:r>
            </w:hyperlink>
          </w:p>
          <w:p w:rsidR="00A876E7" w:rsidRPr="00286400" w:rsidP="009E7557" w14:paraId="062865E5" w14:textId="77777777">
            <w:pPr>
              <w:autoSpaceDE w:val="0"/>
              <w:autoSpaceDN w:val="0"/>
              <w:adjustRightInd w:val="0"/>
              <w:rPr>
                <w:rFonts w:eastAsiaTheme="minorHAnsi"/>
                <w:color w:val="0000FF"/>
                <w:szCs w:val="24"/>
              </w:rPr>
            </w:pPr>
            <w:hyperlink r:id="rId17" w:history="1">
              <w:r w:rsidRPr="00286400" w:rsidR="005958D2">
                <w:rPr>
                  <w:rStyle w:val="Hyperlink"/>
                  <w:rFonts w:eastAsiaTheme="minorHAnsi"/>
                  <w:szCs w:val="24"/>
                </w:rPr>
                <w:t>rglover@mcneeslaw.com</w:t>
              </w:r>
            </w:hyperlink>
          </w:p>
          <w:p w:rsidR="00A876E7" w:rsidRPr="00286400" w:rsidP="009E7557" w14:paraId="56D9C733" w14:textId="77777777">
            <w:pPr>
              <w:autoSpaceDE w:val="0"/>
              <w:autoSpaceDN w:val="0"/>
              <w:adjustRightInd w:val="0"/>
              <w:rPr>
                <w:rFonts w:eastAsiaTheme="minorHAnsi"/>
                <w:color w:val="0000FF"/>
                <w:szCs w:val="24"/>
              </w:rPr>
            </w:pPr>
            <w:hyperlink r:id="rId18" w:history="1">
              <w:r w:rsidRPr="00286400" w:rsidR="005958D2">
                <w:rPr>
                  <w:rStyle w:val="Hyperlink"/>
                  <w:rFonts w:eastAsiaTheme="minorHAnsi"/>
                  <w:szCs w:val="24"/>
                </w:rPr>
                <w:t>bethany.allen@igs.com</w:t>
              </w:r>
            </w:hyperlink>
          </w:p>
          <w:p w:rsidR="00A876E7" w:rsidRPr="00286400" w:rsidP="009E7557" w14:paraId="7BBBD487" w14:textId="77777777">
            <w:pPr>
              <w:autoSpaceDE w:val="0"/>
              <w:autoSpaceDN w:val="0"/>
              <w:adjustRightInd w:val="0"/>
              <w:rPr>
                <w:rFonts w:eastAsiaTheme="minorHAnsi"/>
                <w:color w:val="0000FF"/>
                <w:szCs w:val="24"/>
              </w:rPr>
            </w:pPr>
            <w:hyperlink r:id="rId19" w:history="1">
              <w:r w:rsidRPr="00286400" w:rsidR="005958D2">
                <w:rPr>
                  <w:rStyle w:val="Hyperlink"/>
                  <w:rFonts w:eastAsiaTheme="minorHAnsi"/>
                  <w:szCs w:val="24"/>
                </w:rPr>
                <w:t>joe.oliker@igs.com</w:t>
              </w:r>
            </w:hyperlink>
          </w:p>
          <w:p w:rsidR="00A876E7" w:rsidRPr="00286400" w:rsidP="009E7557" w14:paraId="6FD5398C" w14:textId="0659C8DC">
            <w:pPr>
              <w:pStyle w:val="CommentText"/>
              <w:rPr>
                <w:rStyle w:val="Hyperlink"/>
                <w:rFonts w:eastAsiaTheme="minorHAnsi"/>
              </w:rPr>
            </w:pPr>
            <w:hyperlink r:id="rId20" w:history="1">
              <w:r w:rsidRPr="00286400" w:rsidR="005958D2">
                <w:rPr>
                  <w:rStyle w:val="Hyperlink"/>
                  <w:rFonts w:eastAsiaTheme="minorHAnsi"/>
                </w:rPr>
                <w:t>michael.nugent@igs.com</w:t>
              </w:r>
            </w:hyperlink>
          </w:p>
          <w:p w:rsidR="00A876E7" w:rsidRPr="00286400" w:rsidP="009E7557" w14:paraId="3D7B5CEA" w14:textId="40A8514D">
            <w:pPr>
              <w:pStyle w:val="CommentText"/>
              <w:rPr>
                <w:rStyle w:val="Hyperlink"/>
                <w:rFonts w:eastAsiaTheme="minorHAnsi"/>
              </w:rPr>
            </w:pPr>
          </w:p>
          <w:p w:rsidR="00A876E7" w:rsidRPr="00286400" w:rsidP="00A876E7" w14:paraId="0AAB5659" w14:textId="77777777">
            <w:pPr>
              <w:pStyle w:val="BodyText"/>
              <w:suppressAutoHyphens/>
              <w:rPr>
                <w:szCs w:val="24"/>
                <w:lang w:eastAsia="ar-SA"/>
              </w:rPr>
            </w:pPr>
            <w:r w:rsidRPr="00286400">
              <w:rPr>
                <w:szCs w:val="24"/>
                <w:lang w:eastAsia="ar-SA"/>
              </w:rPr>
              <w:t>Attorney Examiners:</w:t>
            </w:r>
          </w:p>
          <w:p w:rsidR="00A876E7" w:rsidRPr="00286400" w:rsidP="00A876E7" w14:paraId="6A1C46D5" w14:textId="77777777">
            <w:pPr>
              <w:pStyle w:val="BodyText"/>
              <w:suppressAutoHyphens/>
              <w:rPr>
                <w:szCs w:val="24"/>
                <w:lang w:eastAsia="ar-SA"/>
              </w:rPr>
            </w:pPr>
            <w:hyperlink r:id="rId21" w:history="1">
              <w:r w:rsidRPr="00286400" w:rsidR="005958D2">
                <w:rPr>
                  <w:rStyle w:val="Hyperlink"/>
                  <w:szCs w:val="24"/>
                  <w:lang w:eastAsia="ar-SA"/>
                </w:rPr>
                <w:t>Megan.adddison@puco.ohio.gov</w:t>
              </w:r>
            </w:hyperlink>
          </w:p>
          <w:p w:rsidR="00A876E7" w:rsidRPr="00286400" w:rsidP="00A876E7" w14:paraId="59D6438D" w14:textId="77777777">
            <w:pPr>
              <w:pStyle w:val="BodyText"/>
              <w:suppressAutoHyphens/>
              <w:rPr>
                <w:rStyle w:val="Hyperlink"/>
                <w:szCs w:val="24"/>
              </w:rPr>
            </w:pPr>
            <w:hyperlink r:id="rId22" w:history="1">
              <w:r w:rsidRPr="00286400" w:rsidR="005958D2">
                <w:rPr>
                  <w:rStyle w:val="Hyperlink"/>
                  <w:szCs w:val="24"/>
                  <w:lang w:eastAsia="ar-SA"/>
                </w:rPr>
                <w:t>Gregory.price@puco.ohio.gov</w:t>
              </w:r>
            </w:hyperlink>
          </w:p>
          <w:p w:rsidR="00A876E7" w:rsidRPr="00286400" w:rsidP="00A876E7" w14:paraId="0BEA60D3" w14:textId="77777777">
            <w:pPr>
              <w:pStyle w:val="BodyText"/>
              <w:suppressAutoHyphens/>
              <w:rPr>
                <w:rStyle w:val="Hyperlink"/>
                <w:szCs w:val="24"/>
              </w:rPr>
            </w:pPr>
            <w:hyperlink r:id="rId23" w:history="1">
              <w:r w:rsidRPr="00286400" w:rsidR="005958D2">
                <w:rPr>
                  <w:rStyle w:val="Hyperlink"/>
                  <w:szCs w:val="24"/>
                </w:rPr>
                <w:t>Jacqueline.st.john@puco.ohio.gov</w:t>
              </w:r>
            </w:hyperlink>
          </w:p>
          <w:p w:rsidR="00A876E7" w:rsidRPr="00286400" w:rsidP="009E7557" w14:paraId="1443DE14" w14:textId="77777777">
            <w:pPr>
              <w:pStyle w:val="CommentText"/>
              <w:rPr>
                <w:rFonts w:eastAsiaTheme="minorHAnsi"/>
                <w:color w:val="0000FF"/>
              </w:rPr>
            </w:pPr>
          </w:p>
          <w:p w:rsidR="00A876E7" w:rsidRPr="00286400" w:rsidP="009E7557" w14:paraId="620DAF76" w14:textId="77777777">
            <w:pPr>
              <w:pStyle w:val="CommentText"/>
            </w:pPr>
          </w:p>
          <w:p w:rsidR="00A876E7" w:rsidRPr="00286400" w:rsidP="009E7557" w14:paraId="42112898" w14:textId="77777777">
            <w:pPr>
              <w:autoSpaceDE w:val="0"/>
              <w:autoSpaceDN w:val="0"/>
              <w:adjustRightInd w:val="0"/>
              <w:rPr>
                <w:rFonts w:eastAsiaTheme="minorHAnsi"/>
                <w:color w:val="0000FF"/>
                <w:szCs w:val="24"/>
              </w:rPr>
            </w:pPr>
          </w:p>
          <w:p w:rsidR="00A876E7" w:rsidRPr="00286400" w:rsidP="009E7557" w14:paraId="2312142F" w14:textId="77777777">
            <w:pPr>
              <w:pStyle w:val="CommentText"/>
            </w:pPr>
          </w:p>
        </w:tc>
        <w:tc>
          <w:tcPr>
            <w:tcW w:w="4428" w:type="dxa"/>
            <w:shd w:val="clear" w:color="auto" w:fill="auto"/>
          </w:tcPr>
          <w:p w:rsidR="00D125A2" w:rsidRPr="00286400" w:rsidP="009E7557" w14:paraId="36775BFA" w14:textId="16204041">
            <w:pPr>
              <w:autoSpaceDE w:val="0"/>
              <w:autoSpaceDN w:val="0"/>
              <w:adjustRightInd w:val="0"/>
              <w:ind w:left="516"/>
              <w:rPr>
                <w:szCs w:val="24"/>
              </w:rPr>
            </w:pPr>
            <w:hyperlink r:id="rId24" w:history="1">
              <w:r w:rsidRPr="00286400" w:rsidR="005958D2">
                <w:rPr>
                  <w:rStyle w:val="Hyperlink"/>
                  <w:szCs w:val="24"/>
                </w:rPr>
                <w:t>bknipe@firstenergycorp.com</w:t>
              </w:r>
            </w:hyperlink>
          </w:p>
          <w:p w:rsidR="00D125A2" w:rsidRPr="00286400" w:rsidP="009E7557" w14:paraId="74CB9AC0" w14:textId="511317F7">
            <w:pPr>
              <w:autoSpaceDE w:val="0"/>
              <w:autoSpaceDN w:val="0"/>
              <w:adjustRightInd w:val="0"/>
              <w:ind w:left="516"/>
              <w:rPr>
                <w:szCs w:val="24"/>
              </w:rPr>
            </w:pPr>
            <w:hyperlink r:id="rId25" w:history="1">
              <w:r w:rsidRPr="00286400" w:rsidR="005958D2">
                <w:rPr>
                  <w:rStyle w:val="Hyperlink"/>
                  <w:szCs w:val="24"/>
                </w:rPr>
                <w:t>jlang@calfee.com</w:t>
              </w:r>
            </w:hyperlink>
          </w:p>
          <w:p w:rsidR="00D125A2" w:rsidRPr="00286400" w:rsidP="009E7557" w14:paraId="52C9D1FF" w14:textId="474D9C3B">
            <w:pPr>
              <w:autoSpaceDE w:val="0"/>
              <w:autoSpaceDN w:val="0"/>
              <w:adjustRightInd w:val="0"/>
              <w:ind w:left="516"/>
              <w:rPr>
                <w:szCs w:val="24"/>
              </w:rPr>
            </w:pPr>
            <w:hyperlink r:id="rId26" w:history="1">
              <w:r w:rsidRPr="00286400" w:rsidR="005958D2">
                <w:rPr>
                  <w:rStyle w:val="Hyperlink"/>
                  <w:szCs w:val="24"/>
                </w:rPr>
                <w:t>khehmeyer@beneschlaw.com</w:t>
              </w:r>
            </w:hyperlink>
          </w:p>
          <w:p w:rsidR="00A876E7" w:rsidRPr="00286400" w:rsidP="009E7557" w14:paraId="2FA273F0" w14:textId="0BBFF23A">
            <w:pPr>
              <w:autoSpaceDE w:val="0"/>
              <w:autoSpaceDN w:val="0"/>
              <w:adjustRightInd w:val="0"/>
              <w:ind w:left="516"/>
              <w:rPr>
                <w:rFonts w:eastAsiaTheme="minorHAnsi"/>
                <w:color w:val="0000FF"/>
                <w:szCs w:val="24"/>
              </w:rPr>
            </w:pPr>
            <w:hyperlink r:id="rId27" w:history="1">
              <w:r w:rsidRPr="00286400" w:rsidR="005958D2">
                <w:rPr>
                  <w:rStyle w:val="Hyperlink"/>
                  <w:rFonts w:eastAsiaTheme="minorHAnsi"/>
                  <w:szCs w:val="24"/>
                </w:rPr>
                <w:t>gkrassen@bricker.com</w:t>
              </w:r>
            </w:hyperlink>
          </w:p>
          <w:p w:rsidR="00A876E7" w:rsidRPr="00286400" w:rsidP="009E7557" w14:paraId="06467B7C" w14:textId="77777777">
            <w:pPr>
              <w:autoSpaceDE w:val="0"/>
              <w:autoSpaceDN w:val="0"/>
              <w:adjustRightInd w:val="0"/>
              <w:ind w:left="516"/>
              <w:rPr>
                <w:rFonts w:eastAsiaTheme="minorHAnsi"/>
                <w:color w:val="0000FF"/>
                <w:szCs w:val="24"/>
              </w:rPr>
            </w:pPr>
            <w:hyperlink r:id="rId28" w:history="1">
              <w:r w:rsidRPr="00286400" w:rsidR="005958D2">
                <w:rPr>
                  <w:rStyle w:val="Hyperlink"/>
                  <w:rFonts w:eastAsiaTheme="minorHAnsi"/>
                  <w:szCs w:val="24"/>
                </w:rPr>
                <w:t>dstinson@bricker.com</w:t>
              </w:r>
            </w:hyperlink>
          </w:p>
          <w:p w:rsidR="00A876E7" w:rsidRPr="00286400" w:rsidP="009E7557" w14:paraId="58FBE77D" w14:textId="77777777">
            <w:pPr>
              <w:autoSpaceDE w:val="0"/>
              <w:autoSpaceDN w:val="0"/>
              <w:adjustRightInd w:val="0"/>
              <w:ind w:left="516"/>
              <w:rPr>
                <w:rFonts w:eastAsiaTheme="minorHAnsi"/>
                <w:color w:val="0000FF"/>
                <w:szCs w:val="24"/>
              </w:rPr>
            </w:pPr>
            <w:hyperlink r:id="rId29" w:history="1">
              <w:r w:rsidRPr="00286400" w:rsidR="005958D2">
                <w:rPr>
                  <w:rStyle w:val="Hyperlink"/>
                  <w:rFonts w:eastAsiaTheme="minorHAnsi"/>
                  <w:szCs w:val="24"/>
                </w:rPr>
                <w:t>paul@carpenterlipps.com</w:t>
              </w:r>
            </w:hyperlink>
          </w:p>
          <w:p w:rsidR="00A876E7" w:rsidRPr="00286400" w:rsidP="009E7557" w14:paraId="52EC7D07" w14:textId="77777777">
            <w:pPr>
              <w:autoSpaceDE w:val="0"/>
              <w:autoSpaceDN w:val="0"/>
              <w:adjustRightInd w:val="0"/>
              <w:ind w:left="516"/>
              <w:rPr>
                <w:rFonts w:eastAsiaTheme="minorHAnsi"/>
                <w:color w:val="0000FF"/>
                <w:szCs w:val="24"/>
              </w:rPr>
            </w:pPr>
            <w:hyperlink r:id="rId30" w:history="1">
              <w:r w:rsidRPr="00286400" w:rsidR="005958D2">
                <w:rPr>
                  <w:rStyle w:val="Hyperlink"/>
                  <w:rFonts w:eastAsiaTheme="minorHAnsi"/>
                  <w:szCs w:val="24"/>
                </w:rPr>
                <w:t>bojko@carpenterlipps.com</w:t>
              </w:r>
            </w:hyperlink>
          </w:p>
          <w:p w:rsidR="00A876E7" w:rsidRPr="00286400" w:rsidP="009E7557" w14:paraId="55854E7B" w14:textId="77777777">
            <w:pPr>
              <w:autoSpaceDE w:val="0"/>
              <w:autoSpaceDN w:val="0"/>
              <w:adjustRightInd w:val="0"/>
              <w:ind w:left="516"/>
              <w:rPr>
                <w:rFonts w:eastAsiaTheme="minorHAnsi"/>
                <w:color w:val="0000FF"/>
                <w:szCs w:val="24"/>
              </w:rPr>
            </w:pPr>
            <w:hyperlink r:id="rId31" w:history="1">
              <w:r w:rsidRPr="00286400" w:rsidR="005958D2">
                <w:rPr>
                  <w:rStyle w:val="Hyperlink"/>
                  <w:rFonts w:eastAsiaTheme="minorHAnsi"/>
                  <w:szCs w:val="24"/>
                </w:rPr>
                <w:t>mkl@smxblaw.com</w:t>
              </w:r>
            </w:hyperlink>
          </w:p>
          <w:p w:rsidR="00A876E7" w:rsidRPr="00286400" w:rsidP="009E7557" w14:paraId="7620B5D3" w14:textId="77777777">
            <w:pPr>
              <w:autoSpaceDE w:val="0"/>
              <w:autoSpaceDN w:val="0"/>
              <w:adjustRightInd w:val="0"/>
              <w:ind w:left="516"/>
              <w:rPr>
                <w:rFonts w:eastAsiaTheme="minorHAnsi"/>
                <w:color w:val="0000FF"/>
                <w:szCs w:val="24"/>
              </w:rPr>
            </w:pPr>
            <w:hyperlink r:id="rId32" w:history="1">
              <w:r w:rsidRPr="00286400" w:rsidR="005958D2">
                <w:rPr>
                  <w:rStyle w:val="Hyperlink"/>
                  <w:rFonts w:eastAsiaTheme="minorHAnsi"/>
                  <w:szCs w:val="24"/>
                </w:rPr>
                <w:t>jrb@smxblaw.com</w:t>
              </w:r>
            </w:hyperlink>
          </w:p>
          <w:p w:rsidR="00A876E7" w:rsidRPr="00286400" w:rsidP="009E7557" w14:paraId="5FEC4421" w14:textId="77777777">
            <w:pPr>
              <w:autoSpaceDE w:val="0"/>
              <w:autoSpaceDN w:val="0"/>
              <w:adjustRightInd w:val="0"/>
              <w:ind w:left="516"/>
              <w:rPr>
                <w:rFonts w:eastAsiaTheme="minorHAnsi"/>
                <w:color w:val="0000FF"/>
                <w:szCs w:val="24"/>
              </w:rPr>
            </w:pPr>
            <w:hyperlink r:id="rId33" w:history="1">
              <w:r w:rsidRPr="00286400" w:rsidR="005958D2">
                <w:rPr>
                  <w:rStyle w:val="Hyperlink"/>
                  <w:rFonts w:eastAsiaTheme="minorHAnsi"/>
                  <w:szCs w:val="24"/>
                </w:rPr>
                <w:t>dborchers@bricker.com</w:t>
              </w:r>
            </w:hyperlink>
          </w:p>
          <w:p w:rsidR="00A876E7" w:rsidRPr="00286400" w:rsidP="009E7557" w14:paraId="05FE9629" w14:textId="77777777">
            <w:pPr>
              <w:autoSpaceDE w:val="0"/>
              <w:autoSpaceDN w:val="0"/>
              <w:adjustRightInd w:val="0"/>
              <w:ind w:left="516"/>
              <w:rPr>
                <w:rFonts w:eastAsiaTheme="minorHAnsi"/>
                <w:color w:val="0000FF"/>
                <w:szCs w:val="24"/>
              </w:rPr>
            </w:pPr>
            <w:hyperlink r:id="rId34" w:history="1">
              <w:r w:rsidRPr="00286400" w:rsidR="005958D2">
                <w:rPr>
                  <w:rStyle w:val="Hyperlink"/>
                  <w:rFonts w:eastAsiaTheme="minorHAnsi"/>
                  <w:szCs w:val="24"/>
                </w:rPr>
                <w:t>jspottswood@bricker.com</w:t>
              </w:r>
            </w:hyperlink>
          </w:p>
          <w:p w:rsidR="00A876E7" w:rsidRPr="00286400" w:rsidP="009E7557" w14:paraId="12D35327" w14:textId="77777777">
            <w:pPr>
              <w:autoSpaceDE w:val="0"/>
              <w:autoSpaceDN w:val="0"/>
              <w:adjustRightInd w:val="0"/>
              <w:ind w:left="516"/>
              <w:rPr>
                <w:rFonts w:eastAsiaTheme="minorHAnsi"/>
                <w:color w:val="0000FF"/>
                <w:szCs w:val="24"/>
              </w:rPr>
            </w:pPr>
          </w:p>
          <w:p w:rsidR="00A876E7" w:rsidRPr="00286400" w:rsidP="009E7557" w14:paraId="4CF9DE64" w14:textId="77777777">
            <w:pPr>
              <w:pStyle w:val="CommentText"/>
            </w:pPr>
          </w:p>
        </w:tc>
      </w:tr>
    </w:tbl>
    <w:p w:rsidR="00A876E7" w:rsidRPr="00286400" w:rsidP="00A876E7" w14:paraId="15830BA0" w14:textId="77777777">
      <w:pPr>
        <w:pStyle w:val="CommentText"/>
        <w:jc w:val="center"/>
        <w:rPr>
          <w:b/>
          <w:u w:val="single"/>
        </w:rPr>
      </w:pPr>
    </w:p>
    <w:p w:rsidR="00A876E7" w:rsidRPr="00286400" w:rsidP="00A876E7" w14:paraId="5F61BECF" w14:textId="77777777">
      <w:pPr>
        <w:pStyle w:val="CommentText"/>
        <w:jc w:val="center"/>
        <w:rPr>
          <w:b/>
          <w:bCs/>
        </w:rPr>
      </w:pPr>
    </w:p>
    <w:tbl>
      <w:tblPr>
        <w:tblW w:w="0" w:type="auto"/>
        <w:tblLook w:val="04A0"/>
      </w:tblPr>
      <w:tblGrid>
        <w:gridCol w:w="4315"/>
        <w:gridCol w:w="4315"/>
      </w:tblGrid>
      <w:tr w14:paraId="1EE50AF0" w14:textId="77777777" w:rsidTr="009E7557">
        <w:tblPrEx>
          <w:tblW w:w="0" w:type="auto"/>
          <w:tblLook w:val="04A0"/>
        </w:tblPrEx>
        <w:tc>
          <w:tcPr>
            <w:tcW w:w="4315" w:type="dxa"/>
            <w:shd w:val="clear" w:color="auto" w:fill="auto"/>
          </w:tcPr>
          <w:p w:rsidR="00A876E7" w:rsidRPr="00286400" w:rsidP="009E7557" w14:paraId="79B6C07D" w14:textId="77777777">
            <w:pPr>
              <w:suppressAutoHyphens/>
              <w:autoSpaceDE w:val="0"/>
              <w:autoSpaceDN w:val="0"/>
              <w:adjustRightInd w:val="0"/>
              <w:rPr>
                <w:color w:val="0000FF"/>
                <w:szCs w:val="24"/>
                <w:lang w:eastAsia="ar-SA"/>
              </w:rPr>
            </w:pPr>
          </w:p>
          <w:p w:rsidR="00A876E7" w:rsidRPr="00286400" w:rsidP="009E7557" w14:paraId="4BF2D589" w14:textId="77777777">
            <w:pPr>
              <w:pStyle w:val="BodyText"/>
              <w:suppressAutoHyphens/>
              <w:rPr>
                <w:szCs w:val="24"/>
                <w:lang w:eastAsia="ar-SA"/>
              </w:rPr>
            </w:pPr>
          </w:p>
          <w:p w:rsidR="00A876E7" w:rsidRPr="00286400" w:rsidP="009E7557" w14:paraId="3DF6BB0B" w14:textId="77777777">
            <w:pPr>
              <w:suppressAutoHyphens/>
              <w:rPr>
                <w:szCs w:val="24"/>
                <w:lang w:eastAsia="ar-SA"/>
              </w:rPr>
            </w:pPr>
          </w:p>
        </w:tc>
        <w:tc>
          <w:tcPr>
            <w:tcW w:w="4315" w:type="dxa"/>
            <w:shd w:val="clear" w:color="auto" w:fill="auto"/>
          </w:tcPr>
          <w:p w:rsidR="00A876E7" w:rsidRPr="00286400" w:rsidP="009E7557" w14:paraId="4D95018B" w14:textId="77777777">
            <w:pPr>
              <w:pStyle w:val="BodyText"/>
              <w:suppressAutoHyphens/>
              <w:ind w:left="720"/>
              <w:rPr>
                <w:color w:val="0000FF"/>
                <w:szCs w:val="24"/>
                <w:lang w:eastAsia="ar-SA"/>
              </w:rPr>
            </w:pPr>
          </w:p>
          <w:p w:rsidR="00A876E7" w:rsidRPr="00286400" w:rsidP="009E7557" w14:paraId="6868FDFF" w14:textId="77777777">
            <w:pPr>
              <w:pStyle w:val="BodyText"/>
              <w:suppressAutoHyphens/>
              <w:rPr>
                <w:szCs w:val="24"/>
                <w:lang w:eastAsia="ar-SA"/>
              </w:rPr>
            </w:pPr>
          </w:p>
        </w:tc>
      </w:tr>
    </w:tbl>
    <w:p w:rsidR="00A876E7" w:rsidRPr="00286400" w:rsidP="00C05D8D" w14:paraId="5DD7F818" w14:textId="77777777">
      <w:pPr>
        <w:tabs>
          <w:tab w:val="left" w:pos="4320"/>
        </w:tabs>
        <w:ind w:left="4320"/>
        <w:rPr>
          <w:szCs w:val="24"/>
        </w:rPr>
      </w:pPr>
    </w:p>
    <w:p w:rsidR="007C2976" w:rsidRPr="00286400" w:rsidP="007C2976" w14:paraId="099E9443" w14:textId="77777777">
      <w:pPr>
        <w:pStyle w:val="CommentSubject"/>
        <w:rPr>
          <w:szCs w:val="24"/>
        </w:rPr>
      </w:pPr>
    </w:p>
    <w:sectPr w:rsidSect="00D526B9">
      <w:footerReference w:type="default" r:id="rId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0E7" w:rsidRPr="004920E7" w14:paraId="3A7609B4" w14:textId="5EE3556A">
    <w:pPr>
      <w:pStyle w:val="Footer"/>
      <w:jc w:val="center"/>
      <w:rPr>
        <w:sz w:val="24"/>
        <w:szCs w:val="24"/>
      </w:rPr>
    </w:pPr>
  </w:p>
  <w:p w:rsidR="008218AE" w14:paraId="42171D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1240042"/>
      <w:docPartObj>
        <w:docPartGallery w:val="Page Numbers (Bottom of Page)"/>
        <w:docPartUnique/>
      </w:docPartObj>
    </w:sdtPr>
    <w:sdtEndPr>
      <w:rPr>
        <w:noProof/>
        <w:sz w:val="24"/>
        <w:szCs w:val="24"/>
      </w:rPr>
    </w:sdtEndPr>
    <w:sdtContent>
      <w:p w:rsidR="004920E7" w:rsidRPr="004920E7" w14:paraId="2905892F" w14:textId="77777777">
        <w:pPr>
          <w:pStyle w:val="Footer"/>
          <w:jc w:val="center"/>
          <w:rPr>
            <w:sz w:val="24"/>
            <w:szCs w:val="24"/>
          </w:rPr>
        </w:pPr>
        <w:r w:rsidRPr="004920E7">
          <w:rPr>
            <w:sz w:val="24"/>
            <w:szCs w:val="24"/>
          </w:rPr>
          <w:fldChar w:fldCharType="begin"/>
        </w:r>
        <w:r w:rsidRPr="004920E7">
          <w:rPr>
            <w:sz w:val="24"/>
            <w:szCs w:val="24"/>
          </w:rPr>
          <w:instrText xml:space="preserve"> PAGE   \* MERGEFORMAT </w:instrText>
        </w:r>
        <w:r w:rsidRPr="004920E7">
          <w:rPr>
            <w:sz w:val="24"/>
            <w:szCs w:val="24"/>
          </w:rPr>
          <w:fldChar w:fldCharType="separate"/>
        </w:r>
        <w:r w:rsidRPr="004920E7">
          <w:rPr>
            <w:noProof/>
            <w:sz w:val="24"/>
            <w:szCs w:val="24"/>
          </w:rPr>
          <w:t>2</w:t>
        </w:r>
        <w:r w:rsidRPr="004920E7">
          <w:rPr>
            <w:noProof/>
            <w:sz w:val="24"/>
            <w:szCs w:val="24"/>
          </w:rPr>
          <w:fldChar w:fldCharType="end"/>
        </w:r>
      </w:p>
    </w:sdtContent>
  </w:sdt>
  <w:p w:rsidR="004920E7" w14:paraId="546CA6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4BCD" w14:paraId="358827AB" w14:textId="77777777">
      <w:r>
        <w:separator/>
      </w:r>
    </w:p>
  </w:footnote>
  <w:footnote w:type="continuationSeparator" w:id="1">
    <w:p w:rsidR="00264BCD" w14:paraId="52241670" w14:textId="77777777">
      <w:r>
        <w:continuationSeparator/>
      </w:r>
    </w:p>
  </w:footnote>
  <w:footnote w:id="2">
    <w:p w:rsidR="00F74A19" w:rsidRPr="00AD5AEC" w:rsidP="00F74A19" w14:paraId="0E1D39AA" w14:textId="279C8EE3">
      <w:pPr>
        <w:pStyle w:val="FootnoteText"/>
      </w:pPr>
      <w:r>
        <w:rPr>
          <w:rStyle w:val="FootnoteReference"/>
        </w:rPr>
        <w:footnoteRef/>
      </w:r>
      <w:r>
        <w:t xml:space="preserve"> Historically, each of FirstEnergy’s operating companies’ profits were analyzed individually.  </w:t>
      </w:r>
      <w:r>
        <w:rPr>
          <w:i/>
          <w:iCs/>
        </w:rPr>
        <w:t xml:space="preserve">See, e.g., </w:t>
      </w:r>
      <w:r>
        <w:t>PUCO Case No. 18-857-EL-UNC (OCC described how Ohio Edison had significantly excessive profits).</w:t>
      </w:r>
    </w:p>
  </w:footnote>
  <w:footnote w:id="3">
    <w:p w:rsidR="00B60618" w:rsidRPr="005B67CC" w:rsidP="00B60618" w14:paraId="0AE437E9" w14:textId="078DBA4F">
      <w:pPr>
        <w:pStyle w:val="FootnoteText"/>
      </w:pPr>
      <w:r>
        <w:rPr>
          <w:rStyle w:val="FootnoteReference"/>
        </w:rPr>
        <w:footnoteRef/>
      </w:r>
      <w:r>
        <w:t xml:space="preserve"> </w:t>
      </w:r>
      <w:r>
        <w:rPr>
          <w:i/>
          <w:iCs/>
        </w:rPr>
        <w:t xml:space="preserve">See </w:t>
      </w:r>
      <w:r w:rsidR="00F74A19">
        <w:t>Exhibit A</w:t>
      </w:r>
      <w:r>
        <w:rPr>
          <w:i/>
          <w:iCs/>
        </w:rPr>
        <w:t xml:space="preserve"> </w:t>
      </w:r>
      <w:r>
        <w:t>at 8, lines 214-218; 9, lines 245-250.</w:t>
      </w:r>
    </w:p>
  </w:footnote>
  <w:footnote w:id="4">
    <w:p w:rsidR="007E389D" w:rsidRPr="007E389D" w14:paraId="7A50254C" w14:textId="4105391F">
      <w:pPr>
        <w:pStyle w:val="FootnoteText"/>
      </w:pPr>
      <w:r>
        <w:rPr>
          <w:rStyle w:val="FootnoteReference"/>
        </w:rPr>
        <w:footnoteRef/>
      </w:r>
      <w:r>
        <w:t xml:space="preserve"> </w:t>
      </w:r>
      <w:r>
        <w:rPr>
          <w:i/>
          <w:iCs/>
        </w:rPr>
        <w:t xml:space="preserve">See </w:t>
      </w:r>
      <w:r>
        <w:t>FirstEnergy’s Memorandum Contra.</w:t>
      </w:r>
    </w:p>
  </w:footnote>
  <w:footnote w:id="5">
    <w:p w:rsidR="00AC6AE1" w14:paraId="5205523F" w14:textId="3CB02BCA">
      <w:pPr>
        <w:pStyle w:val="FootnoteText"/>
      </w:pPr>
      <w:r>
        <w:rPr>
          <w:rStyle w:val="FootnoteReference"/>
        </w:rPr>
        <w:footnoteRef/>
      </w:r>
      <w:r>
        <w:t xml:space="preserve"> In Case No. 18-0857-EL-UNC, OCC has very </w:t>
      </w:r>
      <w:r w:rsidR="003002EF">
        <w:t>limited</w:t>
      </w:r>
      <w:r>
        <w:t xml:space="preserve"> discovery pending.  In Case No. 20-1034-EL-UNC, OCC has outstanding discovery pending that is the subject of a </w:t>
      </w:r>
      <w:r w:rsidR="00CB3335">
        <w:t>m</w:t>
      </w:r>
      <w:r>
        <w:t xml:space="preserve">otion to </w:t>
      </w:r>
      <w:r w:rsidR="00CB3335">
        <w:t>c</w:t>
      </w:r>
      <w:r>
        <w:t>ompel that it filed.</w:t>
      </w:r>
      <w:r w:rsidR="00FE1C2F">
        <w:t xml:space="preserve">  It should be noted that FirstEnergy’s obligation to provide the discovery requested by OCC will not be impacted by S.B. 10.  In Case No. 18-0857, OCC has asked for a spreadsheet underlying some data already provided.  In Case No. 20-1034, OCC has asked for information specific to</w:t>
      </w:r>
      <w:r w:rsidR="007E2960">
        <w:t xml:space="preserve"> each of </w:t>
      </w:r>
      <w:r w:rsidR="00FE1C2F">
        <w:t>FirstEnergy’s operating companies.</w:t>
      </w:r>
    </w:p>
  </w:footnote>
  <w:footnote w:id="6">
    <w:p w:rsidR="00AC6AE1" w14:paraId="10241DA6" w14:textId="1C0DB7B7">
      <w:pPr>
        <w:pStyle w:val="FootnoteText"/>
      </w:pPr>
      <w:r>
        <w:rPr>
          <w:rStyle w:val="FootnoteReference"/>
        </w:rPr>
        <w:footnoteRef/>
      </w:r>
      <w:r>
        <w:t xml:space="preserve"> In Case No. 20-1034-EL-UNC, OCC has had a Motion to Compel pending since October 5, 2020. </w:t>
      </w:r>
    </w:p>
  </w:footnote>
  <w:footnote w:id="7">
    <w:p w:rsidR="006C6FAD" w:rsidRPr="006C6FAD" w14:paraId="00983856" w14:textId="44E833BE">
      <w:pPr>
        <w:pStyle w:val="FootnoteText"/>
      </w:pPr>
      <w:r>
        <w:rPr>
          <w:rStyle w:val="FootnoteReference"/>
        </w:rPr>
        <w:footnoteRef/>
      </w:r>
      <w:r>
        <w:t xml:space="preserve"> Jim Mackinnon, </w:t>
      </w:r>
      <w:r>
        <w:rPr>
          <w:i/>
          <w:iCs/>
        </w:rPr>
        <w:t>Akron Beacon Journal</w:t>
      </w:r>
      <w:r>
        <w:t>, “FirstEnergy halts political contributions, limits lobbying as part of Householder investigation, utility says” (February 18, 2021).</w:t>
      </w:r>
    </w:p>
  </w:footnote>
  <w:footnote w:id="8">
    <w:p w:rsidR="00E57D9A" w:rsidRPr="00E57D9A" w14:paraId="35E6D5DC" w14:textId="7DCDB72C">
      <w:pPr>
        <w:pStyle w:val="FootnoteText"/>
      </w:pPr>
      <w:r>
        <w:rPr>
          <w:rStyle w:val="FootnoteReference"/>
        </w:rPr>
        <w:footnoteRef/>
      </w:r>
      <w:r>
        <w:t xml:space="preserve"> </w:t>
      </w:r>
      <w:r>
        <w:rPr>
          <w:i/>
          <w:iCs/>
        </w:rPr>
        <w:t xml:space="preserve">See </w:t>
      </w:r>
      <w:r>
        <w:t>Case No. 20-1034-EL-UNC, Motion to Compel FirstEnergy to Respond to OCC’s Second Set of Discovery and Request for Expedited Ruling by Office of the Ohio Consumer’s Counsel (October 5, 2020).</w:t>
      </w:r>
    </w:p>
  </w:footnote>
  <w:footnote w:id="9">
    <w:p w:rsidR="00E57D9A" w:rsidRPr="00E57D9A" w14:paraId="4C061E43" w14:textId="4F44B814">
      <w:pPr>
        <w:pStyle w:val="FootnoteText"/>
        <w:rPr>
          <w:i/>
          <w:iCs/>
        </w:rPr>
      </w:pPr>
      <w:r>
        <w:rPr>
          <w:rStyle w:val="FootnoteReference"/>
        </w:rPr>
        <w:footnoteRef/>
      </w:r>
      <w:r>
        <w:t xml:space="preserve"> </w:t>
      </w:r>
      <w:r>
        <w:rPr>
          <w:i/>
          <w:iCs/>
        </w:rPr>
        <w:t>See id.</w:t>
      </w:r>
    </w:p>
  </w:footnote>
  <w:footnote w:id="10">
    <w:p w:rsidR="0070229B" w:rsidRPr="0070229B" w14:paraId="603BA2C5" w14:textId="3333F646">
      <w:pPr>
        <w:pStyle w:val="FootnoteText"/>
        <w:rPr>
          <w:i/>
          <w:iCs/>
        </w:rPr>
      </w:pPr>
      <w:r>
        <w:rPr>
          <w:rStyle w:val="FootnoteReference"/>
        </w:rPr>
        <w:footnoteRef/>
      </w:r>
      <w:r>
        <w:t xml:space="preserve"> </w:t>
      </w:r>
      <w:r>
        <w:rPr>
          <w:i/>
          <w:iCs/>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3F2672"/>
    <w:multiLevelType w:val="hybridMultilevel"/>
    <w:tmpl w:val="243C64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B173E91"/>
    <w:multiLevelType w:val="hybridMultilevel"/>
    <w:tmpl w:val="0838A6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0D"/>
    <w:rsid w:val="0000533E"/>
    <w:rsid w:val="00020A2F"/>
    <w:rsid w:val="000306D6"/>
    <w:rsid w:val="00061EAD"/>
    <w:rsid w:val="00083556"/>
    <w:rsid w:val="000B1903"/>
    <w:rsid w:val="000C74B9"/>
    <w:rsid w:val="000E2D37"/>
    <w:rsid w:val="00117369"/>
    <w:rsid w:val="00124468"/>
    <w:rsid w:val="00131442"/>
    <w:rsid w:val="00137896"/>
    <w:rsid w:val="00142411"/>
    <w:rsid w:val="00171FC3"/>
    <w:rsid w:val="001B6EF9"/>
    <w:rsid w:val="001C52F1"/>
    <w:rsid w:val="002049BC"/>
    <w:rsid w:val="002216DC"/>
    <w:rsid w:val="002507D3"/>
    <w:rsid w:val="00252CCD"/>
    <w:rsid w:val="002530EA"/>
    <w:rsid w:val="00264BCD"/>
    <w:rsid w:val="00286400"/>
    <w:rsid w:val="002E181E"/>
    <w:rsid w:val="003002EF"/>
    <w:rsid w:val="00316496"/>
    <w:rsid w:val="00331842"/>
    <w:rsid w:val="0033771E"/>
    <w:rsid w:val="00372A9E"/>
    <w:rsid w:val="00382F2A"/>
    <w:rsid w:val="003965B6"/>
    <w:rsid w:val="003A30F5"/>
    <w:rsid w:val="003B5047"/>
    <w:rsid w:val="003D02CD"/>
    <w:rsid w:val="003D3EB9"/>
    <w:rsid w:val="003D73B0"/>
    <w:rsid w:val="003F24FB"/>
    <w:rsid w:val="003F7DFB"/>
    <w:rsid w:val="00416084"/>
    <w:rsid w:val="004920E7"/>
    <w:rsid w:val="004C593E"/>
    <w:rsid w:val="004F3219"/>
    <w:rsid w:val="0050006E"/>
    <w:rsid w:val="00521E1B"/>
    <w:rsid w:val="00573413"/>
    <w:rsid w:val="005958D2"/>
    <w:rsid w:val="005B67CC"/>
    <w:rsid w:val="00671F01"/>
    <w:rsid w:val="006A3260"/>
    <w:rsid w:val="006A78C2"/>
    <w:rsid w:val="006C6FAD"/>
    <w:rsid w:val="006E755F"/>
    <w:rsid w:val="0070229B"/>
    <w:rsid w:val="007259D4"/>
    <w:rsid w:val="007454C1"/>
    <w:rsid w:val="00747046"/>
    <w:rsid w:val="0078088F"/>
    <w:rsid w:val="007C2976"/>
    <w:rsid w:val="007C35DA"/>
    <w:rsid w:val="007E2960"/>
    <w:rsid w:val="007E389D"/>
    <w:rsid w:val="007E5037"/>
    <w:rsid w:val="007F2531"/>
    <w:rsid w:val="007F5410"/>
    <w:rsid w:val="00804172"/>
    <w:rsid w:val="008218AE"/>
    <w:rsid w:val="00851FD0"/>
    <w:rsid w:val="008542A7"/>
    <w:rsid w:val="00865F35"/>
    <w:rsid w:val="00893C7B"/>
    <w:rsid w:val="008E0676"/>
    <w:rsid w:val="008F02B1"/>
    <w:rsid w:val="008F1A5B"/>
    <w:rsid w:val="00977F75"/>
    <w:rsid w:val="009853F0"/>
    <w:rsid w:val="009A238D"/>
    <w:rsid w:val="009B4270"/>
    <w:rsid w:val="009D1E83"/>
    <w:rsid w:val="009D4880"/>
    <w:rsid w:val="009D5E72"/>
    <w:rsid w:val="009E7557"/>
    <w:rsid w:val="00A12CE6"/>
    <w:rsid w:val="00A248DB"/>
    <w:rsid w:val="00A33548"/>
    <w:rsid w:val="00A33F04"/>
    <w:rsid w:val="00A34A34"/>
    <w:rsid w:val="00A876E7"/>
    <w:rsid w:val="00AA5E69"/>
    <w:rsid w:val="00AC6AE1"/>
    <w:rsid w:val="00AD56F9"/>
    <w:rsid w:val="00AD5AEC"/>
    <w:rsid w:val="00B14103"/>
    <w:rsid w:val="00B446EC"/>
    <w:rsid w:val="00B60618"/>
    <w:rsid w:val="00B953F3"/>
    <w:rsid w:val="00BA67B3"/>
    <w:rsid w:val="00BC679B"/>
    <w:rsid w:val="00BD79BE"/>
    <w:rsid w:val="00BF20CE"/>
    <w:rsid w:val="00C05D8D"/>
    <w:rsid w:val="00C836F4"/>
    <w:rsid w:val="00C86047"/>
    <w:rsid w:val="00CA4436"/>
    <w:rsid w:val="00CA567D"/>
    <w:rsid w:val="00CA67AB"/>
    <w:rsid w:val="00CB2997"/>
    <w:rsid w:val="00CB3335"/>
    <w:rsid w:val="00CB6DBB"/>
    <w:rsid w:val="00CD63C7"/>
    <w:rsid w:val="00D036B1"/>
    <w:rsid w:val="00D05190"/>
    <w:rsid w:val="00D0554D"/>
    <w:rsid w:val="00D125A2"/>
    <w:rsid w:val="00D43702"/>
    <w:rsid w:val="00D526B9"/>
    <w:rsid w:val="00D55066"/>
    <w:rsid w:val="00E2620D"/>
    <w:rsid w:val="00E51251"/>
    <w:rsid w:val="00E53CA1"/>
    <w:rsid w:val="00E57D9A"/>
    <w:rsid w:val="00E64C82"/>
    <w:rsid w:val="00E64F10"/>
    <w:rsid w:val="00EC4E92"/>
    <w:rsid w:val="00EE0CDF"/>
    <w:rsid w:val="00F2242E"/>
    <w:rsid w:val="00F3422F"/>
    <w:rsid w:val="00F4752E"/>
    <w:rsid w:val="00F711ED"/>
    <w:rsid w:val="00F735BD"/>
    <w:rsid w:val="00F74A19"/>
    <w:rsid w:val="00F84F92"/>
    <w:rsid w:val="00F85257"/>
    <w:rsid w:val="00F87BF6"/>
    <w:rsid w:val="00F92CE1"/>
    <w:rsid w:val="00FD47D3"/>
    <w:rsid w:val="00FD5825"/>
    <w:rsid w:val="00FE1C2F"/>
    <w:rsid w:val="00FE1CA4"/>
    <w:rsid w:val="00FF2758"/>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uiPriority w:val="99"/>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uiPriority w:val="99"/>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character" w:customStyle="1" w:styleId="UnresolvedMention3">
    <w:name w:val="Unresolved Mention3"/>
    <w:basedOn w:val="DefaultParagraphFont"/>
    <w:rsid w:val="00137896"/>
    <w:rPr>
      <w:color w:val="605E5C"/>
      <w:shd w:val="clear" w:color="auto" w:fill="E1DFDD"/>
    </w:rPr>
  </w:style>
  <w:style w:type="character" w:customStyle="1" w:styleId="ssit">
    <w:name w:val="ss_it"/>
    <w:basedOn w:val="DefaultParagraphFont"/>
    <w:rsid w:val="00372A9E"/>
  </w:style>
  <w:style w:type="character" w:customStyle="1" w:styleId="HTMLPreformattedChar">
    <w:name w:val="HTML Preformatted Char"/>
    <w:basedOn w:val="DefaultParagraphFont"/>
    <w:link w:val="HTMLPreformatted"/>
    <w:rsid w:val="002E181E"/>
    <w:rPr>
      <w:rFonts w:ascii="Courier New" w:eastAsia="Courier New" w:hAnsi="Courier New" w:cs="Courier New"/>
    </w:rPr>
  </w:style>
  <w:style w:type="character" w:customStyle="1" w:styleId="BodyTextIndent3Char">
    <w:name w:val="Body Text Indent 3 Char"/>
    <w:basedOn w:val="DefaultParagraphFont"/>
    <w:link w:val="BodyTextIndent3"/>
    <w:rsid w:val="002E181E"/>
    <w:rPr>
      <w:sz w:val="24"/>
    </w:rPr>
  </w:style>
  <w:style w:type="character" w:customStyle="1" w:styleId="CommentTextChar">
    <w:name w:val="Comment Text Char"/>
    <w:basedOn w:val="DefaultParagraphFont"/>
    <w:link w:val="CommentText"/>
    <w:rsid w:val="00A876E7"/>
    <w:rPr>
      <w:sz w:val="24"/>
      <w:szCs w:val="24"/>
    </w:rPr>
  </w:style>
  <w:style w:type="character" w:customStyle="1" w:styleId="reference-accessdate">
    <w:name w:val="reference-accessdate"/>
    <w:basedOn w:val="DefaultParagraphFont"/>
    <w:rsid w:val="00E51251"/>
  </w:style>
  <w:style w:type="character" w:customStyle="1" w:styleId="UnresolvedMention4">
    <w:name w:val="Unresolved Mention4"/>
    <w:basedOn w:val="DefaultParagraphFont"/>
    <w:uiPriority w:val="99"/>
    <w:semiHidden/>
    <w:unhideWhenUsed/>
    <w:rsid w:val="00A3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healey@occ.ohio.gov" TargetMode="External" /><Relationship Id="rId11" Type="http://schemas.openxmlformats.org/officeDocument/2006/relationships/hyperlink" Target="mailto:Werner.margard@ohioattorneygeneral.gov" TargetMode="External" /><Relationship Id="rId12" Type="http://schemas.openxmlformats.org/officeDocument/2006/relationships/hyperlink" Target="mailto:Kyle.kern@ohioattorneygeneral.gov"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mpritchard@mcneeslaw.com" TargetMode="External" /><Relationship Id="rId17" Type="http://schemas.openxmlformats.org/officeDocument/2006/relationships/hyperlink" Target="mailto:rglover@mcneeslaw.com" TargetMode="External" /><Relationship Id="rId18" Type="http://schemas.openxmlformats.org/officeDocument/2006/relationships/hyperlink" Target="mailto:bethany.alle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ichael.nugent@igs.com" TargetMode="External" /><Relationship Id="rId21" Type="http://schemas.openxmlformats.org/officeDocument/2006/relationships/hyperlink" Target="mailto:Megan.adddison@puco.ohio.gov" TargetMode="External" /><Relationship Id="rId22" Type="http://schemas.openxmlformats.org/officeDocument/2006/relationships/hyperlink" Target="mailto:Gregory.price@puco.ohio.gov" TargetMode="External" /><Relationship Id="rId23" Type="http://schemas.openxmlformats.org/officeDocument/2006/relationships/hyperlink" Target="mailto:Jacqueline.st.john@puco.ohio.gov" TargetMode="External" /><Relationship Id="rId24" Type="http://schemas.openxmlformats.org/officeDocument/2006/relationships/hyperlink" Target="mailto:bknipe@firstenergycorp.com" TargetMode="External" /><Relationship Id="rId25" Type="http://schemas.openxmlformats.org/officeDocument/2006/relationships/hyperlink" Target="mailto:jlang@calfee.com" TargetMode="External" /><Relationship Id="rId26" Type="http://schemas.openxmlformats.org/officeDocument/2006/relationships/hyperlink" Target="mailto:khehmeyer@beneschlaw.com" TargetMode="External" /><Relationship Id="rId27" Type="http://schemas.openxmlformats.org/officeDocument/2006/relationships/hyperlink" Target="mailto:gkrassen@bricker.com" TargetMode="External" /><Relationship Id="rId28" Type="http://schemas.openxmlformats.org/officeDocument/2006/relationships/hyperlink" Target="mailto:dstinson@bricker.com" TargetMode="External" /><Relationship Id="rId29" Type="http://schemas.openxmlformats.org/officeDocument/2006/relationships/hyperlink" Target="mailto:paul@carpenterlipps.com" TargetMode="External" /><Relationship Id="rId3" Type="http://schemas.openxmlformats.org/officeDocument/2006/relationships/webSettings" Target="webSettings.xml" /><Relationship Id="rId30" Type="http://schemas.openxmlformats.org/officeDocument/2006/relationships/hyperlink" Target="mailto:bojko@carpenterlipps.com" TargetMode="External" /><Relationship Id="rId31" Type="http://schemas.openxmlformats.org/officeDocument/2006/relationships/hyperlink" Target="mailto:mkl@smxblaw.com" TargetMode="External" /><Relationship Id="rId32" Type="http://schemas.openxmlformats.org/officeDocument/2006/relationships/hyperlink" Target="mailto:jrb@smxblaw.com" TargetMode="External" /><Relationship Id="rId33" Type="http://schemas.openxmlformats.org/officeDocument/2006/relationships/hyperlink" Target="mailto:dborchers@bricker.com" TargetMode="External" /><Relationship Id="rId34" Type="http://schemas.openxmlformats.org/officeDocument/2006/relationships/hyperlink" Target="mailto:jspottswood@bricker.com" TargetMode="External" /><Relationship Id="rId35" Type="http://schemas.openxmlformats.org/officeDocument/2006/relationships/footer" Target="footer2.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amy.botschner.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D6F0-0E44-4803-A0BC-7F268072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2021-02-23T21:18:00Z</dcterms:created>
  <dcterms:modified xsi:type="dcterms:W3CDTF">2021-02-23T21:18:00Z</dcterms:modified>
</cp:coreProperties>
</file>