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35183" w:rsidRPr="00035183" w:rsidP="00035183" w14:paraId="7884770A" w14:textId="77777777">
      <w:pPr>
        <w:jc w:val="center"/>
        <w:rPr>
          <w:b/>
        </w:rPr>
      </w:pPr>
      <w:bookmarkStart w:id="0" w:name="_GoBack"/>
      <w:bookmarkEnd w:id="0"/>
      <w:r w:rsidRPr="00035183">
        <w:rPr>
          <w:b/>
        </w:rPr>
        <w:t>BEFORE</w:t>
      </w:r>
    </w:p>
    <w:p w:rsidR="00035183" w:rsidRPr="00035183" w:rsidP="00035183" w14:paraId="0CD7C0C2" w14:textId="77777777">
      <w:pPr>
        <w:jc w:val="center"/>
        <w:rPr>
          <w:b/>
          <w:bCs/>
        </w:rPr>
      </w:pPr>
      <w:r w:rsidRPr="00035183">
        <w:rPr>
          <w:b/>
          <w:bCs/>
        </w:rPr>
        <w:t>THE PUBLIC UTILITIES COMMISSION OF OHIO</w:t>
      </w:r>
    </w:p>
    <w:p w:rsidR="00035183" w:rsidRPr="00035183" w:rsidP="00035183" w14:paraId="4C0A8B59" w14:textId="77777777">
      <w:pPr>
        <w:rPr>
          <w:rFonts w:eastAsia="Courier New"/>
        </w:rPr>
      </w:pPr>
    </w:p>
    <w:tbl>
      <w:tblPr>
        <w:tblW w:w="8730" w:type="dxa"/>
        <w:tblLook w:val="01E0"/>
      </w:tblPr>
      <w:tblGrid>
        <w:gridCol w:w="4230"/>
        <w:gridCol w:w="360"/>
        <w:gridCol w:w="4140"/>
      </w:tblGrid>
      <w:tr w14:paraId="2E43346F" w14:textId="77777777" w:rsidTr="007C221D">
        <w:tblPrEx>
          <w:tblW w:w="8730" w:type="dxa"/>
          <w:tblLook w:val="01E0"/>
        </w:tblPrEx>
        <w:trPr>
          <w:trHeight w:val="807"/>
        </w:trPr>
        <w:tc>
          <w:tcPr>
            <w:tcW w:w="4230" w:type="dxa"/>
          </w:tcPr>
          <w:p w:rsidR="00035183" w:rsidRPr="00035183" w:rsidP="00035183" w14:paraId="4B90AA00" w14:textId="77777777">
            <w:pPr>
              <w:autoSpaceDE w:val="0"/>
              <w:autoSpaceDN w:val="0"/>
              <w:adjustRightInd w:val="0"/>
              <w:rPr>
                <w:rFonts w:eastAsiaTheme="minorEastAsia"/>
              </w:rPr>
            </w:pPr>
            <w:r w:rsidRPr="00035183">
              <w:rPr>
                <w:rFonts w:eastAsiaTheme="minorEastAsia"/>
              </w:rPr>
              <w:t>In the Matter of the Application of the Dayton Power and Light Company for Approval of its Electric Security Plan.</w:t>
            </w:r>
          </w:p>
          <w:p w:rsidR="00035183" w:rsidRPr="00035183" w:rsidP="00035183" w14:paraId="07D6A595" w14:textId="77777777">
            <w:pPr>
              <w:autoSpaceDE w:val="0"/>
              <w:autoSpaceDN w:val="0"/>
              <w:adjustRightInd w:val="0"/>
              <w:rPr>
                <w:rFonts w:eastAsiaTheme="minorEastAsia"/>
              </w:rPr>
            </w:pPr>
          </w:p>
          <w:p w:rsidR="00035183" w:rsidRPr="00035183" w:rsidP="00035183" w14:paraId="509B07F7" w14:textId="77777777">
            <w:pPr>
              <w:autoSpaceDE w:val="0"/>
              <w:autoSpaceDN w:val="0"/>
              <w:adjustRightInd w:val="0"/>
              <w:rPr>
                <w:rFonts w:eastAsiaTheme="minorEastAsia"/>
              </w:rPr>
            </w:pPr>
            <w:r w:rsidRPr="00035183">
              <w:rPr>
                <w:rFonts w:eastAsiaTheme="minorEastAsia"/>
              </w:rPr>
              <w:t>In the Matter of the Application of the Dayton Power and Light Company for Approval of Revised Tariffs.</w:t>
            </w:r>
          </w:p>
          <w:p w:rsidR="00035183" w:rsidRPr="00035183" w:rsidP="00035183" w14:paraId="668D6977" w14:textId="77777777">
            <w:pPr>
              <w:autoSpaceDE w:val="0"/>
              <w:autoSpaceDN w:val="0"/>
              <w:adjustRightInd w:val="0"/>
              <w:rPr>
                <w:rFonts w:eastAsiaTheme="minorEastAsia"/>
              </w:rPr>
            </w:pPr>
          </w:p>
          <w:p w:rsidR="00035183" w:rsidRPr="00035183" w:rsidP="00035183" w14:paraId="5A13F928" w14:textId="77777777">
            <w:pPr>
              <w:autoSpaceDE w:val="0"/>
              <w:autoSpaceDN w:val="0"/>
              <w:adjustRightInd w:val="0"/>
              <w:rPr>
                <w:rFonts w:eastAsiaTheme="minorEastAsia"/>
              </w:rPr>
            </w:pPr>
            <w:r w:rsidRPr="00035183">
              <w:rPr>
                <w:rFonts w:eastAsiaTheme="minorEastAsia"/>
              </w:rPr>
              <w:t>In the Matter of the Application of the Dayton Power and Light Company for Approval of Certain Accounting Authority Pursuant to Ohio Rev. Code § 4905.13.</w:t>
            </w:r>
          </w:p>
        </w:tc>
        <w:tc>
          <w:tcPr>
            <w:tcW w:w="360" w:type="dxa"/>
          </w:tcPr>
          <w:p w:rsidR="00035183" w:rsidRPr="00035183" w:rsidP="00035183" w14:paraId="4B4A6832" w14:textId="77777777">
            <w:pPr>
              <w:rPr>
                <w:rFonts w:eastAsia="Courier New"/>
                <w:b/>
              </w:rPr>
            </w:pPr>
            <w:r w:rsidRPr="00035183">
              <w:rPr>
                <w:rFonts w:eastAsia="Courier New"/>
                <w:b/>
              </w:rPr>
              <w:t>)</w:t>
            </w:r>
          </w:p>
          <w:p w:rsidR="00035183" w:rsidRPr="00035183" w:rsidP="00035183" w14:paraId="008C18E4" w14:textId="77777777">
            <w:pPr>
              <w:rPr>
                <w:rFonts w:eastAsia="Courier New"/>
                <w:b/>
              </w:rPr>
            </w:pPr>
            <w:r w:rsidRPr="00035183">
              <w:rPr>
                <w:rFonts w:eastAsia="Courier New"/>
                <w:b/>
              </w:rPr>
              <w:t>)</w:t>
            </w:r>
          </w:p>
          <w:p w:rsidR="00035183" w:rsidRPr="00035183" w:rsidP="00035183" w14:paraId="19A38453" w14:textId="77777777">
            <w:pPr>
              <w:rPr>
                <w:rFonts w:eastAsia="Courier New"/>
                <w:b/>
              </w:rPr>
            </w:pPr>
            <w:r w:rsidRPr="00035183">
              <w:rPr>
                <w:rFonts w:eastAsia="Courier New"/>
                <w:b/>
              </w:rPr>
              <w:t>)</w:t>
            </w:r>
          </w:p>
          <w:p w:rsidR="00035183" w:rsidRPr="00035183" w:rsidP="00035183" w14:paraId="31181F0C" w14:textId="77777777">
            <w:pPr>
              <w:rPr>
                <w:rFonts w:eastAsia="Courier New"/>
                <w:b/>
              </w:rPr>
            </w:pPr>
          </w:p>
          <w:p w:rsidR="00035183" w:rsidRPr="00035183" w:rsidP="00035183" w14:paraId="056BEBDD" w14:textId="77777777">
            <w:pPr>
              <w:rPr>
                <w:rFonts w:eastAsia="Courier New"/>
                <w:b/>
              </w:rPr>
            </w:pPr>
            <w:r w:rsidRPr="00035183">
              <w:rPr>
                <w:rFonts w:eastAsia="Courier New"/>
                <w:b/>
              </w:rPr>
              <w:t>)</w:t>
            </w:r>
          </w:p>
          <w:p w:rsidR="00035183" w:rsidRPr="00035183" w:rsidP="00035183" w14:paraId="1844269C" w14:textId="77777777">
            <w:pPr>
              <w:rPr>
                <w:rFonts w:eastAsia="Courier New"/>
                <w:b/>
              </w:rPr>
            </w:pPr>
            <w:r w:rsidRPr="00035183">
              <w:rPr>
                <w:rFonts w:eastAsia="Courier New"/>
                <w:b/>
              </w:rPr>
              <w:t>)</w:t>
            </w:r>
          </w:p>
          <w:p w:rsidR="00035183" w:rsidRPr="00035183" w:rsidP="00035183" w14:paraId="0989FC0A" w14:textId="77777777">
            <w:pPr>
              <w:rPr>
                <w:rFonts w:eastAsia="Courier New"/>
                <w:b/>
              </w:rPr>
            </w:pPr>
            <w:r w:rsidRPr="00035183">
              <w:rPr>
                <w:rFonts w:eastAsia="Courier New"/>
                <w:b/>
              </w:rPr>
              <w:t>)</w:t>
            </w:r>
          </w:p>
          <w:p w:rsidR="00035183" w:rsidRPr="00035183" w:rsidP="00035183" w14:paraId="0D96C0CC" w14:textId="77777777">
            <w:pPr>
              <w:rPr>
                <w:rFonts w:eastAsia="Courier New"/>
                <w:b/>
              </w:rPr>
            </w:pPr>
          </w:p>
          <w:p w:rsidR="00035183" w:rsidRPr="00035183" w:rsidP="00035183" w14:paraId="6B6F13EE" w14:textId="77777777">
            <w:pPr>
              <w:rPr>
                <w:rFonts w:eastAsia="Courier New"/>
                <w:b/>
              </w:rPr>
            </w:pPr>
            <w:r w:rsidRPr="00035183">
              <w:rPr>
                <w:rFonts w:eastAsia="Courier New"/>
                <w:b/>
              </w:rPr>
              <w:t>)</w:t>
            </w:r>
          </w:p>
          <w:p w:rsidR="00035183" w:rsidRPr="00035183" w:rsidP="00035183" w14:paraId="1F5C9467" w14:textId="77777777">
            <w:pPr>
              <w:rPr>
                <w:rFonts w:eastAsia="Courier New"/>
                <w:b/>
              </w:rPr>
            </w:pPr>
            <w:r w:rsidRPr="00035183">
              <w:rPr>
                <w:rFonts w:eastAsia="Courier New"/>
                <w:b/>
              </w:rPr>
              <w:t>)</w:t>
            </w:r>
          </w:p>
          <w:p w:rsidR="00035183" w:rsidRPr="00035183" w:rsidP="00035183" w14:paraId="3DB5E3BF" w14:textId="77777777">
            <w:pPr>
              <w:rPr>
                <w:rFonts w:eastAsia="Courier New"/>
                <w:b/>
              </w:rPr>
            </w:pPr>
            <w:r w:rsidRPr="00035183">
              <w:rPr>
                <w:rFonts w:eastAsia="Courier New"/>
                <w:b/>
              </w:rPr>
              <w:t>)</w:t>
            </w:r>
          </w:p>
          <w:p w:rsidR="00035183" w:rsidRPr="00035183" w:rsidP="00035183" w14:paraId="05EEF64C" w14:textId="77777777">
            <w:pPr>
              <w:rPr>
                <w:rFonts w:eastAsia="Courier New"/>
                <w:b/>
              </w:rPr>
            </w:pPr>
            <w:r w:rsidRPr="00035183">
              <w:rPr>
                <w:rFonts w:eastAsia="Courier New"/>
                <w:b/>
              </w:rPr>
              <w:t>)</w:t>
            </w:r>
          </w:p>
          <w:p w:rsidR="00035183" w:rsidRPr="00035183" w:rsidP="00035183" w14:paraId="3B6B8844" w14:textId="77777777">
            <w:pPr>
              <w:rPr>
                <w:rFonts w:eastAsia="Courier New"/>
                <w:b/>
              </w:rPr>
            </w:pPr>
            <w:r w:rsidRPr="00035183">
              <w:rPr>
                <w:rFonts w:eastAsia="Courier New"/>
                <w:b/>
              </w:rPr>
              <w:t>)</w:t>
            </w:r>
          </w:p>
        </w:tc>
        <w:tc>
          <w:tcPr>
            <w:tcW w:w="4140" w:type="dxa"/>
          </w:tcPr>
          <w:p w:rsidR="00035183" w:rsidRPr="00035183" w:rsidP="00035183" w14:paraId="27577D8F" w14:textId="77777777">
            <w:pPr>
              <w:rPr>
                <w:rFonts w:eastAsia="Courier New"/>
              </w:rPr>
            </w:pPr>
          </w:p>
          <w:p w:rsidR="00035183" w:rsidRPr="00035183" w:rsidP="00035183" w14:paraId="62789D28" w14:textId="77777777">
            <w:pPr>
              <w:rPr>
                <w:rFonts w:eastAsia="Courier New"/>
              </w:rPr>
            </w:pPr>
            <w:r w:rsidRPr="00035183">
              <w:rPr>
                <w:rFonts w:eastAsia="Courier New"/>
              </w:rPr>
              <w:t>Case No. 16-0395-EL-SSO</w:t>
            </w:r>
          </w:p>
          <w:p w:rsidR="00035183" w:rsidRPr="00035183" w:rsidP="00035183" w14:paraId="4831E8F0" w14:textId="77777777">
            <w:pPr>
              <w:rPr>
                <w:rFonts w:eastAsia="Courier New"/>
              </w:rPr>
            </w:pPr>
          </w:p>
          <w:p w:rsidR="00035183" w:rsidRPr="00035183" w:rsidP="00035183" w14:paraId="3DC21E1F" w14:textId="77777777">
            <w:pPr>
              <w:rPr>
                <w:rFonts w:eastAsia="Courier New"/>
              </w:rPr>
            </w:pPr>
          </w:p>
          <w:p w:rsidR="00035183" w:rsidRPr="00035183" w:rsidP="00035183" w14:paraId="5B0A6A6B" w14:textId="77777777">
            <w:pPr>
              <w:rPr>
                <w:rFonts w:eastAsia="Courier New"/>
              </w:rPr>
            </w:pPr>
            <w:r w:rsidRPr="00035183">
              <w:rPr>
                <w:rFonts w:eastAsia="Courier New"/>
              </w:rPr>
              <w:t>Case No. 16-0396-EL-ATA</w:t>
            </w:r>
          </w:p>
          <w:p w:rsidR="00035183" w:rsidRPr="00035183" w:rsidP="00035183" w14:paraId="39A17EF0" w14:textId="77777777">
            <w:pPr>
              <w:rPr>
                <w:rFonts w:eastAsia="Courier New"/>
              </w:rPr>
            </w:pPr>
          </w:p>
          <w:p w:rsidR="00035183" w:rsidRPr="00035183" w:rsidP="00035183" w14:paraId="038F7E87" w14:textId="77777777">
            <w:pPr>
              <w:rPr>
                <w:rFonts w:eastAsia="Courier New"/>
              </w:rPr>
            </w:pPr>
          </w:p>
          <w:p w:rsidR="00035183" w:rsidRPr="00035183" w:rsidP="00035183" w14:paraId="32F5C381" w14:textId="77777777">
            <w:pPr>
              <w:rPr>
                <w:rFonts w:eastAsia="Courier New"/>
              </w:rPr>
            </w:pPr>
          </w:p>
          <w:p w:rsidR="00035183" w:rsidRPr="00035183" w:rsidP="00035183" w14:paraId="195A0A20" w14:textId="77777777">
            <w:pPr>
              <w:rPr>
                <w:rFonts w:eastAsia="Courier New"/>
              </w:rPr>
            </w:pPr>
            <w:r w:rsidRPr="00035183">
              <w:rPr>
                <w:rFonts w:eastAsia="Courier New"/>
              </w:rPr>
              <w:t>Case No. 16-0397-EL-AAM</w:t>
            </w:r>
          </w:p>
        </w:tc>
      </w:tr>
    </w:tbl>
    <w:p w:rsidR="00035183" w:rsidRPr="00035183" w:rsidP="00035183" w14:paraId="633F52C0" w14:textId="77777777">
      <w:pPr>
        <w:pBdr>
          <w:bottom w:val="single" w:sz="12" w:space="1" w:color="auto"/>
        </w:pBdr>
        <w:rPr>
          <w:rFonts w:eastAsia="Courier New"/>
        </w:rPr>
      </w:pPr>
    </w:p>
    <w:p w:rsidR="00035183" w:rsidRPr="00035183" w:rsidP="00035183" w14:paraId="0F567415" w14:textId="77777777">
      <w:pPr>
        <w:jc w:val="center"/>
        <w:rPr>
          <w:b/>
        </w:rPr>
      </w:pPr>
    </w:p>
    <w:p w:rsidR="00035183" w:rsidRPr="00035183" w:rsidP="00035183" w14:paraId="02B0056D" w14:textId="77777777">
      <w:pPr>
        <w:jc w:val="center"/>
        <w:rPr>
          <w:b/>
        </w:rPr>
      </w:pPr>
      <w:r w:rsidRPr="00035183">
        <w:rPr>
          <w:b/>
        </w:rPr>
        <w:t xml:space="preserve">APPLICATION FOR REHEARING </w:t>
      </w:r>
    </w:p>
    <w:p w:rsidR="00035183" w:rsidRPr="00035183" w:rsidP="00035183" w14:paraId="35CCD820" w14:textId="77777777">
      <w:pPr>
        <w:jc w:val="center"/>
        <w:rPr>
          <w:b/>
        </w:rPr>
      </w:pPr>
      <w:r w:rsidRPr="00035183">
        <w:rPr>
          <w:b/>
        </w:rPr>
        <w:t>BY</w:t>
      </w:r>
    </w:p>
    <w:p w:rsidR="00035183" w:rsidRPr="00035183" w:rsidP="00035183" w14:paraId="0E8C1FF1" w14:textId="77777777">
      <w:pPr>
        <w:jc w:val="center"/>
        <w:rPr>
          <w:b/>
        </w:rPr>
      </w:pPr>
      <w:r w:rsidRPr="00035183">
        <w:rPr>
          <w:b/>
        </w:rPr>
        <w:t xml:space="preserve">THE OFFICE OF THE OHIO CONSUMERS’ COUNSEL </w:t>
      </w:r>
    </w:p>
    <w:p w:rsidR="00035183" w:rsidRPr="00035183" w:rsidP="00035183" w14:paraId="30B222A4" w14:textId="77777777">
      <w:pPr>
        <w:pBdr>
          <w:bottom w:val="single" w:sz="12" w:space="1" w:color="auto"/>
        </w:pBdr>
        <w:jc w:val="center"/>
        <w:rPr>
          <w:b/>
        </w:rPr>
      </w:pPr>
    </w:p>
    <w:p w:rsidR="00035183" w:rsidRPr="00035183" w:rsidP="00035183" w14:paraId="3CE7A8FF" w14:textId="77777777">
      <w:pPr>
        <w:ind w:firstLine="48"/>
      </w:pPr>
    </w:p>
    <w:p w:rsidR="00035183" w:rsidP="00A46CDB" w14:paraId="4E870535" w14:textId="77777777">
      <w:pPr>
        <w:jc w:val="center"/>
        <w:rPr>
          <w:b/>
        </w:rPr>
      </w:pPr>
    </w:p>
    <w:p w:rsidR="00035183" w:rsidP="00A46CDB" w14:paraId="1A62ABA9" w14:textId="77777777">
      <w:pPr>
        <w:jc w:val="center"/>
        <w:rPr>
          <w:b/>
        </w:rPr>
      </w:pPr>
    </w:p>
    <w:p w:rsidR="00035183" w:rsidP="00A46CDB" w14:paraId="420408E6" w14:textId="77777777">
      <w:pPr>
        <w:jc w:val="center"/>
        <w:rPr>
          <w:b/>
        </w:rPr>
      </w:pPr>
    </w:p>
    <w:p w:rsidR="00035183" w:rsidP="00A46CDB" w14:paraId="4878C875" w14:textId="77777777">
      <w:pPr>
        <w:jc w:val="center"/>
        <w:rPr>
          <w:b/>
        </w:rPr>
      </w:pPr>
    </w:p>
    <w:p w:rsidR="00035183" w:rsidP="00A46CDB" w14:paraId="438873FE" w14:textId="77777777">
      <w:pPr>
        <w:jc w:val="center"/>
        <w:rPr>
          <w:b/>
        </w:rPr>
      </w:pPr>
    </w:p>
    <w:p w:rsidR="00035183" w:rsidP="00A46CDB" w14:paraId="1B4717DB" w14:textId="77777777">
      <w:pPr>
        <w:jc w:val="center"/>
        <w:rPr>
          <w:b/>
        </w:rPr>
      </w:pPr>
    </w:p>
    <w:p w:rsidR="00035183" w:rsidP="00035183" w14:paraId="116AF431" w14:textId="77777777">
      <w:pPr>
        <w:tabs>
          <w:tab w:val="left" w:pos="4320"/>
        </w:tabs>
        <w:overflowPunct w:val="0"/>
        <w:autoSpaceDE w:val="0"/>
        <w:autoSpaceDN w:val="0"/>
        <w:adjustRightInd w:val="0"/>
        <w:ind w:left="4320"/>
        <w:textAlignment w:val="baseline"/>
      </w:pPr>
      <w:r>
        <w:t>Bruce Weston (0016973)</w:t>
      </w:r>
    </w:p>
    <w:p w:rsidR="00035183" w:rsidP="00035183" w14:paraId="4F26C827" w14:textId="77777777">
      <w:pPr>
        <w:tabs>
          <w:tab w:val="left" w:pos="4320"/>
        </w:tabs>
        <w:ind w:left="4320"/>
      </w:pPr>
      <w:r>
        <w:t>Ohio Consumers’ Counsel</w:t>
      </w:r>
    </w:p>
    <w:p w:rsidR="00035183" w:rsidP="00035183" w14:paraId="1DD95D88" w14:textId="77777777">
      <w:pPr>
        <w:tabs>
          <w:tab w:val="left" w:pos="4320"/>
        </w:tabs>
        <w:ind w:left="4320"/>
      </w:pPr>
    </w:p>
    <w:p w:rsidR="00035183" w:rsidP="00035183" w14:paraId="2D5B234F" w14:textId="77777777">
      <w:pPr>
        <w:tabs>
          <w:tab w:val="left" w:pos="4320"/>
        </w:tabs>
        <w:ind w:left="4320"/>
      </w:pPr>
      <w:r>
        <w:t>William J. Michael (0070921)</w:t>
      </w:r>
    </w:p>
    <w:p w:rsidR="00035183" w:rsidP="00035183" w14:paraId="1C66472C" w14:textId="77777777">
      <w:pPr>
        <w:tabs>
          <w:tab w:val="left" w:pos="4320"/>
        </w:tabs>
        <w:ind w:left="4320"/>
      </w:pPr>
      <w:r>
        <w:t>Counsel of Record</w:t>
      </w:r>
    </w:p>
    <w:p w:rsidR="00035183" w:rsidP="00035183" w14:paraId="1AC522AD" w14:textId="77777777">
      <w:pPr>
        <w:ind w:left="4320"/>
      </w:pPr>
      <w:r>
        <w:t>Ambrosia E. Logsdon (0096598)</w:t>
      </w:r>
    </w:p>
    <w:p w:rsidR="00035183" w:rsidP="00035183" w14:paraId="17D00976" w14:textId="77777777">
      <w:pPr>
        <w:tabs>
          <w:tab w:val="left" w:pos="4320"/>
        </w:tabs>
        <w:ind w:left="4320"/>
      </w:pPr>
      <w:r>
        <w:t>Assistant Consumers’ Counsel</w:t>
      </w:r>
    </w:p>
    <w:p w:rsidR="00035183" w:rsidP="00035183" w14:paraId="2307B9B4" w14:textId="77777777">
      <w:pPr>
        <w:tabs>
          <w:tab w:val="left" w:pos="4320"/>
        </w:tabs>
        <w:ind w:left="4320"/>
      </w:pPr>
    </w:p>
    <w:p w:rsidR="00035183" w:rsidP="00035183" w14:paraId="7A6BECF4" w14:textId="77777777">
      <w:pPr>
        <w:ind w:left="4320"/>
        <w:rPr>
          <w:b/>
        </w:rPr>
      </w:pPr>
      <w:r>
        <w:rPr>
          <w:b/>
        </w:rPr>
        <w:t>Office of the Ohio Consumers’ Counsel</w:t>
      </w:r>
    </w:p>
    <w:p w:rsidR="00035183" w:rsidP="00035183" w14:paraId="196E402F" w14:textId="77777777">
      <w:pPr>
        <w:ind w:left="4320"/>
      </w:pPr>
      <w:r>
        <w:t>65 East State Street, 7th Floor</w:t>
      </w:r>
    </w:p>
    <w:p w:rsidR="00035183" w:rsidP="00035183" w14:paraId="35A10226" w14:textId="77777777">
      <w:pPr>
        <w:ind w:left="4320"/>
        <w:rPr>
          <w:b/>
        </w:rPr>
      </w:pPr>
      <w:r>
        <w:t>Columbus, Ohio 43215</w:t>
      </w:r>
    </w:p>
    <w:p w:rsidR="00035183" w:rsidP="00035183" w14:paraId="7CDC32AF" w14:textId="77777777">
      <w:pPr>
        <w:ind w:left="4320"/>
      </w:pPr>
      <w:r>
        <w:t>Telephone: [Michael] (614) 466-1291</w:t>
      </w:r>
    </w:p>
    <w:p w:rsidR="00035183" w:rsidP="00035183" w14:paraId="26915D56" w14:textId="77777777">
      <w:pPr>
        <w:ind w:left="4320"/>
      </w:pPr>
      <w:r>
        <w:t>Telephone: [Logsdon] (614) 466-1292</w:t>
      </w:r>
    </w:p>
    <w:p w:rsidR="00035183" w:rsidP="00035183" w14:paraId="31B6662A" w14:textId="77777777">
      <w:pPr>
        <w:ind w:left="4320"/>
      </w:pPr>
      <w:hyperlink r:id="rId6" w:history="1">
        <w:r>
          <w:rPr>
            <w:rStyle w:val="Hyperlink"/>
          </w:rPr>
          <w:t>william.michael@occ.ohio.gov</w:t>
        </w:r>
      </w:hyperlink>
    </w:p>
    <w:p w:rsidR="00035183" w:rsidP="00035183" w14:paraId="68F57999" w14:textId="5AC38829">
      <w:pPr>
        <w:ind w:left="4320"/>
        <w:rPr>
          <w:rStyle w:val="Hyperlink"/>
        </w:rPr>
      </w:pPr>
      <w:hyperlink r:id="rId7" w:history="1">
        <w:r w:rsidRPr="004631F5">
          <w:rPr>
            <w:rStyle w:val="Hyperlink"/>
          </w:rPr>
          <w:t>ambrosia.logsdon@occ.ohio.gov</w:t>
        </w:r>
      </w:hyperlink>
    </w:p>
    <w:p w:rsidR="00035183" w:rsidRPr="00035183" w:rsidP="00035183" w14:paraId="10A01EF1" w14:textId="01711523">
      <w:pPr>
        <w:rPr>
          <w:color w:val="0000FF"/>
          <w:u w:val="single"/>
        </w:rPr>
      </w:pPr>
      <w:r w:rsidRPr="00035183">
        <w:rPr>
          <w:rStyle w:val="Hyperlink"/>
          <w:color w:val="auto"/>
          <w:u w:val="none"/>
        </w:rPr>
        <w:t>January 17, 2020</w:t>
      </w:r>
      <w:r w:rsidRPr="00035183">
        <w:rPr>
          <w:rStyle w:val="Hyperlink"/>
          <w:color w:val="auto"/>
          <w:u w:val="none"/>
        </w:rPr>
        <w:tab/>
      </w:r>
      <w:r w:rsidRPr="00035183">
        <w:rPr>
          <w:rStyle w:val="Hyperlink"/>
          <w:color w:val="auto"/>
          <w:u w:val="none"/>
        </w:rPr>
        <w:tab/>
      </w:r>
      <w:r w:rsidRPr="00035183">
        <w:rPr>
          <w:rStyle w:val="Hyperlink"/>
          <w:color w:val="auto"/>
          <w:u w:val="none"/>
        </w:rPr>
        <w:tab/>
      </w:r>
      <w:r w:rsidRPr="00035183">
        <w:rPr>
          <w:rStyle w:val="Hyperlink"/>
          <w:color w:val="auto"/>
          <w:u w:val="none"/>
        </w:rPr>
        <w:tab/>
      </w:r>
      <w:r>
        <w:t>(willing to accept service by e-mail)</w:t>
      </w:r>
    </w:p>
    <w:p w:rsidR="00035183" w:rsidP="00A46CDB" w14:paraId="0FB04645" w14:textId="64D6B0BC">
      <w:pPr>
        <w:jc w:val="center"/>
        <w:rPr>
          <w:b/>
        </w:rPr>
        <w:sectPr w:rsidSect="00A46CDB">
          <w:footerReference w:type="default" r:id="rId8"/>
          <w:pgSz w:w="12240" w:h="15840"/>
          <w:pgMar w:top="1440" w:right="1800" w:bottom="1440" w:left="1800" w:header="720" w:footer="720" w:gutter="0"/>
          <w:pgNumType w:start="2"/>
          <w:cols w:space="720"/>
          <w:docGrid w:linePitch="360"/>
        </w:sectPr>
      </w:pPr>
    </w:p>
    <w:p w:rsidR="00EC3253" w:rsidP="00A46CDB" w14:paraId="597136EB" w14:textId="694122F4">
      <w:pPr>
        <w:jc w:val="center"/>
        <w:rPr>
          <w:b/>
          <w:u w:val="single"/>
        </w:rPr>
      </w:pPr>
      <w:r w:rsidRPr="00EC3253">
        <w:rPr>
          <w:b/>
          <w:u w:val="single"/>
        </w:rPr>
        <w:t>TABLE OF CONTENTS</w:t>
      </w:r>
    </w:p>
    <w:p w:rsidR="00EC3253" w:rsidP="00A46CDB" w14:paraId="02E6CE60" w14:textId="6B87E348">
      <w:pPr>
        <w:jc w:val="center"/>
        <w:rPr>
          <w:b/>
        </w:rPr>
      </w:pPr>
    </w:p>
    <w:p w:rsidR="00EC3253" w:rsidP="00EC3253" w14:paraId="57273A04" w14:textId="064FB383">
      <w:pPr>
        <w:jc w:val="right"/>
        <w:rPr>
          <w:b/>
        </w:rPr>
      </w:pPr>
      <w:r>
        <w:rPr>
          <w:b/>
        </w:rPr>
        <w:t>PAGE</w:t>
      </w:r>
    </w:p>
    <w:p w:rsidR="004F6C96" w:rsidP="004F6C96" w14:paraId="12F04783" w14:textId="38147C69">
      <w:pPr>
        <w:pStyle w:val="TOC1"/>
        <w:framePr w:wrap="notBeside"/>
        <w:rPr>
          <w:rFonts w:asciiTheme="minorHAnsi" w:eastAsiaTheme="minorEastAsia" w:hAnsiTheme="minorHAnsi" w:cstheme="minorBidi"/>
          <w:bCs w:val="0"/>
          <w:caps w:val="0"/>
          <w:noProof/>
          <w:sz w:val="22"/>
          <w:szCs w:val="22"/>
        </w:rPr>
      </w:pPr>
      <w:r>
        <w:rPr>
          <w:b/>
        </w:rPr>
        <w:fldChar w:fldCharType="begin"/>
      </w:r>
      <w:r>
        <w:rPr>
          <w:b/>
        </w:rPr>
        <w:instrText xml:space="preserve"> TOC \o "1-3" \h \z \u </w:instrText>
      </w:r>
      <w:r>
        <w:rPr>
          <w:b/>
        </w:rPr>
        <w:fldChar w:fldCharType="separate"/>
      </w:r>
      <w:hyperlink w:anchor="_Toc30166444" w:history="1">
        <w:r w:rsidRPr="002F593A">
          <w:rPr>
            <w:rStyle w:val="Hyperlink"/>
            <w:noProof/>
          </w:rPr>
          <w:t>I.</w:t>
        </w:r>
        <w:r>
          <w:rPr>
            <w:rFonts w:asciiTheme="minorHAnsi" w:eastAsiaTheme="minorEastAsia" w:hAnsiTheme="minorHAnsi" w:cstheme="minorBidi"/>
            <w:bCs w:val="0"/>
            <w:caps w:val="0"/>
            <w:noProof/>
            <w:sz w:val="22"/>
            <w:szCs w:val="22"/>
          </w:rPr>
          <w:tab/>
        </w:r>
        <w:r w:rsidRPr="002F593A">
          <w:rPr>
            <w:rStyle w:val="Hyperlink"/>
            <w:noProof/>
          </w:rPr>
          <w:t>INTRODUCTION</w:t>
        </w:r>
        <w:r>
          <w:rPr>
            <w:noProof/>
            <w:webHidden/>
          </w:rPr>
          <w:tab/>
        </w:r>
        <w:r>
          <w:rPr>
            <w:noProof/>
            <w:webHidden/>
          </w:rPr>
          <w:fldChar w:fldCharType="begin"/>
        </w:r>
        <w:r>
          <w:rPr>
            <w:noProof/>
            <w:webHidden/>
          </w:rPr>
          <w:instrText xml:space="preserve"> PAGEREF _Toc30166444 \h </w:instrText>
        </w:r>
        <w:r>
          <w:rPr>
            <w:noProof/>
            <w:webHidden/>
          </w:rPr>
          <w:fldChar w:fldCharType="separate"/>
        </w:r>
        <w:r>
          <w:rPr>
            <w:noProof/>
            <w:webHidden/>
          </w:rPr>
          <w:t>1</w:t>
        </w:r>
        <w:r>
          <w:rPr>
            <w:noProof/>
            <w:webHidden/>
          </w:rPr>
          <w:fldChar w:fldCharType="end"/>
        </w:r>
      </w:hyperlink>
    </w:p>
    <w:p w:rsidR="004F6C96" w:rsidP="004F6C96" w14:paraId="26F42457" w14:textId="70CD3EF3">
      <w:pPr>
        <w:pStyle w:val="TOC1"/>
        <w:framePr w:wrap="notBeside"/>
        <w:rPr>
          <w:rFonts w:asciiTheme="minorHAnsi" w:eastAsiaTheme="minorEastAsia" w:hAnsiTheme="minorHAnsi" w:cstheme="minorBidi"/>
          <w:bCs w:val="0"/>
          <w:caps w:val="0"/>
          <w:noProof/>
          <w:sz w:val="22"/>
          <w:szCs w:val="22"/>
        </w:rPr>
      </w:pPr>
      <w:hyperlink w:anchor="_Toc30166445" w:history="1">
        <w:r w:rsidRPr="002F593A">
          <w:rPr>
            <w:rStyle w:val="Hyperlink"/>
            <w:noProof/>
          </w:rPr>
          <w:t>II.</w:t>
        </w:r>
        <w:r>
          <w:rPr>
            <w:rFonts w:asciiTheme="minorHAnsi" w:eastAsiaTheme="minorEastAsia" w:hAnsiTheme="minorHAnsi" w:cstheme="minorBidi"/>
            <w:bCs w:val="0"/>
            <w:caps w:val="0"/>
            <w:noProof/>
            <w:sz w:val="22"/>
            <w:szCs w:val="22"/>
          </w:rPr>
          <w:tab/>
        </w:r>
        <w:r w:rsidRPr="002F593A">
          <w:rPr>
            <w:rStyle w:val="Hyperlink"/>
            <w:noProof/>
          </w:rPr>
          <w:t>STANDARD OF REVIEW</w:t>
        </w:r>
        <w:r>
          <w:rPr>
            <w:noProof/>
            <w:webHidden/>
          </w:rPr>
          <w:tab/>
        </w:r>
        <w:r>
          <w:rPr>
            <w:noProof/>
            <w:webHidden/>
          </w:rPr>
          <w:fldChar w:fldCharType="begin"/>
        </w:r>
        <w:r>
          <w:rPr>
            <w:noProof/>
            <w:webHidden/>
          </w:rPr>
          <w:instrText xml:space="preserve"> PAGEREF _Toc30166445 \h </w:instrText>
        </w:r>
        <w:r>
          <w:rPr>
            <w:noProof/>
            <w:webHidden/>
          </w:rPr>
          <w:fldChar w:fldCharType="separate"/>
        </w:r>
        <w:r>
          <w:rPr>
            <w:noProof/>
            <w:webHidden/>
          </w:rPr>
          <w:t>2</w:t>
        </w:r>
        <w:r>
          <w:rPr>
            <w:noProof/>
            <w:webHidden/>
          </w:rPr>
          <w:fldChar w:fldCharType="end"/>
        </w:r>
      </w:hyperlink>
    </w:p>
    <w:p w:rsidR="004F6C96" w:rsidP="004F6C96" w14:paraId="7F22D679" w14:textId="3C589329">
      <w:pPr>
        <w:pStyle w:val="TOC1"/>
        <w:framePr w:wrap="notBeside"/>
        <w:rPr>
          <w:rFonts w:asciiTheme="minorHAnsi" w:eastAsiaTheme="minorEastAsia" w:hAnsiTheme="minorHAnsi" w:cstheme="minorBidi"/>
          <w:bCs w:val="0"/>
          <w:caps w:val="0"/>
          <w:noProof/>
          <w:sz w:val="22"/>
          <w:szCs w:val="22"/>
        </w:rPr>
      </w:pPr>
      <w:hyperlink w:anchor="_Toc30166446" w:history="1">
        <w:r w:rsidRPr="002F593A">
          <w:rPr>
            <w:rStyle w:val="Hyperlink"/>
            <w:noProof/>
          </w:rPr>
          <w:t>iii.</w:t>
        </w:r>
        <w:r>
          <w:rPr>
            <w:rFonts w:asciiTheme="minorHAnsi" w:eastAsiaTheme="minorEastAsia" w:hAnsiTheme="minorHAnsi" w:cstheme="minorBidi"/>
            <w:bCs w:val="0"/>
            <w:caps w:val="0"/>
            <w:noProof/>
            <w:sz w:val="22"/>
            <w:szCs w:val="22"/>
          </w:rPr>
          <w:tab/>
        </w:r>
        <w:r w:rsidRPr="002F593A">
          <w:rPr>
            <w:rStyle w:val="Hyperlink"/>
            <w:noProof/>
          </w:rPr>
          <w:t>ERRORS</w:t>
        </w:r>
        <w:r>
          <w:rPr>
            <w:noProof/>
            <w:webHidden/>
          </w:rPr>
          <w:tab/>
        </w:r>
        <w:r>
          <w:rPr>
            <w:noProof/>
            <w:webHidden/>
          </w:rPr>
          <w:fldChar w:fldCharType="begin"/>
        </w:r>
        <w:r>
          <w:rPr>
            <w:noProof/>
            <w:webHidden/>
          </w:rPr>
          <w:instrText xml:space="preserve"> PAGEREF _Toc30166446 \h </w:instrText>
        </w:r>
        <w:r>
          <w:rPr>
            <w:noProof/>
            <w:webHidden/>
          </w:rPr>
          <w:fldChar w:fldCharType="separate"/>
        </w:r>
        <w:r>
          <w:rPr>
            <w:noProof/>
            <w:webHidden/>
          </w:rPr>
          <w:t>3</w:t>
        </w:r>
        <w:r>
          <w:rPr>
            <w:noProof/>
            <w:webHidden/>
          </w:rPr>
          <w:fldChar w:fldCharType="end"/>
        </w:r>
      </w:hyperlink>
    </w:p>
    <w:p w:rsidR="004F6C96" w:rsidP="004F6C96" w14:paraId="768ADAFC" w14:textId="09A997FD">
      <w:pPr>
        <w:pStyle w:val="TOC2"/>
        <w:framePr w:wrap="notBeside" w:vAnchor="text" w:hAnchor="text" w:y="1"/>
        <w:rPr>
          <w:rFonts w:asciiTheme="minorHAnsi" w:eastAsiaTheme="minorEastAsia" w:hAnsiTheme="minorHAnsi" w:cstheme="minorBidi"/>
          <w:bCs w:val="0"/>
          <w:noProof/>
          <w:sz w:val="22"/>
          <w:szCs w:val="22"/>
        </w:rPr>
      </w:pPr>
      <w:hyperlink w:anchor="_Toc30166447" w:history="1">
        <w:r w:rsidRPr="002F593A">
          <w:rPr>
            <w:rStyle w:val="Hyperlink"/>
            <w:noProof/>
          </w:rPr>
          <w:t>ASSIGNMENT OF ERROR 1: The PUCO’s Finding and Order is unreasonable and unlawful under R.C. 4903.13 and 4928.143(C)(2)(a), thereby harming consumers, because DP&amp;L does not have an absolute statutory right to withdraw its electric security plan application.</w:t>
        </w:r>
        <w:r>
          <w:rPr>
            <w:noProof/>
            <w:webHidden/>
          </w:rPr>
          <w:tab/>
        </w:r>
        <w:r>
          <w:rPr>
            <w:noProof/>
            <w:webHidden/>
          </w:rPr>
          <w:fldChar w:fldCharType="begin"/>
        </w:r>
        <w:r>
          <w:rPr>
            <w:noProof/>
            <w:webHidden/>
          </w:rPr>
          <w:instrText xml:space="preserve"> PAGEREF _Toc30166447 \h </w:instrText>
        </w:r>
        <w:r>
          <w:rPr>
            <w:noProof/>
            <w:webHidden/>
          </w:rPr>
          <w:fldChar w:fldCharType="separate"/>
        </w:r>
        <w:r>
          <w:rPr>
            <w:noProof/>
            <w:webHidden/>
          </w:rPr>
          <w:t>3</w:t>
        </w:r>
        <w:r>
          <w:rPr>
            <w:noProof/>
            <w:webHidden/>
          </w:rPr>
          <w:fldChar w:fldCharType="end"/>
        </w:r>
      </w:hyperlink>
    </w:p>
    <w:p w:rsidR="004F6C96" w:rsidP="004F6C96" w14:paraId="47FFFFA4" w14:textId="642E489E">
      <w:pPr>
        <w:pStyle w:val="TOC3"/>
        <w:framePr w:wrap="notBeside" w:vAnchor="text" w:hAnchor="text" w:y="1"/>
        <w:tabs>
          <w:tab w:val="left" w:pos="2160"/>
        </w:tabs>
        <w:rPr>
          <w:rFonts w:asciiTheme="minorHAnsi" w:eastAsiaTheme="minorEastAsia" w:hAnsiTheme="minorHAnsi" w:cstheme="minorBidi"/>
          <w:noProof/>
          <w:sz w:val="22"/>
          <w:szCs w:val="22"/>
        </w:rPr>
      </w:pPr>
      <w:hyperlink w:anchor="_Toc30166448" w:history="1">
        <w:r w:rsidRPr="002F593A">
          <w:rPr>
            <w:rStyle w:val="Hyperlink"/>
            <w:noProof/>
          </w:rPr>
          <w:t>1.</w:t>
        </w:r>
        <w:r>
          <w:rPr>
            <w:rFonts w:asciiTheme="minorHAnsi" w:eastAsiaTheme="minorEastAsia" w:hAnsiTheme="minorHAnsi" w:cstheme="minorBidi"/>
            <w:noProof/>
            <w:sz w:val="22"/>
            <w:szCs w:val="22"/>
          </w:rPr>
          <w:tab/>
        </w:r>
        <w:r w:rsidRPr="002F593A">
          <w:rPr>
            <w:rStyle w:val="Hyperlink"/>
            <w:noProof/>
          </w:rPr>
          <w:t>There is no absolute statutory right to withdraw an electric security plan application in response to a Supreme Court of Ohio decision. By allowing DP&amp;L to do so, the PUCO violated R.C. 4903.13 and harmed consumers.</w:t>
        </w:r>
        <w:r>
          <w:rPr>
            <w:noProof/>
            <w:webHidden/>
          </w:rPr>
          <w:tab/>
        </w:r>
        <w:r>
          <w:rPr>
            <w:noProof/>
            <w:webHidden/>
          </w:rPr>
          <w:fldChar w:fldCharType="begin"/>
        </w:r>
        <w:r>
          <w:rPr>
            <w:noProof/>
            <w:webHidden/>
          </w:rPr>
          <w:instrText xml:space="preserve"> PAGEREF _Toc30166448 \h </w:instrText>
        </w:r>
        <w:r>
          <w:rPr>
            <w:noProof/>
            <w:webHidden/>
          </w:rPr>
          <w:fldChar w:fldCharType="separate"/>
        </w:r>
        <w:r>
          <w:rPr>
            <w:noProof/>
            <w:webHidden/>
          </w:rPr>
          <w:t>4</w:t>
        </w:r>
        <w:r>
          <w:rPr>
            <w:noProof/>
            <w:webHidden/>
          </w:rPr>
          <w:fldChar w:fldCharType="end"/>
        </w:r>
      </w:hyperlink>
    </w:p>
    <w:p w:rsidR="004F6C96" w:rsidP="004F6C96" w14:paraId="42FF076D" w14:textId="75C308EB">
      <w:pPr>
        <w:pStyle w:val="TOC3"/>
        <w:framePr w:wrap="notBeside" w:vAnchor="text" w:hAnchor="text" w:y="1"/>
        <w:tabs>
          <w:tab w:val="left" w:pos="2160"/>
        </w:tabs>
        <w:rPr>
          <w:rFonts w:asciiTheme="minorHAnsi" w:eastAsiaTheme="minorEastAsia" w:hAnsiTheme="minorHAnsi" w:cstheme="minorBidi"/>
          <w:noProof/>
          <w:sz w:val="22"/>
          <w:szCs w:val="22"/>
        </w:rPr>
      </w:pPr>
      <w:hyperlink w:anchor="_Toc30166449" w:history="1">
        <w:r w:rsidRPr="002F593A">
          <w:rPr>
            <w:rStyle w:val="Hyperlink"/>
            <w:noProof/>
          </w:rPr>
          <w:t>2.</w:t>
        </w:r>
        <w:r>
          <w:rPr>
            <w:rFonts w:asciiTheme="minorHAnsi" w:eastAsiaTheme="minorEastAsia" w:hAnsiTheme="minorHAnsi" w:cstheme="minorBidi"/>
            <w:noProof/>
            <w:sz w:val="22"/>
            <w:szCs w:val="22"/>
          </w:rPr>
          <w:tab/>
        </w:r>
        <w:r w:rsidRPr="002F593A">
          <w:rPr>
            <w:rStyle w:val="Hyperlink"/>
            <w:noProof/>
          </w:rPr>
          <w:t>Allowing DP&amp;L to withdraw its third electric security plan nearly three years into the plan conflicts with R.C. 4928.143(C)(2)(b), is unreasonable, and harms consumers.</w:t>
        </w:r>
        <w:r>
          <w:rPr>
            <w:noProof/>
            <w:webHidden/>
          </w:rPr>
          <w:tab/>
        </w:r>
        <w:r>
          <w:rPr>
            <w:noProof/>
            <w:webHidden/>
          </w:rPr>
          <w:fldChar w:fldCharType="begin"/>
        </w:r>
        <w:r>
          <w:rPr>
            <w:noProof/>
            <w:webHidden/>
          </w:rPr>
          <w:instrText xml:space="preserve"> PAGEREF _Toc30166449 \h </w:instrText>
        </w:r>
        <w:r>
          <w:rPr>
            <w:noProof/>
            <w:webHidden/>
          </w:rPr>
          <w:fldChar w:fldCharType="separate"/>
        </w:r>
        <w:r>
          <w:rPr>
            <w:noProof/>
            <w:webHidden/>
          </w:rPr>
          <w:t>6</w:t>
        </w:r>
        <w:r>
          <w:rPr>
            <w:noProof/>
            <w:webHidden/>
          </w:rPr>
          <w:fldChar w:fldCharType="end"/>
        </w:r>
      </w:hyperlink>
    </w:p>
    <w:p w:rsidR="004F6C96" w:rsidP="004F6C96" w14:paraId="4CCCBA10" w14:textId="16632A0C">
      <w:pPr>
        <w:pStyle w:val="TOC2"/>
        <w:framePr w:wrap="notBeside" w:vAnchor="text" w:hAnchor="text" w:y="1"/>
        <w:rPr>
          <w:rFonts w:asciiTheme="minorHAnsi" w:eastAsiaTheme="minorEastAsia" w:hAnsiTheme="minorHAnsi" w:cstheme="minorBidi"/>
          <w:bCs w:val="0"/>
          <w:noProof/>
          <w:sz w:val="22"/>
          <w:szCs w:val="22"/>
        </w:rPr>
      </w:pPr>
      <w:hyperlink w:anchor="_Toc30166450" w:history="1">
        <w:r w:rsidRPr="002F593A">
          <w:rPr>
            <w:rStyle w:val="Hyperlink"/>
            <w:noProof/>
          </w:rPr>
          <w:t xml:space="preserve">ASSIGNMENT OF ERROR 2: The PUCO’s Finding and Order is unreasonable and unlawful under R.C. 4903.09 and Ohio Supreme Court precedent, thereby harming consumers, because it approved DP&amp;L’s Notice of Withdrawal of Application without addressing all arguments against the Notice of </w:t>
        </w:r>
        <w:r>
          <w:rPr>
            <w:rStyle w:val="Hyperlink"/>
            <w:noProof/>
          </w:rPr>
          <w:br/>
        </w:r>
        <w:r w:rsidRPr="002F593A">
          <w:rPr>
            <w:rStyle w:val="Hyperlink"/>
            <w:noProof/>
          </w:rPr>
          <w:t>Withdrawal.</w:t>
        </w:r>
        <w:r>
          <w:rPr>
            <w:noProof/>
            <w:webHidden/>
          </w:rPr>
          <w:tab/>
        </w:r>
        <w:r>
          <w:rPr>
            <w:noProof/>
            <w:webHidden/>
          </w:rPr>
          <w:fldChar w:fldCharType="begin"/>
        </w:r>
        <w:r>
          <w:rPr>
            <w:noProof/>
            <w:webHidden/>
          </w:rPr>
          <w:instrText xml:space="preserve"> PAGEREF _Toc30166450 \h </w:instrText>
        </w:r>
        <w:r>
          <w:rPr>
            <w:noProof/>
            <w:webHidden/>
          </w:rPr>
          <w:fldChar w:fldCharType="separate"/>
        </w:r>
        <w:r>
          <w:rPr>
            <w:noProof/>
            <w:webHidden/>
          </w:rPr>
          <w:t>9</w:t>
        </w:r>
        <w:r>
          <w:rPr>
            <w:noProof/>
            <w:webHidden/>
          </w:rPr>
          <w:fldChar w:fldCharType="end"/>
        </w:r>
      </w:hyperlink>
    </w:p>
    <w:p w:rsidR="004F6C96" w:rsidP="004F6C96" w14:paraId="650ACD01" w14:textId="2AF865B9">
      <w:pPr>
        <w:pStyle w:val="TOC1"/>
        <w:framePr w:wrap="notBeside"/>
        <w:rPr>
          <w:rFonts w:asciiTheme="minorHAnsi" w:eastAsiaTheme="minorEastAsia" w:hAnsiTheme="minorHAnsi" w:cstheme="minorBidi"/>
          <w:bCs w:val="0"/>
          <w:caps w:val="0"/>
          <w:noProof/>
          <w:sz w:val="22"/>
          <w:szCs w:val="22"/>
        </w:rPr>
      </w:pPr>
      <w:hyperlink w:anchor="_Toc30166451" w:history="1">
        <w:r w:rsidRPr="002F593A">
          <w:rPr>
            <w:rStyle w:val="Hyperlink"/>
            <w:noProof/>
          </w:rPr>
          <w:t>iv.</w:t>
        </w:r>
        <w:r>
          <w:rPr>
            <w:rFonts w:asciiTheme="minorHAnsi" w:eastAsiaTheme="minorEastAsia" w:hAnsiTheme="minorHAnsi" w:cstheme="minorBidi"/>
            <w:bCs w:val="0"/>
            <w:caps w:val="0"/>
            <w:noProof/>
            <w:sz w:val="22"/>
            <w:szCs w:val="22"/>
          </w:rPr>
          <w:tab/>
        </w:r>
        <w:r w:rsidRPr="002F593A">
          <w:rPr>
            <w:rStyle w:val="Hyperlink"/>
            <w:noProof/>
          </w:rPr>
          <w:t>CONCLUSION</w:t>
        </w:r>
        <w:r>
          <w:rPr>
            <w:noProof/>
            <w:webHidden/>
          </w:rPr>
          <w:tab/>
        </w:r>
        <w:r>
          <w:rPr>
            <w:noProof/>
            <w:webHidden/>
          </w:rPr>
          <w:fldChar w:fldCharType="begin"/>
        </w:r>
        <w:r>
          <w:rPr>
            <w:noProof/>
            <w:webHidden/>
          </w:rPr>
          <w:instrText xml:space="preserve"> PAGEREF _Toc30166451 \h </w:instrText>
        </w:r>
        <w:r>
          <w:rPr>
            <w:noProof/>
            <w:webHidden/>
          </w:rPr>
          <w:fldChar w:fldCharType="separate"/>
        </w:r>
        <w:r>
          <w:rPr>
            <w:noProof/>
            <w:webHidden/>
          </w:rPr>
          <w:t>12</w:t>
        </w:r>
        <w:r>
          <w:rPr>
            <w:noProof/>
            <w:webHidden/>
          </w:rPr>
          <w:fldChar w:fldCharType="end"/>
        </w:r>
      </w:hyperlink>
    </w:p>
    <w:p w:rsidR="00281735" w:rsidRPr="00EC3253" w:rsidP="00EC3253" w14:paraId="3AA66D86" w14:textId="33D1CE9E">
      <w:pPr>
        <w:jc w:val="right"/>
        <w:rPr>
          <w:b/>
        </w:rPr>
      </w:pPr>
      <w:r>
        <w:rPr>
          <w:b/>
        </w:rPr>
        <w:fldChar w:fldCharType="end"/>
      </w:r>
    </w:p>
    <w:p w:rsidR="00EC3253" w:rsidP="00A46CDB" w14:paraId="376685AB" w14:textId="77777777">
      <w:pPr>
        <w:jc w:val="center"/>
        <w:rPr>
          <w:b/>
        </w:rPr>
      </w:pPr>
    </w:p>
    <w:p w:rsidR="00EC3253" w:rsidP="00A46CDB" w14:paraId="0088CCAE" w14:textId="6754B311">
      <w:pPr>
        <w:jc w:val="center"/>
        <w:rPr>
          <w:b/>
        </w:rPr>
        <w:sectPr w:rsidSect="008F5341">
          <w:footerReference w:type="default" r:id="rId9"/>
          <w:pgSz w:w="12240" w:h="15840"/>
          <w:pgMar w:top="1440" w:right="1800" w:bottom="1440" w:left="1800" w:header="720" w:footer="720" w:gutter="0"/>
          <w:pgNumType w:fmt="lowerRoman" w:start="1"/>
          <w:cols w:space="720"/>
          <w:docGrid w:linePitch="360"/>
        </w:sectPr>
      </w:pPr>
    </w:p>
    <w:p w:rsidR="00A46CDB" w:rsidRPr="00E666E3" w:rsidP="00A46CDB" w14:paraId="5F36688F" w14:textId="636A4FEB">
      <w:pPr>
        <w:jc w:val="center"/>
        <w:rPr>
          <w:b/>
        </w:rPr>
      </w:pPr>
      <w:r w:rsidRPr="00E666E3">
        <w:rPr>
          <w:b/>
        </w:rPr>
        <w:t>BEFORE</w:t>
      </w:r>
    </w:p>
    <w:p w:rsidR="00A46CDB" w:rsidP="00A46CDB" w14:paraId="4556231F" w14:textId="77777777">
      <w:pPr>
        <w:jc w:val="center"/>
        <w:rPr>
          <w:b/>
          <w:bCs/>
        </w:rPr>
      </w:pPr>
      <w:r w:rsidRPr="00E666E3">
        <w:rPr>
          <w:b/>
          <w:bCs/>
        </w:rPr>
        <w:t>THE PUBLIC UTILITIES COMMISSION OF OHIO</w:t>
      </w:r>
    </w:p>
    <w:p w:rsidR="007A5DE0" w:rsidRPr="006849DE" w:rsidP="007A5DE0" w14:paraId="112FB813" w14:textId="77777777">
      <w:pPr>
        <w:rPr>
          <w:rFonts w:eastAsia="Courier New"/>
        </w:rPr>
      </w:pPr>
    </w:p>
    <w:tbl>
      <w:tblPr>
        <w:tblW w:w="8730" w:type="dxa"/>
        <w:tblLook w:val="01E0"/>
      </w:tblPr>
      <w:tblGrid>
        <w:gridCol w:w="4230"/>
        <w:gridCol w:w="360"/>
        <w:gridCol w:w="4140"/>
      </w:tblGrid>
      <w:tr w14:paraId="2876DC60" w14:textId="77777777" w:rsidTr="002577BA">
        <w:tblPrEx>
          <w:tblW w:w="8730" w:type="dxa"/>
          <w:tblLook w:val="01E0"/>
        </w:tblPrEx>
        <w:trPr>
          <w:trHeight w:val="807"/>
        </w:trPr>
        <w:tc>
          <w:tcPr>
            <w:tcW w:w="4230" w:type="dxa"/>
          </w:tcPr>
          <w:p w:rsidR="007A5DE0" w:rsidRPr="006849DE" w:rsidP="002577BA" w14:paraId="6EB560A1" w14:textId="77777777">
            <w:pPr>
              <w:autoSpaceDE w:val="0"/>
              <w:autoSpaceDN w:val="0"/>
              <w:adjustRightInd w:val="0"/>
              <w:rPr>
                <w:rFonts w:eastAsiaTheme="minorEastAsia"/>
              </w:rPr>
            </w:pPr>
            <w:r>
              <w:rPr>
                <w:rFonts w:eastAsiaTheme="minorEastAsia"/>
              </w:rPr>
              <w:t>In the Matter of the Application of the Dayton Power and Light Company for Approval of its Electric Security Plan.</w:t>
            </w:r>
          </w:p>
          <w:p w:rsidR="007A5DE0" w:rsidRPr="006849DE" w:rsidP="002577BA" w14:paraId="3F48F560" w14:textId="77777777">
            <w:pPr>
              <w:autoSpaceDE w:val="0"/>
              <w:autoSpaceDN w:val="0"/>
              <w:adjustRightInd w:val="0"/>
              <w:rPr>
                <w:rFonts w:eastAsiaTheme="minorEastAsia"/>
              </w:rPr>
            </w:pPr>
          </w:p>
          <w:p w:rsidR="007A5DE0" w:rsidP="002577BA" w14:paraId="6CFA4B80" w14:textId="77777777">
            <w:pPr>
              <w:autoSpaceDE w:val="0"/>
              <w:autoSpaceDN w:val="0"/>
              <w:adjustRightInd w:val="0"/>
              <w:rPr>
                <w:rFonts w:eastAsiaTheme="minorEastAsia"/>
              </w:rPr>
            </w:pPr>
            <w:r>
              <w:rPr>
                <w:rFonts w:eastAsiaTheme="minorEastAsia"/>
              </w:rPr>
              <w:t>In the Matter of the Application of the Dayton Power and Light Company for Approval of Revised Tariffs.</w:t>
            </w:r>
          </w:p>
          <w:p w:rsidR="007A5DE0" w:rsidP="002577BA" w14:paraId="592F4F5B" w14:textId="77777777">
            <w:pPr>
              <w:autoSpaceDE w:val="0"/>
              <w:autoSpaceDN w:val="0"/>
              <w:adjustRightInd w:val="0"/>
              <w:rPr>
                <w:rFonts w:eastAsiaTheme="minorEastAsia"/>
              </w:rPr>
            </w:pPr>
          </w:p>
          <w:p w:rsidR="007A5DE0" w:rsidRPr="00BC164A" w:rsidP="002577BA" w14:paraId="07043898" w14:textId="77777777">
            <w:pPr>
              <w:autoSpaceDE w:val="0"/>
              <w:autoSpaceDN w:val="0"/>
              <w:adjustRightInd w:val="0"/>
              <w:rPr>
                <w:rFonts w:eastAsiaTheme="minorEastAsia"/>
              </w:rPr>
            </w:pPr>
            <w:r>
              <w:rPr>
                <w:rFonts w:eastAsiaTheme="minorEastAsia"/>
              </w:rPr>
              <w:t>In the Matter of the Application of the Dayton Power and Light Company for Approval of Certain Accounting Authority Pursuant to Ohio Rev. Code § 4905.13.</w:t>
            </w:r>
          </w:p>
        </w:tc>
        <w:tc>
          <w:tcPr>
            <w:tcW w:w="360" w:type="dxa"/>
          </w:tcPr>
          <w:p w:rsidR="007A5DE0" w:rsidRPr="006849DE" w:rsidP="002577BA" w14:paraId="47FBCD39" w14:textId="77777777">
            <w:pPr>
              <w:rPr>
                <w:rFonts w:eastAsia="Courier New"/>
                <w:b/>
              </w:rPr>
            </w:pPr>
            <w:r w:rsidRPr="006849DE">
              <w:rPr>
                <w:rFonts w:eastAsia="Courier New"/>
                <w:b/>
              </w:rPr>
              <w:t>)</w:t>
            </w:r>
          </w:p>
          <w:p w:rsidR="007A5DE0" w:rsidRPr="006849DE" w:rsidP="002577BA" w14:paraId="21FCF1C7" w14:textId="77777777">
            <w:pPr>
              <w:rPr>
                <w:rFonts w:eastAsia="Courier New"/>
                <w:b/>
              </w:rPr>
            </w:pPr>
            <w:r w:rsidRPr="006849DE">
              <w:rPr>
                <w:rFonts w:eastAsia="Courier New"/>
                <w:b/>
              </w:rPr>
              <w:t>)</w:t>
            </w:r>
          </w:p>
          <w:p w:rsidR="007A5DE0" w:rsidRPr="006849DE" w:rsidP="002577BA" w14:paraId="7FD4329C" w14:textId="77777777">
            <w:pPr>
              <w:rPr>
                <w:rFonts w:eastAsia="Courier New"/>
                <w:b/>
              </w:rPr>
            </w:pPr>
            <w:r w:rsidRPr="006849DE">
              <w:rPr>
                <w:rFonts w:eastAsia="Courier New"/>
                <w:b/>
              </w:rPr>
              <w:t>)</w:t>
            </w:r>
          </w:p>
          <w:p w:rsidR="007A5DE0" w:rsidRPr="006849DE" w:rsidP="002577BA" w14:paraId="0AA68A47" w14:textId="77777777">
            <w:pPr>
              <w:rPr>
                <w:rFonts w:eastAsia="Courier New"/>
                <w:b/>
              </w:rPr>
            </w:pPr>
          </w:p>
          <w:p w:rsidR="007A5DE0" w:rsidRPr="006849DE" w:rsidP="002577BA" w14:paraId="32138628" w14:textId="77777777">
            <w:pPr>
              <w:rPr>
                <w:rFonts w:eastAsia="Courier New"/>
                <w:b/>
              </w:rPr>
            </w:pPr>
            <w:r w:rsidRPr="006849DE">
              <w:rPr>
                <w:rFonts w:eastAsia="Courier New"/>
                <w:b/>
              </w:rPr>
              <w:t>)</w:t>
            </w:r>
          </w:p>
          <w:p w:rsidR="007A5DE0" w:rsidRPr="006849DE" w:rsidP="002577BA" w14:paraId="320E877F" w14:textId="77777777">
            <w:pPr>
              <w:rPr>
                <w:rFonts w:eastAsia="Courier New"/>
                <w:b/>
              </w:rPr>
            </w:pPr>
            <w:r w:rsidRPr="006849DE">
              <w:rPr>
                <w:rFonts w:eastAsia="Courier New"/>
                <w:b/>
              </w:rPr>
              <w:t>)</w:t>
            </w:r>
          </w:p>
          <w:p w:rsidR="007A5DE0" w:rsidRPr="006849DE" w:rsidP="002577BA" w14:paraId="7270DA3E" w14:textId="77777777">
            <w:pPr>
              <w:rPr>
                <w:rFonts w:eastAsia="Courier New"/>
                <w:b/>
              </w:rPr>
            </w:pPr>
            <w:r>
              <w:rPr>
                <w:rFonts w:eastAsia="Courier New"/>
                <w:b/>
              </w:rPr>
              <w:t>)</w:t>
            </w:r>
          </w:p>
          <w:p w:rsidR="007A5DE0" w:rsidP="002577BA" w14:paraId="6E7164D2" w14:textId="77777777">
            <w:pPr>
              <w:rPr>
                <w:rFonts w:eastAsia="Courier New"/>
                <w:b/>
              </w:rPr>
            </w:pPr>
          </w:p>
          <w:p w:rsidR="007A5DE0" w:rsidP="002577BA" w14:paraId="0F35C680" w14:textId="77777777">
            <w:pPr>
              <w:rPr>
                <w:rFonts w:eastAsia="Courier New"/>
                <w:b/>
              </w:rPr>
            </w:pPr>
            <w:r>
              <w:rPr>
                <w:rFonts w:eastAsia="Courier New"/>
                <w:b/>
              </w:rPr>
              <w:t>)</w:t>
            </w:r>
          </w:p>
          <w:p w:rsidR="007A5DE0" w:rsidP="002577BA" w14:paraId="1D0CD9DE" w14:textId="77777777">
            <w:pPr>
              <w:rPr>
                <w:rFonts w:eastAsia="Courier New"/>
                <w:b/>
              </w:rPr>
            </w:pPr>
            <w:r>
              <w:rPr>
                <w:rFonts w:eastAsia="Courier New"/>
                <w:b/>
              </w:rPr>
              <w:t>)</w:t>
            </w:r>
          </w:p>
          <w:p w:rsidR="007A5DE0" w:rsidP="002577BA" w14:paraId="110EEA6D" w14:textId="77777777">
            <w:pPr>
              <w:rPr>
                <w:rFonts w:eastAsia="Courier New"/>
                <w:b/>
              </w:rPr>
            </w:pPr>
            <w:r>
              <w:rPr>
                <w:rFonts w:eastAsia="Courier New"/>
                <w:b/>
              </w:rPr>
              <w:t>)</w:t>
            </w:r>
          </w:p>
          <w:p w:rsidR="007A5DE0" w:rsidP="002577BA" w14:paraId="044403BC" w14:textId="77777777">
            <w:pPr>
              <w:rPr>
                <w:rFonts w:eastAsia="Courier New"/>
                <w:b/>
              </w:rPr>
            </w:pPr>
            <w:r>
              <w:rPr>
                <w:rFonts w:eastAsia="Courier New"/>
                <w:b/>
              </w:rPr>
              <w:t>)</w:t>
            </w:r>
          </w:p>
          <w:p w:rsidR="007A5DE0" w:rsidRPr="006849DE" w:rsidP="002577BA" w14:paraId="404FF640" w14:textId="77777777">
            <w:pPr>
              <w:rPr>
                <w:rFonts w:eastAsia="Courier New"/>
                <w:b/>
              </w:rPr>
            </w:pPr>
            <w:r>
              <w:rPr>
                <w:rFonts w:eastAsia="Courier New"/>
                <w:b/>
              </w:rPr>
              <w:t>)</w:t>
            </w:r>
          </w:p>
        </w:tc>
        <w:tc>
          <w:tcPr>
            <w:tcW w:w="4140" w:type="dxa"/>
          </w:tcPr>
          <w:p w:rsidR="007A5DE0" w:rsidRPr="006849DE" w:rsidP="002577BA" w14:paraId="56A6BC81" w14:textId="77777777">
            <w:pPr>
              <w:rPr>
                <w:rFonts w:eastAsia="Courier New"/>
              </w:rPr>
            </w:pPr>
          </w:p>
          <w:p w:rsidR="007A5DE0" w:rsidRPr="006849DE" w:rsidP="002577BA" w14:paraId="559A9719" w14:textId="77777777">
            <w:pPr>
              <w:rPr>
                <w:rFonts w:eastAsia="Courier New"/>
              </w:rPr>
            </w:pPr>
            <w:r w:rsidRPr="006849DE">
              <w:rPr>
                <w:rFonts w:eastAsia="Courier New"/>
              </w:rPr>
              <w:t xml:space="preserve">Case No. </w:t>
            </w:r>
            <w:r>
              <w:rPr>
                <w:rFonts w:eastAsia="Courier New"/>
              </w:rPr>
              <w:t>16-0395-EL-SSO</w:t>
            </w:r>
          </w:p>
          <w:p w:rsidR="007A5DE0" w:rsidRPr="006849DE" w:rsidP="002577BA" w14:paraId="26A38C0D" w14:textId="77777777">
            <w:pPr>
              <w:rPr>
                <w:rFonts w:eastAsia="Courier New"/>
              </w:rPr>
            </w:pPr>
          </w:p>
          <w:p w:rsidR="007A5DE0" w:rsidRPr="006849DE" w:rsidP="002577BA" w14:paraId="6B408CC3" w14:textId="77777777">
            <w:pPr>
              <w:rPr>
                <w:rFonts w:eastAsia="Courier New"/>
              </w:rPr>
            </w:pPr>
          </w:p>
          <w:p w:rsidR="007A5DE0" w:rsidP="002577BA" w14:paraId="2664FDF7" w14:textId="77777777">
            <w:pPr>
              <w:rPr>
                <w:rFonts w:eastAsia="Courier New"/>
              </w:rPr>
            </w:pPr>
            <w:r w:rsidRPr="006849DE">
              <w:rPr>
                <w:rFonts w:eastAsia="Courier New"/>
              </w:rPr>
              <w:t xml:space="preserve">Case No. </w:t>
            </w:r>
            <w:r>
              <w:rPr>
                <w:rFonts w:eastAsia="Courier New"/>
              </w:rPr>
              <w:t>16-0396-EL-ATA</w:t>
            </w:r>
          </w:p>
          <w:p w:rsidR="007A5DE0" w:rsidP="002577BA" w14:paraId="0B6FC094" w14:textId="77777777">
            <w:pPr>
              <w:rPr>
                <w:rFonts w:eastAsia="Courier New"/>
              </w:rPr>
            </w:pPr>
          </w:p>
          <w:p w:rsidR="007A5DE0" w:rsidP="002577BA" w14:paraId="593BAB0E" w14:textId="77777777">
            <w:pPr>
              <w:rPr>
                <w:rFonts w:eastAsia="Courier New"/>
              </w:rPr>
            </w:pPr>
          </w:p>
          <w:p w:rsidR="007A5DE0" w:rsidP="002577BA" w14:paraId="611E2840" w14:textId="77777777">
            <w:pPr>
              <w:rPr>
                <w:rFonts w:eastAsia="Courier New"/>
              </w:rPr>
            </w:pPr>
          </w:p>
          <w:p w:rsidR="007A5DE0" w:rsidRPr="006849DE" w:rsidP="002577BA" w14:paraId="5CFB1C3B" w14:textId="77777777">
            <w:pPr>
              <w:rPr>
                <w:rFonts w:eastAsia="Courier New"/>
              </w:rPr>
            </w:pPr>
            <w:r>
              <w:rPr>
                <w:rFonts w:eastAsia="Courier New"/>
              </w:rPr>
              <w:t>Case No. 16-0397-EL-AAM</w:t>
            </w:r>
          </w:p>
        </w:tc>
      </w:tr>
    </w:tbl>
    <w:p w:rsidR="00A46CDB" w:rsidRPr="00E666E3" w:rsidP="00AA7B8B" w14:paraId="2C94F86F"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46CDB" w:rsidRPr="00E666E3" w:rsidP="00A46CDB" w14:paraId="6A0B81CE" w14:textId="77777777">
      <w:pPr>
        <w:jc w:val="center"/>
        <w:rPr>
          <w:b/>
        </w:rPr>
      </w:pPr>
    </w:p>
    <w:p w:rsidR="00A46CDB" w:rsidRPr="00E666E3" w:rsidP="00A46CDB" w14:paraId="567FA09D" w14:textId="3AF58199">
      <w:pPr>
        <w:jc w:val="center"/>
        <w:rPr>
          <w:b/>
        </w:rPr>
      </w:pPr>
      <w:r w:rsidRPr="00E666E3">
        <w:rPr>
          <w:b/>
        </w:rPr>
        <w:t xml:space="preserve">APPLICATION FOR REHEARING </w:t>
      </w:r>
    </w:p>
    <w:p w:rsidR="00A46CDB" w:rsidRPr="00E666E3" w:rsidP="00A46CDB" w14:paraId="79418CA2" w14:textId="77777777">
      <w:pPr>
        <w:jc w:val="center"/>
        <w:rPr>
          <w:b/>
        </w:rPr>
      </w:pPr>
      <w:r w:rsidRPr="00E666E3">
        <w:rPr>
          <w:b/>
        </w:rPr>
        <w:t>BY</w:t>
      </w:r>
    </w:p>
    <w:p w:rsidR="00A46CDB" w:rsidRPr="00E666E3" w:rsidP="00A46CDB" w14:paraId="62BD2EBE" w14:textId="7098A7E4">
      <w:pPr>
        <w:jc w:val="center"/>
        <w:rPr>
          <w:b/>
        </w:rPr>
      </w:pPr>
      <w:r w:rsidRPr="00E666E3">
        <w:rPr>
          <w:b/>
        </w:rPr>
        <w:t>THE OFFICE OF THE OHIO CONSUMERS</w:t>
      </w:r>
      <w:r w:rsidR="00641AF3">
        <w:rPr>
          <w:b/>
        </w:rPr>
        <w:t>’</w:t>
      </w:r>
      <w:r w:rsidRPr="00E666E3">
        <w:rPr>
          <w:b/>
        </w:rPr>
        <w:t xml:space="preserve"> COUNSEL </w:t>
      </w:r>
    </w:p>
    <w:p w:rsidR="00A46CDB" w:rsidRPr="00E666E3" w:rsidP="00A46CDB" w14:paraId="0EB70DA9" w14:textId="77777777">
      <w:pPr>
        <w:pBdr>
          <w:bottom w:val="single" w:sz="12" w:space="1" w:color="auto"/>
        </w:pBdr>
        <w:jc w:val="center"/>
        <w:rPr>
          <w:b/>
        </w:rPr>
      </w:pPr>
    </w:p>
    <w:p w:rsidR="00A46CDB" w:rsidRPr="00E666E3" w:rsidP="00A46CDB" w14:paraId="1F93CFAF" w14:textId="77777777">
      <w:pPr>
        <w:ind w:firstLine="48"/>
      </w:pPr>
    </w:p>
    <w:p w:rsidR="00CD0671" w:rsidP="00CD0671" w14:paraId="7C72F34C" w14:textId="6037EADC">
      <w:pPr>
        <w:spacing w:line="480" w:lineRule="auto"/>
        <w:ind w:firstLine="720"/>
      </w:pPr>
      <w:r>
        <w:t>Since November 1, 2017, DP&amp;L has taken approximately $218.75 million in subsidies from customers in the Dayton area – where there is financial distress and a poverty level of 35% -- through its so-called Distribution Modernization Rider</w:t>
      </w:r>
      <w:r w:rsidR="002561BB">
        <w:t xml:space="preserve"> (“Rider DMR”)</w:t>
      </w:r>
      <w:r>
        <w:t>. But now the PUCO has ordered that Rider DMR is an unlawful charge that customers should not be paying.</w:t>
      </w:r>
      <w:r>
        <w:rPr>
          <w:rStyle w:val="FootnoteReference"/>
        </w:rPr>
        <w:footnoteReference w:id="2"/>
      </w:r>
      <w:r>
        <w:t xml:space="preserve"> This vast sum of money was taken from consumers by DP&amp;L with no </w:t>
      </w:r>
      <w:r w:rsidR="00F24C6C">
        <w:t>refunds to customers.</w:t>
      </w:r>
    </w:p>
    <w:p w:rsidR="007479A0" w:rsidP="002577BA" w14:paraId="3D63C0E6" w14:textId="77777777">
      <w:pPr>
        <w:spacing w:line="480" w:lineRule="auto"/>
        <w:ind w:firstLine="720"/>
        <w:sectPr w:rsidSect="00A46CDB">
          <w:footerReference w:type="default" r:id="rId10"/>
          <w:pgSz w:w="12240" w:h="15840"/>
          <w:pgMar w:top="1440" w:right="1800" w:bottom="1440" w:left="1800" w:header="720" w:footer="720" w:gutter="0"/>
          <w:pgNumType w:start="2"/>
          <w:cols w:space="720"/>
          <w:docGrid w:linePitch="360"/>
        </w:sectPr>
      </w:pPr>
      <w:r>
        <w:t xml:space="preserve">After the PUCO’s order, </w:t>
      </w:r>
      <w:r w:rsidR="00B41C50">
        <w:t xml:space="preserve">residential customers should have seen their monthly bills reduced because, all else being equal, they did not have to pay the $9.40 monthly distribution modernization charge. But instead of reducing customers’ bills by the entire $9.40 per month, DP&amp;L took a different path.  </w:t>
      </w:r>
      <w:r>
        <w:t xml:space="preserve">DP&amp;L </w:t>
      </w:r>
      <w:r w:rsidR="00B41C50">
        <w:t xml:space="preserve">filed a notice </w:t>
      </w:r>
      <w:r>
        <w:t xml:space="preserve">to withdraw and </w:t>
      </w:r>
    </w:p>
    <w:p w:rsidR="00B41C50" w:rsidP="007479A0" w14:paraId="0B4A6EAB" w14:textId="64A231F7">
      <w:pPr>
        <w:spacing w:line="480" w:lineRule="auto"/>
      </w:pPr>
      <w:r>
        <w:t xml:space="preserve">terminate its three-year old electric security plan application and implement a </w:t>
      </w:r>
      <w:r>
        <w:t>plan that initially ended over seven years ago</w:t>
      </w:r>
      <w:r>
        <w:t xml:space="preserve">. </w:t>
      </w:r>
      <w:r>
        <w:t xml:space="preserve">Through </w:t>
      </w:r>
      <w:r>
        <w:t xml:space="preserve">DP&amp;L’s maneuvering </w:t>
      </w:r>
      <w:r>
        <w:t>customers will not be getting the entire reduction in rates.</w:t>
      </w:r>
    </w:p>
    <w:p w:rsidR="00B41C50" w:rsidP="002577BA" w14:paraId="7342468E" w14:textId="77777777">
      <w:pPr>
        <w:spacing w:line="480" w:lineRule="auto"/>
        <w:ind w:firstLine="720"/>
      </w:pPr>
      <w:r>
        <w:t>The PUCO unreasonably and unlawfully held that DP&amp;L has an absolute right to withdraw its application.  The PUCO’s ruling thwarted the full rate reduction customers should have received.  But the PUCO’s ruling was wrong and violated R.C. 4903.13 and R.C. 4928.143(C)(2)(a).</w:t>
      </w:r>
    </w:p>
    <w:p w:rsidR="007479A0" w:rsidP="00A46CDB" w14:paraId="3F8C3846" w14:textId="77777777">
      <w:pPr>
        <w:spacing w:line="480" w:lineRule="auto"/>
        <w:ind w:firstLine="720"/>
      </w:pPr>
      <w:r>
        <w:t>And in its ruling, the PUCO did not even address multiple arguments made by OCC (and others) that DP&amp;L could not withdraw its application.</w:t>
      </w:r>
      <w:r>
        <w:rPr>
          <w:rStyle w:val="FootnoteReference"/>
        </w:rPr>
        <w:footnoteReference w:id="3"/>
      </w:r>
      <w:r>
        <w:t xml:space="preserve"> That violates R.C. 4903.09 and controlling precedent from the Supreme Court of Ohio (“Court”).</w:t>
      </w:r>
      <w:r>
        <w:rPr>
          <w:rStyle w:val="FootnoteReference"/>
        </w:rPr>
        <w:footnoteReference w:id="4"/>
      </w:r>
      <w:r w:rsidRPr="002577BA">
        <w:t xml:space="preserve"> </w:t>
      </w:r>
    </w:p>
    <w:p w:rsidR="00A46CDB" w:rsidP="00A46CDB" w14:paraId="1BE81CE5" w14:textId="2D9EC8DB">
      <w:pPr>
        <w:spacing w:line="480" w:lineRule="auto"/>
        <w:ind w:firstLine="720"/>
      </w:pPr>
      <w:r>
        <w:t xml:space="preserve">The </w:t>
      </w:r>
      <w:r w:rsidR="001F00A4">
        <w:t xml:space="preserve">PUCO’s </w:t>
      </w:r>
      <w:r w:rsidR="00C06AA8">
        <w:t>Finding</w:t>
      </w:r>
      <w:r>
        <w:t xml:space="preserve"> and Order </w:t>
      </w:r>
      <w:r w:rsidR="00FA514A">
        <w:t xml:space="preserve">allowing DP&amp;L to withdraw its electric security plan </w:t>
      </w:r>
      <w:r>
        <w:t>harms customers and is unreasonable and unlawful in the following respect</w:t>
      </w:r>
      <w:r w:rsidR="00FA514A">
        <w:t>s</w:t>
      </w:r>
      <w:r>
        <w:t>:</w:t>
      </w:r>
    </w:p>
    <w:p w:rsidR="00A46CDB" w:rsidP="008A2B55" w14:paraId="32A94DBE" w14:textId="52698CC5">
      <w:pPr>
        <w:ind w:left="720"/>
        <w:rPr>
          <w:b/>
          <w:bCs/>
        </w:rPr>
      </w:pPr>
      <w:r w:rsidRPr="00421F2C">
        <w:rPr>
          <w:b/>
          <w:bCs/>
        </w:rPr>
        <w:t>ASSIGNMENT OF ERROR</w:t>
      </w:r>
      <w:r>
        <w:rPr>
          <w:b/>
          <w:bCs/>
        </w:rPr>
        <w:t xml:space="preserve"> </w:t>
      </w:r>
      <w:r w:rsidR="00740C47">
        <w:rPr>
          <w:b/>
          <w:bCs/>
        </w:rPr>
        <w:t>1</w:t>
      </w:r>
      <w:r>
        <w:rPr>
          <w:b/>
          <w:bCs/>
        </w:rPr>
        <w:t>:</w:t>
      </w:r>
      <w:r w:rsidRPr="00421F2C">
        <w:rPr>
          <w:b/>
          <w:bCs/>
        </w:rPr>
        <w:t xml:space="preserve"> The PUCO</w:t>
      </w:r>
      <w:r>
        <w:rPr>
          <w:b/>
          <w:bCs/>
        </w:rPr>
        <w:t>’</w:t>
      </w:r>
      <w:r w:rsidRPr="00421F2C">
        <w:rPr>
          <w:b/>
          <w:bCs/>
        </w:rPr>
        <w:t xml:space="preserve">s </w:t>
      </w:r>
      <w:r>
        <w:rPr>
          <w:b/>
          <w:bCs/>
        </w:rPr>
        <w:t>Finding</w:t>
      </w:r>
      <w:r w:rsidRPr="00421F2C">
        <w:rPr>
          <w:b/>
          <w:bCs/>
        </w:rPr>
        <w:t xml:space="preserve"> and Order is</w:t>
      </w:r>
      <w:r>
        <w:rPr>
          <w:b/>
          <w:bCs/>
        </w:rPr>
        <w:t xml:space="preserve"> unreasonable and</w:t>
      </w:r>
      <w:r w:rsidRPr="00421F2C">
        <w:rPr>
          <w:b/>
          <w:bCs/>
        </w:rPr>
        <w:t xml:space="preserve"> unlawful under </w:t>
      </w:r>
      <w:r w:rsidRPr="00421F2C" w:rsidR="007448F7">
        <w:rPr>
          <w:b/>
          <w:bCs/>
        </w:rPr>
        <w:t xml:space="preserve">R.C. </w:t>
      </w:r>
      <w:r w:rsidR="007448F7">
        <w:rPr>
          <w:b/>
          <w:bCs/>
        </w:rPr>
        <w:t xml:space="preserve">4903.13 and </w:t>
      </w:r>
      <w:r w:rsidRPr="00421F2C">
        <w:rPr>
          <w:b/>
          <w:bCs/>
        </w:rPr>
        <w:t xml:space="preserve">R.C. </w:t>
      </w:r>
      <w:r>
        <w:rPr>
          <w:b/>
          <w:bCs/>
        </w:rPr>
        <w:t>4928.143(C)(2)(a), thereby harming consumers,</w:t>
      </w:r>
      <w:r w:rsidRPr="00421F2C">
        <w:rPr>
          <w:b/>
          <w:bCs/>
        </w:rPr>
        <w:t xml:space="preserve"> because </w:t>
      </w:r>
      <w:r>
        <w:rPr>
          <w:b/>
          <w:bCs/>
        </w:rPr>
        <w:t>DP&amp;L does not have an absolute statutory right to withdraw its electric security plan application.</w:t>
      </w:r>
      <w:r w:rsidRPr="00421F2C" w:rsidR="000454D8">
        <w:rPr>
          <w:b/>
          <w:bCs/>
        </w:rPr>
        <w:t xml:space="preserve"> </w:t>
      </w:r>
    </w:p>
    <w:p w:rsidR="00740C47" w:rsidRPr="00421F2C" w:rsidP="008A2B55" w14:paraId="5978AD2F" w14:textId="77777777">
      <w:pPr>
        <w:ind w:left="720"/>
        <w:rPr>
          <w:b/>
          <w:bCs/>
        </w:rPr>
      </w:pPr>
    </w:p>
    <w:p w:rsidR="00740C47" w:rsidP="00740C47" w14:paraId="7A45EF71" w14:textId="5AA4A1A1">
      <w:pPr>
        <w:ind w:left="720"/>
        <w:rPr>
          <w:b/>
          <w:bCs/>
        </w:rPr>
      </w:pPr>
      <w:r w:rsidRPr="00421F2C">
        <w:rPr>
          <w:b/>
          <w:bCs/>
        </w:rPr>
        <w:t>ASSIGNMENT OF ERROR</w:t>
      </w:r>
      <w:r>
        <w:rPr>
          <w:b/>
          <w:bCs/>
        </w:rPr>
        <w:t xml:space="preserve"> 2:</w:t>
      </w:r>
      <w:r w:rsidRPr="00421F2C">
        <w:rPr>
          <w:b/>
          <w:bCs/>
        </w:rPr>
        <w:t xml:space="preserve"> The PUCO</w:t>
      </w:r>
      <w:r>
        <w:rPr>
          <w:b/>
          <w:bCs/>
        </w:rPr>
        <w:t>’</w:t>
      </w:r>
      <w:r w:rsidRPr="00421F2C">
        <w:rPr>
          <w:b/>
          <w:bCs/>
        </w:rPr>
        <w:t xml:space="preserve">s </w:t>
      </w:r>
      <w:r>
        <w:rPr>
          <w:b/>
          <w:bCs/>
        </w:rPr>
        <w:t>Finding</w:t>
      </w:r>
      <w:r w:rsidRPr="00421F2C">
        <w:rPr>
          <w:b/>
          <w:bCs/>
        </w:rPr>
        <w:t xml:space="preserve"> and Order is</w:t>
      </w:r>
      <w:r>
        <w:rPr>
          <w:b/>
          <w:bCs/>
        </w:rPr>
        <w:t xml:space="preserve"> unreasonable and</w:t>
      </w:r>
      <w:r w:rsidRPr="00421F2C">
        <w:rPr>
          <w:b/>
          <w:bCs/>
        </w:rPr>
        <w:t xml:space="preserve"> unlawful under R.C. 4903.09 and </w:t>
      </w:r>
      <w:r>
        <w:rPr>
          <w:b/>
          <w:bCs/>
        </w:rPr>
        <w:t xml:space="preserve">Ohio </w:t>
      </w:r>
      <w:r w:rsidRPr="00421F2C">
        <w:rPr>
          <w:b/>
          <w:bCs/>
        </w:rPr>
        <w:t>Supreme Court precedent</w:t>
      </w:r>
      <w:r>
        <w:rPr>
          <w:b/>
          <w:bCs/>
        </w:rPr>
        <w:t>, thereby harming consumers,</w:t>
      </w:r>
      <w:r w:rsidRPr="00421F2C">
        <w:rPr>
          <w:b/>
          <w:bCs/>
        </w:rPr>
        <w:t xml:space="preserve"> because it </w:t>
      </w:r>
      <w:r>
        <w:rPr>
          <w:b/>
          <w:bCs/>
        </w:rPr>
        <w:t>approved DP&amp;L’s Notice of Withdrawal of Application without addressing all arguments against the Notice of Withdrawal</w:t>
      </w:r>
      <w:r w:rsidRPr="00421F2C">
        <w:rPr>
          <w:b/>
          <w:bCs/>
        </w:rPr>
        <w:t>.</w:t>
      </w:r>
    </w:p>
    <w:p w:rsidR="00A46CDB" w:rsidP="00A46CDB" w14:paraId="24182F9E" w14:textId="77777777"/>
    <w:p w:rsidR="00A46CDB" w:rsidP="00A46CDB" w14:paraId="3DF2FF03" w14:textId="65D7412F">
      <w:pPr>
        <w:spacing w:line="480" w:lineRule="auto"/>
      </w:pPr>
      <w:r>
        <w:tab/>
        <w:t xml:space="preserve">The reasons </w:t>
      </w:r>
      <w:r w:rsidR="00195A9A">
        <w:t>for</w:t>
      </w:r>
      <w:r>
        <w:t xml:space="preserve"> this Application for Rehearing are set forth in the accompanying memorandum in support.</w:t>
      </w:r>
      <w:r w:rsidR="000454D8">
        <w:t xml:space="preserve"> </w:t>
      </w:r>
      <w:r>
        <w:t xml:space="preserve">The PUCO should grant rehearing and abrogate its </w:t>
      </w:r>
      <w:r w:rsidR="000C1695">
        <w:t>Finding</w:t>
      </w:r>
      <w:r w:rsidR="00C37836">
        <w:t xml:space="preserve"> and Order</w:t>
      </w:r>
      <w:r>
        <w:t xml:space="preserve"> as requested by OCC.</w:t>
      </w:r>
    </w:p>
    <w:p w:rsidR="007A5DE0" w:rsidP="007A5DE0" w14:paraId="2A46A45E" w14:textId="77777777">
      <w:pPr>
        <w:overflowPunct w:val="0"/>
        <w:autoSpaceDE w:val="0"/>
        <w:autoSpaceDN w:val="0"/>
        <w:adjustRightInd w:val="0"/>
        <w:ind w:left="4320"/>
        <w:textAlignment w:val="baseline"/>
      </w:pPr>
      <w:r>
        <w:t>Respectfully submitted,</w:t>
      </w:r>
    </w:p>
    <w:p w:rsidR="007A5DE0" w:rsidP="007A5DE0" w14:paraId="731C70BA" w14:textId="77777777">
      <w:pPr>
        <w:tabs>
          <w:tab w:val="left" w:pos="4320"/>
        </w:tabs>
        <w:overflowPunct w:val="0"/>
        <w:autoSpaceDE w:val="0"/>
        <w:autoSpaceDN w:val="0"/>
        <w:adjustRightInd w:val="0"/>
        <w:ind w:left="4320"/>
        <w:textAlignment w:val="baseline"/>
      </w:pPr>
    </w:p>
    <w:p w:rsidR="007A5DE0" w:rsidP="007A5DE0" w14:paraId="251D93D2" w14:textId="77777777">
      <w:pPr>
        <w:tabs>
          <w:tab w:val="left" w:pos="4320"/>
        </w:tabs>
        <w:overflowPunct w:val="0"/>
        <w:autoSpaceDE w:val="0"/>
        <w:autoSpaceDN w:val="0"/>
        <w:adjustRightInd w:val="0"/>
        <w:ind w:left="4320"/>
        <w:textAlignment w:val="baseline"/>
      </w:pPr>
      <w:r>
        <w:t>Bruce Weston (0016973)</w:t>
      </w:r>
    </w:p>
    <w:p w:rsidR="007A5DE0" w:rsidP="007A5DE0" w14:paraId="7ABCA9B1" w14:textId="77777777">
      <w:pPr>
        <w:tabs>
          <w:tab w:val="left" w:pos="4320"/>
        </w:tabs>
        <w:ind w:left="4320"/>
      </w:pPr>
      <w:r>
        <w:t>Ohio Consumers’ Counsel</w:t>
      </w:r>
    </w:p>
    <w:p w:rsidR="007A5DE0" w:rsidP="007A5DE0" w14:paraId="32C6D34D" w14:textId="77777777">
      <w:pPr>
        <w:tabs>
          <w:tab w:val="left" w:pos="4320"/>
        </w:tabs>
        <w:ind w:left="4320"/>
      </w:pPr>
    </w:p>
    <w:p w:rsidR="007A5DE0" w:rsidP="007A5DE0" w14:paraId="10A50F50" w14:textId="77777777">
      <w:pPr>
        <w:tabs>
          <w:tab w:val="left" w:pos="4320"/>
        </w:tabs>
        <w:ind w:left="4320"/>
      </w:pPr>
      <w:r>
        <w:rPr>
          <w:i/>
          <w:iCs/>
          <w:u w:val="single"/>
        </w:rPr>
        <w:t>/s/ William J. Michael</w:t>
      </w:r>
      <w:r>
        <w:rPr>
          <w:i/>
          <w:iCs/>
          <w:u w:val="single"/>
        </w:rPr>
        <w:tab/>
      </w:r>
      <w:r>
        <w:rPr>
          <w:i/>
          <w:iCs/>
          <w:u w:val="single"/>
        </w:rPr>
        <w:tab/>
      </w:r>
      <w:r>
        <w:rPr>
          <w:i/>
          <w:iCs/>
          <w:u w:val="single"/>
        </w:rPr>
        <w:tab/>
      </w:r>
    </w:p>
    <w:p w:rsidR="007A5DE0" w:rsidP="007A5DE0" w14:paraId="2749177A" w14:textId="77777777">
      <w:pPr>
        <w:tabs>
          <w:tab w:val="left" w:pos="4320"/>
        </w:tabs>
        <w:ind w:left="4320"/>
      </w:pPr>
      <w:r>
        <w:t>William J. Michael (0070921)</w:t>
      </w:r>
    </w:p>
    <w:p w:rsidR="007A5DE0" w:rsidP="007A5DE0" w14:paraId="3A166BA0" w14:textId="77777777">
      <w:pPr>
        <w:tabs>
          <w:tab w:val="left" w:pos="4320"/>
        </w:tabs>
        <w:ind w:left="4320"/>
      </w:pPr>
      <w:r>
        <w:t>Counsel of Record</w:t>
      </w:r>
    </w:p>
    <w:p w:rsidR="007A5DE0" w:rsidP="007A5DE0" w14:paraId="092BBDD5" w14:textId="77777777">
      <w:pPr>
        <w:ind w:left="4320"/>
      </w:pPr>
      <w:r>
        <w:t>Ambrosia E. Logsdon (0096598)</w:t>
      </w:r>
    </w:p>
    <w:p w:rsidR="007A5DE0" w:rsidP="007A5DE0" w14:paraId="6E1E4CA6" w14:textId="77777777">
      <w:pPr>
        <w:tabs>
          <w:tab w:val="left" w:pos="4320"/>
        </w:tabs>
        <w:ind w:left="4320"/>
      </w:pPr>
      <w:r>
        <w:t>Assistant Consumers’ Counsel</w:t>
      </w:r>
    </w:p>
    <w:p w:rsidR="007A5DE0" w:rsidP="007A5DE0" w14:paraId="1B6F65F5" w14:textId="77777777">
      <w:pPr>
        <w:tabs>
          <w:tab w:val="left" w:pos="4320"/>
        </w:tabs>
        <w:ind w:left="4320"/>
      </w:pPr>
      <w:r>
        <w:tab/>
      </w:r>
    </w:p>
    <w:p w:rsidR="007A5DE0" w:rsidP="007A5DE0" w14:paraId="1BA71FFA" w14:textId="77777777">
      <w:pPr>
        <w:ind w:left="4320"/>
        <w:rPr>
          <w:b/>
        </w:rPr>
      </w:pPr>
      <w:r>
        <w:rPr>
          <w:b/>
        </w:rPr>
        <w:t>Office of the Ohio Consumers’ Counsel</w:t>
      </w:r>
    </w:p>
    <w:p w:rsidR="007A5DE0" w:rsidP="007A5DE0" w14:paraId="75828798" w14:textId="77777777">
      <w:pPr>
        <w:ind w:left="4320"/>
      </w:pPr>
      <w:r>
        <w:t>65 East State Street, 7th Floor</w:t>
      </w:r>
    </w:p>
    <w:p w:rsidR="007A5DE0" w:rsidP="007A5DE0" w14:paraId="2B98C0E4" w14:textId="77777777">
      <w:pPr>
        <w:ind w:left="4320"/>
        <w:rPr>
          <w:b/>
        </w:rPr>
      </w:pPr>
      <w:r>
        <w:t>Columbus, Ohio 43215</w:t>
      </w:r>
    </w:p>
    <w:p w:rsidR="007A5DE0" w:rsidP="007A5DE0" w14:paraId="1E2CA93F" w14:textId="77777777">
      <w:pPr>
        <w:ind w:left="4320"/>
      </w:pPr>
      <w:r>
        <w:t>Telephone: [Michael] (614) 466-1291</w:t>
      </w:r>
    </w:p>
    <w:p w:rsidR="007A5DE0" w:rsidP="007A5DE0" w14:paraId="32659521" w14:textId="77777777">
      <w:pPr>
        <w:ind w:left="4320"/>
      </w:pPr>
      <w:r>
        <w:t>Telephone: [Logsdon] (614) 466-1292</w:t>
      </w:r>
    </w:p>
    <w:p w:rsidR="007A5DE0" w:rsidP="007A5DE0" w14:paraId="7E16D226" w14:textId="77777777">
      <w:pPr>
        <w:ind w:left="4320"/>
      </w:pPr>
      <w:hyperlink r:id="rId6" w:history="1">
        <w:r>
          <w:rPr>
            <w:rStyle w:val="Hyperlink"/>
          </w:rPr>
          <w:t>william.michael@occ.ohio.gov</w:t>
        </w:r>
      </w:hyperlink>
    </w:p>
    <w:p w:rsidR="007A5DE0" w:rsidRPr="00AD680B" w:rsidP="007A5DE0" w14:paraId="4C8900BA" w14:textId="77777777">
      <w:pPr>
        <w:ind w:left="4320"/>
        <w:rPr>
          <w:rStyle w:val="Hyperlink"/>
        </w:rPr>
      </w:pPr>
      <w:r w:rsidRPr="00AD680B">
        <w:rPr>
          <w:rStyle w:val="Hyperlink"/>
        </w:rPr>
        <w:t>ambrosia.logsdon@occ.ohio.gov</w:t>
      </w:r>
    </w:p>
    <w:p w:rsidR="007A5DE0" w:rsidP="007A5DE0" w14:paraId="3EEDC26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hAnsi="Times New Roman"/>
          <w:sz w:val="24"/>
        </w:rPr>
        <w:t>(w</w:t>
      </w:r>
      <w:r>
        <w:rPr>
          <w:rFonts w:ascii="Times New Roman" w:eastAsia="Times New Roman" w:hAnsi="Times New Roman"/>
          <w:sz w:val="24"/>
        </w:rPr>
        <w:t>illing to accept service by e-mail)</w:t>
      </w:r>
    </w:p>
    <w:p w:rsidR="00A46CDB" w:rsidP="00A46CDB" w14:paraId="71AC2F92" w14:textId="77777777">
      <w:pPr>
        <w:pStyle w:val="Heading1"/>
        <w:sectPr w:rsidSect="00A46CDB">
          <w:footerReference w:type="default" r:id="rId11"/>
          <w:pgSz w:w="12240" w:h="15840"/>
          <w:pgMar w:top="1440" w:right="1800" w:bottom="1440" w:left="1800" w:header="720" w:footer="720" w:gutter="0"/>
          <w:pgNumType w:start="2"/>
          <w:cols w:space="720"/>
          <w:docGrid w:linePitch="360"/>
        </w:sectPr>
      </w:pPr>
    </w:p>
    <w:p w:rsidR="00A46CDB" w:rsidRPr="00E666E3" w:rsidP="00A46CDB" w14:paraId="47B19109" w14:textId="77777777">
      <w:pPr>
        <w:jc w:val="center"/>
        <w:rPr>
          <w:b/>
        </w:rPr>
      </w:pPr>
      <w:r w:rsidRPr="00E666E3">
        <w:rPr>
          <w:b/>
        </w:rPr>
        <w:t>BEFORE</w:t>
      </w:r>
    </w:p>
    <w:p w:rsidR="00A46CDB" w:rsidP="00A46CDB" w14:paraId="0215E8CE" w14:textId="77777777">
      <w:pPr>
        <w:jc w:val="center"/>
        <w:rPr>
          <w:b/>
          <w:bCs/>
        </w:rPr>
      </w:pPr>
      <w:r w:rsidRPr="00E666E3">
        <w:rPr>
          <w:b/>
          <w:bCs/>
        </w:rPr>
        <w:t>THE PUBLIC UTILITIES COMMISSION OF OHIO</w:t>
      </w:r>
    </w:p>
    <w:p w:rsidR="00A46CDB" w:rsidP="00A46CDB" w14:paraId="1D90D4D8" w14:textId="77777777">
      <w:pPr>
        <w:jc w:val="center"/>
        <w:rPr>
          <w:b/>
          <w:bCs/>
        </w:rPr>
      </w:pPr>
    </w:p>
    <w:p w:rsidR="007A5DE0" w:rsidRPr="006849DE" w:rsidP="007A5DE0" w14:paraId="34DDAA71" w14:textId="77777777">
      <w:pPr>
        <w:rPr>
          <w:rFonts w:eastAsia="Courier New"/>
        </w:rPr>
      </w:pPr>
    </w:p>
    <w:tbl>
      <w:tblPr>
        <w:tblW w:w="8730" w:type="dxa"/>
        <w:tblLook w:val="01E0"/>
      </w:tblPr>
      <w:tblGrid>
        <w:gridCol w:w="4230"/>
        <w:gridCol w:w="360"/>
        <w:gridCol w:w="4140"/>
      </w:tblGrid>
      <w:tr w14:paraId="09425C12" w14:textId="77777777" w:rsidTr="002577BA">
        <w:tblPrEx>
          <w:tblW w:w="8730" w:type="dxa"/>
          <w:tblLook w:val="01E0"/>
        </w:tblPrEx>
        <w:trPr>
          <w:trHeight w:val="807"/>
        </w:trPr>
        <w:tc>
          <w:tcPr>
            <w:tcW w:w="4230" w:type="dxa"/>
          </w:tcPr>
          <w:p w:rsidR="007A5DE0" w:rsidRPr="006849DE" w:rsidP="002577BA" w14:paraId="36E07AC8" w14:textId="77777777">
            <w:pPr>
              <w:autoSpaceDE w:val="0"/>
              <w:autoSpaceDN w:val="0"/>
              <w:adjustRightInd w:val="0"/>
              <w:rPr>
                <w:rFonts w:eastAsiaTheme="minorEastAsia"/>
              </w:rPr>
            </w:pPr>
            <w:r>
              <w:rPr>
                <w:rFonts w:eastAsiaTheme="minorEastAsia"/>
              </w:rPr>
              <w:t>In the Matter of the Application of the Dayton Power and Light Company for Approval of its Electric Security Plan.</w:t>
            </w:r>
          </w:p>
          <w:p w:rsidR="007A5DE0" w:rsidRPr="006849DE" w:rsidP="002577BA" w14:paraId="5CD31A4E" w14:textId="77777777">
            <w:pPr>
              <w:autoSpaceDE w:val="0"/>
              <w:autoSpaceDN w:val="0"/>
              <w:adjustRightInd w:val="0"/>
              <w:rPr>
                <w:rFonts w:eastAsiaTheme="minorEastAsia"/>
              </w:rPr>
            </w:pPr>
          </w:p>
          <w:p w:rsidR="007A5DE0" w:rsidP="002577BA" w14:paraId="29A4FF66" w14:textId="77777777">
            <w:pPr>
              <w:autoSpaceDE w:val="0"/>
              <w:autoSpaceDN w:val="0"/>
              <w:adjustRightInd w:val="0"/>
              <w:rPr>
                <w:rFonts w:eastAsiaTheme="minorEastAsia"/>
              </w:rPr>
            </w:pPr>
            <w:r>
              <w:rPr>
                <w:rFonts w:eastAsiaTheme="minorEastAsia"/>
              </w:rPr>
              <w:t>In the Matter of the Application of the Dayton Power and Light Company for Approval of Revised Tariffs.</w:t>
            </w:r>
          </w:p>
          <w:p w:rsidR="007A5DE0" w:rsidP="002577BA" w14:paraId="39E6B676" w14:textId="77777777">
            <w:pPr>
              <w:autoSpaceDE w:val="0"/>
              <w:autoSpaceDN w:val="0"/>
              <w:adjustRightInd w:val="0"/>
              <w:rPr>
                <w:rFonts w:eastAsiaTheme="minorEastAsia"/>
              </w:rPr>
            </w:pPr>
          </w:p>
          <w:p w:rsidR="007A5DE0" w:rsidRPr="00BC164A" w:rsidP="002577BA" w14:paraId="62F28E81" w14:textId="77777777">
            <w:pPr>
              <w:autoSpaceDE w:val="0"/>
              <w:autoSpaceDN w:val="0"/>
              <w:adjustRightInd w:val="0"/>
              <w:rPr>
                <w:rFonts w:eastAsiaTheme="minorEastAsia"/>
              </w:rPr>
            </w:pPr>
            <w:r>
              <w:rPr>
                <w:rFonts w:eastAsiaTheme="minorEastAsia"/>
              </w:rPr>
              <w:t>In the Matter of the Application of the Dayton Power and Light Company for Approval of Certain Accounting Authority Pursuant to Ohio Rev. Code § 4905.13.</w:t>
            </w:r>
          </w:p>
        </w:tc>
        <w:tc>
          <w:tcPr>
            <w:tcW w:w="360" w:type="dxa"/>
          </w:tcPr>
          <w:p w:rsidR="007A5DE0" w:rsidRPr="006849DE" w:rsidP="002577BA" w14:paraId="0E51C934" w14:textId="77777777">
            <w:pPr>
              <w:rPr>
                <w:rFonts w:eastAsia="Courier New"/>
                <w:b/>
              </w:rPr>
            </w:pPr>
            <w:r w:rsidRPr="006849DE">
              <w:rPr>
                <w:rFonts w:eastAsia="Courier New"/>
                <w:b/>
              </w:rPr>
              <w:t>)</w:t>
            </w:r>
          </w:p>
          <w:p w:rsidR="007A5DE0" w:rsidRPr="006849DE" w:rsidP="002577BA" w14:paraId="72A0774D" w14:textId="77777777">
            <w:pPr>
              <w:rPr>
                <w:rFonts w:eastAsia="Courier New"/>
                <w:b/>
              </w:rPr>
            </w:pPr>
            <w:r w:rsidRPr="006849DE">
              <w:rPr>
                <w:rFonts w:eastAsia="Courier New"/>
                <w:b/>
              </w:rPr>
              <w:t>)</w:t>
            </w:r>
          </w:p>
          <w:p w:rsidR="007A5DE0" w:rsidRPr="006849DE" w:rsidP="002577BA" w14:paraId="110DB3A5" w14:textId="77777777">
            <w:pPr>
              <w:rPr>
                <w:rFonts w:eastAsia="Courier New"/>
                <w:b/>
              </w:rPr>
            </w:pPr>
            <w:r w:rsidRPr="006849DE">
              <w:rPr>
                <w:rFonts w:eastAsia="Courier New"/>
                <w:b/>
              </w:rPr>
              <w:t>)</w:t>
            </w:r>
          </w:p>
          <w:p w:rsidR="007A5DE0" w:rsidRPr="006849DE" w:rsidP="002577BA" w14:paraId="55B17F5B" w14:textId="77777777">
            <w:pPr>
              <w:rPr>
                <w:rFonts w:eastAsia="Courier New"/>
                <w:b/>
              </w:rPr>
            </w:pPr>
          </w:p>
          <w:p w:rsidR="007A5DE0" w:rsidRPr="006849DE" w:rsidP="002577BA" w14:paraId="156FABAA" w14:textId="77777777">
            <w:pPr>
              <w:rPr>
                <w:rFonts w:eastAsia="Courier New"/>
                <w:b/>
              </w:rPr>
            </w:pPr>
            <w:r w:rsidRPr="006849DE">
              <w:rPr>
                <w:rFonts w:eastAsia="Courier New"/>
                <w:b/>
              </w:rPr>
              <w:t>)</w:t>
            </w:r>
          </w:p>
          <w:p w:rsidR="007A5DE0" w:rsidRPr="006849DE" w:rsidP="002577BA" w14:paraId="781957EB" w14:textId="77777777">
            <w:pPr>
              <w:rPr>
                <w:rFonts w:eastAsia="Courier New"/>
                <w:b/>
              </w:rPr>
            </w:pPr>
            <w:r w:rsidRPr="006849DE">
              <w:rPr>
                <w:rFonts w:eastAsia="Courier New"/>
                <w:b/>
              </w:rPr>
              <w:t>)</w:t>
            </w:r>
          </w:p>
          <w:p w:rsidR="007A5DE0" w:rsidRPr="006849DE" w:rsidP="002577BA" w14:paraId="7F4ED74A" w14:textId="77777777">
            <w:pPr>
              <w:rPr>
                <w:rFonts w:eastAsia="Courier New"/>
                <w:b/>
              </w:rPr>
            </w:pPr>
            <w:r>
              <w:rPr>
                <w:rFonts w:eastAsia="Courier New"/>
                <w:b/>
              </w:rPr>
              <w:t>)</w:t>
            </w:r>
          </w:p>
          <w:p w:rsidR="007A5DE0" w:rsidP="002577BA" w14:paraId="0EA63B14" w14:textId="77777777">
            <w:pPr>
              <w:rPr>
                <w:rFonts w:eastAsia="Courier New"/>
                <w:b/>
              </w:rPr>
            </w:pPr>
          </w:p>
          <w:p w:rsidR="007A5DE0" w:rsidP="002577BA" w14:paraId="1A353839" w14:textId="77777777">
            <w:pPr>
              <w:rPr>
                <w:rFonts w:eastAsia="Courier New"/>
                <w:b/>
              </w:rPr>
            </w:pPr>
            <w:r>
              <w:rPr>
                <w:rFonts w:eastAsia="Courier New"/>
                <w:b/>
              </w:rPr>
              <w:t>)</w:t>
            </w:r>
          </w:p>
          <w:p w:rsidR="007A5DE0" w:rsidP="002577BA" w14:paraId="06BAA0E7" w14:textId="77777777">
            <w:pPr>
              <w:rPr>
                <w:rFonts w:eastAsia="Courier New"/>
                <w:b/>
              </w:rPr>
            </w:pPr>
            <w:r>
              <w:rPr>
                <w:rFonts w:eastAsia="Courier New"/>
                <w:b/>
              </w:rPr>
              <w:t>)</w:t>
            </w:r>
          </w:p>
          <w:p w:rsidR="007A5DE0" w:rsidP="002577BA" w14:paraId="40BB6841" w14:textId="77777777">
            <w:pPr>
              <w:rPr>
                <w:rFonts w:eastAsia="Courier New"/>
                <w:b/>
              </w:rPr>
            </w:pPr>
            <w:r>
              <w:rPr>
                <w:rFonts w:eastAsia="Courier New"/>
                <w:b/>
              </w:rPr>
              <w:t>)</w:t>
            </w:r>
          </w:p>
          <w:p w:rsidR="007A5DE0" w:rsidP="002577BA" w14:paraId="709B5123" w14:textId="77777777">
            <w:pPr>
              <w:rPr>
                <w:rFonts w:eastAsia="Courier New"/>
                <w:b/>
              </w:rPr>
            </w:pPr>
            <w:r>
              <w:rPr>
                <w:rFonts w:eastAsia="Courier New"/>
                <w:b/>
              </w:rPr>
              <w:t>)</w:t>
            </w:r>
          </w:p>
          <w:p w:rsidR="007A5DE0" w:rsidRPr="006849DE" w:rsidP="002577BA" w14:paraId="1184AF84" w14:textId="77777777">
            <w:pPr>
              <w:rPr>
                <w:rFonts w:eastAsia="Courier New"/>
                <w:b/>
              </w:rPr>
            </w:pPr>
            <w:r>
              <w:rPr>
                <w:rFonts w:eastAsia="Courier New"/>
                <w:b/>
              </w:rPr>
              <w:t>)</w:t>
            </w:r>
          </w:p>
        </w:tc>
        <w:tc>
          <w:tcPr>
            <w:tcW w:w="4140" w:type="dxa"/>
          </w:tcPr>
          <w:p w:rsidR="007A5DE0" w:rsidRPr="006849DE" w:rsidP="002577BA" w14:paraId="2A4E21E9" w14:textId="77777777">
            <w:pPr>
              <w:rPr>
                <w:rFonts w:eastAsia="Courier New"/>
              </w:rPr>
            </w:pPr>
          </w:p>
          <w:p w:rsidR="007A5DE0" w:rsidRPr="006849DE" w:rsidP="002577BA" w14:paraId="1277C203" w14:textId="77777777">
            <w:pPr>
              <w:rPr>
                <w:rFonts w:eastAsia="Courier New"/>
              </w:rPr>
            </w:pPr>
            <w:r w:rsidRPr="006849DE">
              <w:rPr>
                <w:rFonts w:eastAsia="Courier New"/>
              </w:rPr>
              <w:t xml:space="preserve">Case No. </w:t>
            </w:r>
            <w:r>
              <w:rPr>
                <w:rFonts w:eastAsia="Courier New"/>
              </w:rPr>
              <w:t>16-0395-EL-SSO</w:t>
            </w:r>
          </w:p>
          <w:p w:rsidR="007A5DE0" w:rsidRPr="006849DE" w:rsidP="002577BA" w14:paraId="175AA2D1" w14:textId="77777777">
            <w:pPr>
              <w:rPr>
                <w:rFonts w:eastAsia="Courier New"/>
              </w:rPr>
            </w:pPr>
          </w:p>
          <w:p w:rsidR="007A5DE0" w:rsidRPr="006849DE" w:rsidP="002577BA" w14:paraId="0B24E879" w14:textId="77777777">
            <w:pPr>
              <w:rPr>
                <w:rFonts w:eastAsia="Courier New"/>
              </w:rPr>
            </w:pPr>
          </w:p>
          <w:p w:rsidR="007A5DE0" w:rsidP="002577BA" w14:paraId="21F71472" w14:textId="77777777">
            <w:pPr>
              <w:rPr>
                <w:rFonts w:eastAsia="Courier New"/>
              </w:rPr>
            </w:pPr>
            <w:r w:rsidRPr="006849DE">
              <w:rPr>
                <w:rFonts w:eastAsia="Courier New"/>
              </w:rPr>
              <w:t xml:space="preserve">Case No. </w:t>
            </w:r>
            <w:r>
              <w:rPr>
                <w:rFonts w:eastAsia="Courier New"/>
              </w:rPr>
              <w:t>16-0396-EL-ATA</w:t>
            </w:r>
          </w:p>
          <w:p w:rsidR="007A5DE0" w:rsidP="002577BA" w14:paraId="1ED80C84" w14:textId="77777777">
            <w:pPr>
              <w:rPr>
                <w:rFonts w:eastAsia="Courier New"/>
              </w:rPr>
            </w:pPr>
          </w:p>
          <w:p w:rsidR="007A5DE0" w:rsidP="002577BA" w14:paraId="6164F925" w14:textId="77777777">
            <w:pPr>
              <w:rPr>
                <w:rFonts w:eastAsia="Courier New"/>
              </w:rPr>
            </w:pPr>
          </w:p>
          <w:p w:rsidR="007A5DE0" w:rsidP="002577BA" w14:paraId="79B6EE6F" w14:textId="77777777">
            <w:pPr>
              <w:rPr>
                <w:rFonts w:eastAsia="Courier New"/>
              </w:rPr>
            </w:pPr>
          </w:p>
          <w:p w:rsidR="007A5DE0" w:rsidRPr="006849DE" w:rsidP="002577BA" w14:paraId="79E60B09" w14:textId="77777777">
            <w:pPr>
              <w:rPr>
                <w:rFonts w:eastAsia="Courier New"/>
              </w:rPr>
            </w:pPr>
            <w:r>
              <w:rPr>
                <w:rFonts w:eastAsia="Courier New"/>
              </w:rPr>
              <w:t>Case No. 16-0397-EL-AAM</w:t>
            </w:r>
          </w:p>
        </w:tc>
      </w:tr>
    </w:tbl>
    <w:p w:rsidR="00A46CDB" w:rsidRPr="00E666E3" w:rsidP="00A46CDB" w14:paraId="4CE29840"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46CDB" w:rsidRPr="00E666E3" w:rsidP="00A46CDB" w14:paraId="2BF7A8A4" w14:textId="77777777">
      <w:pPr>
        <w:jc w:val="center"/>
        <w:rPr>
          <w:b/>
        </w:rPr>
      </w:pPr>
    </w:p>
    <w:p w:rsidR="00A46CDB" w:rsidRPr="00CD4C8A" w:rsidP="00A46CDB" w14:paraId="570D69CD" w14:textId="77777777">
      <w:pPr>
        <w:jc w:val="center"/>
        <w:rPr>
          <w:rFonts w:asciiTheme="majorBidi" w:hAnsiTheme="majorBidi" w:cstheme="majorBidi"/>
          <w:b/>
        </w:rPr>
      </w:pPr>
      <w:r w:rsidRPr="00CD4C8A">
        <w:rPr>
          <w:rFonts w:asciiTheme="majorBidi" w:hAnsiTheme="majorBidi" w:cstheme="majorBidi"/>
          <w:b/>
        </w:rPr>
        <w:t>MEMORANDUM IN SUPPORT</w:t>
      </w:r>
    </w:p>
    <w:p w:rsidR="00A46CDB" w:rsidRPr="00E666E3" w:rsidP="00A46CDB" w14:paraId="38A0CF97" w14:textId="77777777">
      <w:pPr>
        <w:pBdr>
          <w:bottom w:val="single" w:sz="12" w:space="1" w:color="auto"/>
        </w:pBdr>
        <w:rPr>
          <w:b/>
        </w:rPr>
      </w:pPr>
    </w:p>
    <w:p w:rsidR="00A46CDB" w:rsidRPr="00E666E3" w:rsidP="00A46CDB" w14:paraId="0C489FD6" w14:textId="77777777"/>
    <w:p w:rsidR="00A46CDB" w:rsidP="00A46CDB" w14:paraId="59288F43" w14:textId="77777777">
      <w:pPr>
        <w:pStyle w:val="Heading1"/>
      </w:pPr>
      <w:bookmarkStart w:id="1" w:name="_Toc534969803"/>
      <w:bookmarkStart w:id="2" w:name="_Toc534970002"/>
      <w:bookmarkStart w:id="3" w:name="_Toc534970543"/>
      <w:bookmarkStart w:id="4" w:name="_Toc534970649"/>
      <w:bookmarkStart w:id="5" w:name="_Toc535583490"/>
      <w:bookmarkStart w:id="6" w:name="_Toc16860454"/>
      <w:bookmarkStart w:id="7" w:name="_Toc30166444"/>
      <w:r>
        <w:t>I.</w:t>
      </w:r>
      <w:r>
        <w:tab/>
      </w:r>
      <w:r w:rsidRPr="00CD4C8A">
        <w:t>INTRODUCTION</w:t>
      </w:r>
      <w:bookmarkEnd w:id="1"/>
      <w:bookmarkEnd w:id="2"/>
      <w:bookmarkEnd w:id="3"/>
      <w:bookmarkEnd w:id="4"/>
      <w:bookmarkEnd w:id="5"/>
      <w:bookmarkEnd w:id="6"/>
      <w:bookmarkEnd w:id="7"/>
    </w:p>
    <w:p w:rsidR="00B41C50" w:rsidP="00B41C50" w14:paraId="34B31F03" w14:textId="426E4918">
      <w:pPr>
        <w:spacing w:line="480" w:lineRule="auto"/>
        <w:ind w:firstLine="720"/>
      </w:pPr>
      <w:r>
        <w:t>500,000 customers of DP&amp;L should be receiving a long overdue rate decrease that reflects a full $9.</w:t>
      </w:r>
      <w:r w:rsidR="002D3E55">
        <w:t>4</w:t>
      </w:r>
      <w:r>
        <w:t>0 monthly reduction for the ending of the distribution modernization charge as a result of a Court decision overturning PUCO-authorized subsidies. But instead of seeing that reduction, customers</w:t>
      </w:r>
      <w:r w:rsidR="001B6006">
        <w:t>’</w:t>
      </w:r>
      <w:r>
        <w:t xml:space="preserve"> bills will only be partially reduced because the PUCO allowed DP&amp;L to go back to ESP I rates.  </w:t>
      </w:r>
    </w:p>
    <w:p w:rsidR="00B41C50" w:rsidP="00B41C50" w14:paraId="56B98A88" w14:textId="0352E75E">
      <w:pPr>
        <w:spacing w:line="480" w:lineRule="auto"/>
        <w:ind w:firstLine="720"/>
      </w:pPr>
      <w:r>
        <w:t>The PUCO found that DP&amp;L had an absolute statutory right to withdraw its electric security plan application and return to its first electric security plan.</w:t>
      </w:r>
      <w:r w:rsidRPr="000C1695">
        <w:t xml:space="preserve"> </w:t>
      </w:r>
      <w:r>
        <w:t xml:space="preserve"> But as demonstrated herein, neither DP&amp;L, nor any electric utility, has an absolute right to withdraw an electric security plan application.  The PUCO violated R.C. 4903.13 and R.C. 4928.143(C)(2)(a) in finding that it did. Further, when the PUCO failed to address the multiple arguments made by parties against the withdrawal, PUCO violated R.C. 4903.09 and controlling precedent from the Court.</w:t>
      </w:r>
      <w:r>
        <w:rPr>
          <w:rStyle w:val="FootnoteReference"/>
        </w:rPr>
        <w:footnoteReference w:id="5"/>
      </w:r>
      <w:r>
        <w:t xml:space="preserve"> </w:t>
      </w:r>
    </w:p>
    <w:p w:rsidR="00A46CDB" w:rsidP="00B41C50" w14:paraId="7ADBBA90" w14:textId="27047872">
      <w:pPr>
        <w:spacing w:line="480" w:lineRule="auto"/>
        <w:ind w:firstLine="720"/>
      </w:pPr>
      <w:r>
        <w:t>To protect consumers, the PUCO should grant rehearing and abrogate its Finding and Order as requested by OCC.</w:t>
      </w:r>
    </w:p>
    <w:p w:rsidR="00A46CDB" w:rsidP="00A46CDB" w14:paraId="5A9117C1" w14:textId="77777777">
      <w:pPr>
        <w:ind w:firstLine="720"/>
      </w:pPr>
    </w:p>
    <w:p w:rsidR="00A46CDB" w:rsidP="00A46CDB" w14:paraId="0B492141" w14:textId="77777777">
      <w:pPr>
        <w:pStyle w:val="Heading1"/>
      </w:pPr>
      <w:bookmarkStart w:id="8" w:name="_Toc534969804"/>
      <w:bookmarkStart w:id="9" w:name="_Toc534970003"/>
      <w:bookmarkStart w:id="10" w:name="_Toc534970544"/>
      <w:bookmarkStart w:id="11" w:name="_Toc534970650"/>
      <w:bookmarkStart w:id="12" w:name="_Toc535583491"/>
      <w:bookmarkStart w:id="13" w:name="_Toc16860455"/>
      <w:bookmarkStart w:id="14" w:name="_Toc30166445"/>
      <w:r>
        <w:t>II.</w:t>
      </w:r>
      <w:r>
        <w:tab/>
        <w:t>STANDARD OF REVIEW</w:t>
      </w:r>
      <w:bookmarkEnd w:id="8"/>
      <w:bookmarkEnd w:id="9"/>
      <w:bookmarkEnd w:id="10"/>
      <w:bookmarkEnd w:id="11"/>
      <w:bookmarkEnd w:id="12"/>
      <w:bookmarkEnd w:id="13"/>
      <w:bookmarkEnd w:id="14"/>
    </w:p>
    <w:p w:rsidR="00A46CDB" w:rsidRPr="00E666E3" w:rsidP="00A46CDB" w14:paraId="0F8D81CC" w14:textId="28DA5411">
      <w:pPr>
        <w:spacing w:line="480" w:lineRule="auto"/>
        <w:ind w:firstLine="720"/>
      </w:pPr>
      <w:r w:rsidRPr="00E666E3">
        <w:t>Applications for rehearing are governed by R.C. 4903.10.</w:t>
      </w:r>
      <w:r w:rsidR="000454D8">
        <w:t xml:space="preserve"> </w:t>
      </w:r>
      <w:r w:rsidRPr="00E666E3">
        <w:t>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which was granted.</w:t>
      </w:r>
      <w:r w:rsidR="000454D8">
        <w:t xml:space="preserve"> </w:t>
      </w:r>
      <w:r w:rsidRPr="00E666E3">
        <w:t>OCC also filed testimony regarding the application</w:t>
      </w:r>
      <w:r>
        <w:t>, the Settlement,</w:t>
      </w:r>
      <w:r w:rsidRPr="00E666E3">
        <w:t xml:space="preserve"> and participated in the evidentiary hearing on the </w:t>
      </w:r>
      <w:r>
        <w:t>Settlement</w:t>
      </w:r>
      <w:r w:rsidRPr="00E666E3">
        <w:t>.</w:t>
      </w:r>
      <w:r w:rsidR="000454D8">
        <w:t xml:space="preserve"> </w:t>
      </w:r>
    </w:p>
    <w:p w:rsidR="00A46CDB" w:rsidRPr="00E666E3" w:rsidP="00A46CDB" w14:paraId="42B93804" w14:textId="77777777">
      <w:pPr>
        <w:spacing w:line="480" w:lineRule="auto"/>
        <w:ind w:firstLine="720"/>
      </w:pPr>
      <w:r w:rsidRPr="00E666E3">
        <w:t xml:space="preserve">R.C. 4903.10 requires that an application for rehearing must be “in writing and shall set forth specifically the ground or grounds on which the applicant considers the order to be unreasonable or unlawful.” In addition, Ohio Adm. Code </w:t>
      </w:r>
      <w:r w:rsidRPr="00E666E3">
        <w:rPr>
          <w:rStyle w:val="Strong"/>
          <w:b w:val="0"/>
        </w:rPr>
        <w:t>4901-1-35</w:t>
      </w:r>
      <w:r w:rsidRPr="00E666E3">
        <w:t>(A) states: “An application for rehearing must be accompanied by a memorandum in support, which shall be filed no later than the application for rehearing.”</w:t>
      </w:r>
    </w:p>
    <w:p w:rsidR="00A46CDB" w:rsidRPr="00E666E3" w:rsidP="00A46CDB" w14:paraId="56A6C12D" w14:textId="2396428A">
      <w:pPr>
        <w:spacing w:line="480" w:lineRule="auto"/>
        <w:ind w:firstLine="720"/>
      </w:pPr>
      <w:r w:rsidRPr="00E666E3">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r w:rsidR="000454D8">
        <w:t xml:space="preserve"> </w:t>
      </w:r>
    </w:p>
    <w:p w:rsidR="00A46CDB" w:rsidP="00A46CDB" w14:paraId="564DBF60" w14:textId="3AFF063A">
      <w:pPr>
        <w:spacing w:line="480" w:lineRule="auto"/>
        <w:ind w:firstLine="720"/>
      </w:pPr>
      <w:r w:rsidRPr="00E666E3">
        <w:t xml:space="preserve">The statutory standard for abrogating some portions of the </w:t>
      </w:r>
      <w:r w:rsidR="000C1695">
        <w:t>Finding</w:t>
      </w:r>
      <w:r w:rsidR="00911F35">
        <w:t xml:space="preserve"> and Order</w:t>
      </w:r>
      <w:r w:rsidRPr="00E666E3">
        <w:t xml:space="preserve"> is met here. The PUCO should grant and hold rehearing on the matters specified in this </w:t>
      </w:r>
      <w:r>
        <w:t>Application</w:t>
      </w:r>
      <w:r w:rsidRPr="00E666E3">
        <w:t xml:space="preserve">, and subsequently abrogate or modify its </w:t>
      </w:r>
      <w:r w:rsidR="000C1695">
        <w:t>Finding</w:t>
      </w:r>
      <w:r w:rsidR="00911F35">
        <w:t xml:space="preserve"> and Order</w:t>
      </w:r>
      <w:r w:rsidRPr="00E666E3">
        <w:t>. The PUCO</w:t>
      </w:r>
      <w:r w:rsidR="00641AF3">
        <w:t>’</w:t>
      </w:r>
      <w:r w:rsidRPr="00E666E3">
        <w:t xml:space="preserve">s ruling was unreasonable or unlawful </w:t>
      </w:r>
      <w:r>
        <w:t>as described below</w:t>
      </w:r>
      <w:r w:rsidRPr="00E666E3">
        <w:t>.</w:t>
      </w:r>
    </w:p>
    <w:p w:rsidR="00A46CDB" w:rsidP="00A46CDB" w14:paraId="7FB3B284" w14:textId="39878803">
      <w:pPr>
        <w:rPr>
          <w:b/>
          <w:caps/>
        </w:rPr>
      </w:pPr>
    </w:p>
    <w:p w:rsidR="00A46CDB" w:rsidP="00A46CDB" w14:paraId="2BD480B1" w14:textId="6A941356">
      <w:pPr>
        <w:pStyle w:val="Heading1"/>
      </w:pPr>
      <w:bookmarkStart w:id="15" w:name="_Toc534969805"/>
      <w:bookmarkStart w:id="16" w:name="_Toc534970004"/>
      <w:bookmarkStart w:id="17" w:name="_Toc534970545"/>
      <w:bookmarkStart w:id="18" w:name="_Toc534970651"/>
      <w:bookmarkStart w:id="19" w:name="_Toc535583492"/>
      <w:bookmarkStart w:id="20" w:name="_Toc16860456"/>
      <w:bookmarkStart w:id="21" w:name="_Toc30166446"/>
      <w:r>
        <w:t>iii.</w:t>
      </w:r>
      <w:r>
        <w:tab/>
        <w:t>ERROR</w:t>
      </w:r>
      <w:bookmarkEnd w:id="15"/>
      <w:bookmarkEnd w:id="16"/>
      <w:bookmarkEnd w:id="17"/>
      <w:bookmarkEnd w:id="18"/>
      <w:bookmarkEnd w:id="19"/>
      <w:bookmarkEnd w:id="20"/>
      <w:r w:rsidR="002577BA">
        <w:t>S</w:t>
      </w:r>
      <w:bookmarkEnd w:id="21"/>
    </w:p>
    <w:p w:rsidR="00EA64B8" w:rsidP="00FA01DA" w14:paraId="03E1151E" w14:textId="4F8D919A">
      <w:pPr>
        <w:pStyle w:val="Heading2"/>
        <w:rPr>
          <w:b w:val="0"/>
          <w:bCs/>
        </w:rPr>
      </w:pPr>
      <w:bookmarkStart w:id="22" w:name="_Toc30166447"/>
      <w:r w:rsidRPr="00421F2C">
        <w:t>ASSIGNMENT OF ERROR</w:t>
      </w:r>
      <w:r>
        <w:t xml:space="preserve"> </w:t>
      </w:r>
      <w:r w:rsidR="00FC74B7">
        <w:t>1</w:t>
      </w:r>
      <w:r>
        <w:t>:</w:t>
      </w:r>
      <w:r w:rsidRPr="00421F2C">
        <w:t xml:space="preserve"> The PUCO</w:t>
      </w:r>
      <w:r>
        <w:t>’</w:t>
      </w:r>
      <w:r w:rsidRPr="00421F2C">
        <w:t xml:space="preserve">s </w:t>
      </w:r>
      <w:r>
        <w:t>Finding</w:t>
      </w:r>
      <w:r w:rsidRPr="00421F2C">
        <w:t xml:space="preserve"> and Order is</w:t>
      </w:r>
      <w:r>
        <w:t xml:space="preserve"> unreasonable and</w:t>
      </w:r>
      <w:r w:rsidRPr="00421F2C">
        <w:t xml:space="preserve"> unlawful under R.C. </w:t>
      </w:r>
      <w:r w:rsidR="007448F7">
        <w:t xml:space="preserve">4903.13 and </w:t>
      </w:r>
      <w:r>
        <w:t>4928.143(C)(2)(a), thereby harming consumers,</w:t>
      </w:r>
      <w:r w:rsidRPr="00421F2C">
        <w:t xml:space="preserve"> because </w:t>
      </w:r>
      <w:r>
        <w:t>DP&amp;L does not have an absolute statutory right to withdraw its electric security plan application.</w:t>
      </w:r>
      <w:bookmarkEnd w:id="22"/>
    </w:p>
    <w:p w:rsidR="00606D5C" w14:paraId="30A4717B" w14:textId="1E4DC4A9">
      <w:pPr>
        <w:spacing w:line="480" w:lineRule="auto"/>
        <w:ind w:firstLine="720"/>
      </w:pPr>
      <w:r>
        <w:rPr>
          <w:bCs/>
        </w:rPr>
        <w:t>The PUCO held that “under R.C. 4928.143(C)(2)(a), DP&amp;L has an absolute statutory right to withdraw its Application for ESP III, thereby terminating it, . . .”</w:t>
      </w:r>
      <w:r>
        <w:rPr>
          <w:rStyle w:val="FootnoteReference"/>
          <w:bCs/>
        </w:rPr>
        <w:footnoteReference w:id="6"/>
      </w:r>
      <w:r w:rsidR="00035183">
        <w:rPr>
          <w:bCs/>
        </w:rPr>
        <w:t xml:space="preserve"> </w:t>
      </w:r>
      <w:r>
        <w:rPr>
          <w:bCs/>
        </w:rPr>
        <w:t>The PUCO was wrong.</w:t>
      </w:r>
      <w:r w:rsidR="00035183">
        <w:rPr>
          <w:bCs/>
        </w:rPr>
        <w:t xml:space="preserve"> </w:t>
      </w:r>
      <w:r>
        <w:rPr>
          <w:bCs/>
        </w:rPr>
        <w:t>DP&amp;L does not have an absolute right to terminate its electric security plan application.</w:t>
      </w:r>
      <w:r w:rsidR="00035183">
        <w:rPr>
          <w:bCs/>
        </w:rPr>
        <w:t xml:space="preserve"> </w:t>
      </w:r>
      <w:r w:rsidR="00C97CD1">
        <w:rPr>
          <w:bCs/>
        </w:rPr>
        <w:t xml:space="preserve">It cannot withdraw its electric security plan where, as here, doing so </w:t>
      </w:r>
      <w:r>
        <w:rPr>
          <w:bCs/>
        </w:rPr>
        <w:t>circumvents the jurisdiction of the Ohio Supreme Court.</w:t>
      </w:r>
      <w:r w:rsidR="00035183">
        <w:rPr>
          <w:bCs/>
        </w:rPr>
        <w:t xml:space="preserve"> </w:t>
      </w:r>
      <w:r>
        <w:rPr>
          <w:bCs/>
        </w:rPr>
        <w:t xml:space="preserve">And it cannot withdraw its electric security plan where, as here, doing so renders </w:t>
      </w:r>
      <w:r w:rsidRPr="00946F0C">
        <w:t>R.C. 4928.143(C)(2)(b) infeasible of execution.</w:t>
      </w:r>
      <w:r w:rsidR="00035183">
        <w:t xml:space="preserve"> </w:t>
      </w:r>
    </w:p>
    <w:p w:rsidR="00EA64B8" w:rsidP="00035183" w14:paraId="5EFE52B2" w14:textId="2BB35864">
      <w:pPr>
        <w:spacing w:line="480" w:lineRule="auto"/>
        <w:ind w:firstLine="720"/>
        <w:rPr>
          <w:bCs/>
        </w:rPr>
      </w:pPr>
      <w:r>
        <w:rPr>
          <w:bCs/>
        </w:rPr>
        <w:t>In consumers’ interest, the PUCO should revisit its determination that there is a</w:t>
      </w:r>
      <w:r w:rsidR="00694197">
        <w:rPr>
          <w:bCs/>
        </w:rPr>
        <w:t>n absolute</w:t>
      </w:r>
      <w:r>
        <w:rPr>
          <w:bCs/>
        </w:rPr>
        <w:t xml:space="preserve"> statutory right for an electric utility to withdraw an electric security plan application.</w:t>
      </w:r>
      <w:r w:rsidR="00035183">
        <w:rPr>
          <w:bCs/>
        </w:rPr>
        <w:t xml:space="preserve"> </w:t>
      </w:r>
      <w:r>
        <w:rPr>
          <w:bCs/>
        </w:rPr>
        <w:t>It should hold that there is no absolute right to withdraw an electric security plan application</w:t>
      </w:r>
      <w:r w:rsidR="00606D5C">
        <w:rPr>
          <w:bCs/>
        </w:rPr>
        <w:t xml:space="preserve"> because, as explained below, that is not what the governing statutes allow (let alone require)</w:t>
      </w:r>
      <w:r>
        <w:rPr>
          <w:bCs/>
        </w:rPr>
        <w:t>.</w:t>
      </w:r>
      <w:r w:rsidR="00035183">
        <w:rPr>
          <w:bCs/>
        </w:rPr>
        <w:t xml:space="preserve"> </w:t>
      </w:r>
      <w:r>
        <w:rPr>
          <w:bCs/>
        </w:rPr>
        <w:t>And it should hold that DP&amp;L cannot withdraw its third electric security plan application</w:t>
      </w:r>
      <w:r w:rsidR="001F00A4">
        <w:rPr>
          <w:bCs/>
        </w:rPr>
        <w:t xml:space="preserve"> in response to an Ohio Supreme Court decision.</w:t>
      </w:r>
    </w:p>
    <w:p w:rsidR="00FA6F1F" w:rsidP="00FA01DA" w14:paraId="0F8CAC52" w14:textId="73801307">
      <w:pPr>
        <w:pStyle w:val="Heading3"/>
      </w:pPr>
      <w:bookmarkStart w:id="23" w:name="_Toc30166448"/>
      <w:r>
        <w:t xml:space="preserve">There is no </w:t>
      </w:r>
      <w:r w:rsidR="00606D5C">
        <w:t xml:space="preserve">absolute statutory </w:t>
      </w:r>
      <w:r>
        <w:t>right to withdraw an electric security plan application in response to a Supreme Court of Ohio decision.</w:t>
      </w:r>
      <w:r w:rsidR="00035183">
        <w:t xml:space="preserve"> </w:t>
      </w:r>
      <w:r w:rsidR="0080351A">
        <w:t>By allowing DP&amp;L to do so, the PUCO violated R.C. 4903.13 and harmed consumers.</w:t>
      </w:r>
      <w:bookmarkEnd w:id="23"/>
    </w:p>
    <w:p w:rsidR="00667F92" w:rsidP="00667F92" w14:paraId="3194F9D6" w14:textId="5C19DDCC">
      <w:pPr>
        <w:spacing w:line="480" w:lineRule="auto"/>
        <w:ind w:firstLine="720"/>
      </w:pPr>
      <w:r>
        <w:t>Since November 1, 2017, DP&amp;L has taken approximately $218.75 million in subsidies from customers in the Dayton area – where there is financial distress and a poverty level of 35% -- through Rider DMR. After the Supreme Court of Ohio invalidated the same rider that the PUCO approved for FirstEnergy, the PUCO ordered DP&amp;L to stop charging customers for Rider DMR because it is an unlawful charge that customers should not be paying.</w:t>
      </w:r>
      <w:r>
        <w:rPr>
          <w:rStyle w:val="FootnoteReference"/>
        </w:rPr>
        <w:footnoteReference w:id="7"/>
      </w:r>
      <w:r>
        <w:t xml:space="preserve"> </w:t>
      </w:r>
    </w:p>
    <w:p w:rsidR="00667F92" w:rsidP="00667F92" w14:paraId="3B41417D" w14:textId="6A937D03">
      <w:pPr>
        <w:spacing w:line="480" w:lineRule="auto"/>
        <w:ind w:firstLine="720"/>
      </w:pPr>
      <w:r>
        <w:t xml:space="preserve">But </w:t>
      </w:r>
      <w:r w:rsidR="00FA6F1F">
        <w:t>in response to the PUCO’s order</w:t>
      </w:r>
      <w:r w:rsidR="001F00A4">
        <w:t xml:space="preserve">, prompted and </w:t>
      </w:r>
      <w:r w:rsidR="00FA6F1F">
        <w:t xml:space="preserve">necessitated by the Court’s decision in </w:t>
      </w:r>
      <w:r w:rsidR="00FA6F1F">
        <w:rPr>
          <w:i/>
        </w:rPr>
        <w:t>Ohio Edison</w:t>
      </w:r>
      <w:r>
        <w:t xml:space="preserve">, DP&amp;L filed a plan that </w:t>
      </w:r>
      <w:r w:rsidR="001B6006">
        <w:t>undermines</w:t>
      </w:r>
      <w:r>
        <w:t xml:space="preserve"> </w:t>
      </w:r>
      <w:r w:rsidR="00FA6F1F">
        <w:t>the</w:t>
      </w:r>
      <w:r>
        <w:t xml:space="preserve"> Supreme Court’s ruling in </w:t>
      </w:r>
      <w:r>
        <w:rPr>
          <w:i/>
          <w:iCs/>
        </w:rPr>
        <w:t>Ohio Edison</w:t>
      </w:r>
      <w:r>
        <w:t xml:space="preserve">. </w:t>
      </w:r>
      <w:r w:rsidR="00FA514A">
        <w:t xml:space="preserve">DP&amp;L sought to withdraw and terminate its over two-year old electric security plan (under R.C. 4928.143(C)(2)(b)). </w:t>
      </w:r>
      <w:r>
        <w:t>DP&amp;L proposed that the PUCO allow it to</w:t>
      </w:r>
      <w:r w:rsidR="00606D5C">
        <w:t xml:space="preserve"> </w:t>
      </w:r>
      <w:r w:rsidR="001B6006">
        <w:t xml:space="preserve">put new rates into effect that </w:t>
      </w:r>
      <w:r w:rsidR="00606D5C">
        <w:t>replace the unlawful Rider DMR with</w:t>
      </w:r>
      <w:r>
        <w:t xml:space="preserve"> </w:t>
      </w:r>
      <w:r w:rsidR="001B6006">
        <w:t>other unlawful charges, including an</w:t>
      </w:r>
      <w:r>
        <w:t xml:space="preserve"> above-market transition charge, </w:t>
      </w:r>
      <w:r w:rsidR="00FA6F1F">
        <w:t>the Rate Stabilization Charg</w:t>
      </w:r>
      <w:r w:rsidR="005002E8">
        <w:t>e</w:t>
      </w:r>
      <w:r>
        <w:t xml:space="preserve">. </w:t>
      </w:r>
      <w:r w:rsidR="00FA6F1F">
        <w:t>Unfortunately for consumers, the PUCO let DP&amp;L withdraw and terminate its electric security plan.</w:t>
      </w:r>
      <w:r>
        <w:t xml:space="preserve"> </w:t>
      </w:r>
    </w:p>
    <w:p w:rsidR="00FA6F1F" w:rsidRPr="00946F0C" w:rsidP="00035183" w14:paraId="170C3E71" w14:textId="55743869">
      <w:pPr>
        <w:spacing w:line="480" w:lineRule="auto"/>
        <w:ind w:firstLine="720"/>
      </w:pPr>
      <w:r w:rsidRPr="00946F0C">
        <w:t xml:space="preserve">The PUCO’s </w:t>
      </w:r>
      <w:r>
        <w:t>decision</w:t>
      </w:r>
      <w:r w:rsidRPr="00946F0C">
        <w:t xml:space="preserve"> is unreasonable and unlawful because it circumvents the jurisdiction of the Ohio Supreme Court to reverse, vacate, or modify a final order made by the PUCO. That jurisdiction is vested through R.C. 4903.13.</w:t>
      </w:r>
      <w:r>
        <w:rPr>
          <w:rStyle w:val="FootnoteReference"/>
        </w:rPr>
        <w:footnoteReference w:id="8"/>
      </w:r>
      <w:r w:rsidRPr="00946F0C">
        <w:t xml:space="preserve"> The PUCO is strictly obligated to follow statutory demands set forth in the Revised Code and Supreme Court mandates.</w:t>
      </w:r>
      <w:r>
        <w:rPr>
          <w:rStyle w:val="FootnoteReference"/>
        </w:rPr>
        <w:footnoteReference w:id="9"/>
      </w:r>
      <w:r w:rsidR="00035183">
        <w:t xml:space="preserve"> </w:t>
      </w:r>
      <w:r w:rsidRPr="00946F0C">
        <w:t xml:space="preserve">The PUCO cannot subordinate a decision of the Ohio Supreme Court to its own will. Yet below, it did so, when it worked around the </w:t>
      </w:r>
      <w:r w:rsidR="007448F7">
        <w:t>C</w:t>
      </w:r>
      <w:r w:rsidRPr="00946F0C">
        <w:t xml:space="preserve">ourt’s decision </w:t>
      </w:r>
      <w:r w:rsidR="00FA514A">
        <w:t xml:space="preserve">in </w:t>
      </w:r>
      <w:r w:rsidR="00FA514A">
        <w:rPr>
          <w:i/>
        </w:rPr>
        <w:t xml:space="preserve">Ohio Edison </w:t>
      </w:r>
      <w:r w:rsidR="000B016E">
        <w:t>by</w:t>
      </w:r>
      <w:r w:rsidRPr="00946F0C">
        <w:t xml:space="preserve"> </w:t>
      </w:r>
      <w:r w:rsidR="001B6006">
        <w:t>depriving customers of the full rate reduction they are otherwise owed</w:t>
      </w:r>
      <w:r w:rsidRPr="00946F0C">
        <w:t xml:space="preserve">. </w:t>
      </w:r>
    </w:p>
    <w:p w:rsidR="001B6006" w:rsidP="00FA6F1F" w14:paraId="627E14DE" w14:textId="77777777">
      <w:pPr>
        <w:spacing w:line="480" w:lineRule="auto"/>
      </w:pPr>
      <w:r w:rsidRPr="00946F0C">
        <w:tab/>
        <w:t xml:space="preserve">The </w:t>
      </w:r>
      <w:r w:rsidR="00FA514A">
        <w:t>C</w:t>
      </w:r>
      <w:r w:rsidRPr="00946F0C">
        <w:t xml:space="preserve">ourt’s </w:t>
      </w:r>
      <w:r w:rsidR="00FA514A">
        <w:t xml:space="preserve">decision in </w:t>
      </w:r>
      <w:r w:rsidR="00FA514A">
        <w:rPr>
          <w:i/>
        </w:rPr>
        <w:t>Ohio Edison</w:t>
      </w:r>
      <w:r w:rsidR="009E6DEC">
        <w:t>, invalidating FirstEnergy’s equivalent Rider DMR,</w:t>
      </w:r>
      <w:r w:rsidRPr="00946F0C">
        <w:t xml:space="preserve"> meant that </w:t>
      </w:r>
      <w:r w:rsidR="009E6DEC">
        <w:t>DP&amp;L’s Rider DMR was also unlawful.</w:t>
      </w:r>
      <w:r w:rsidR="00035183">
        <w:t xml:space="preserve"> </w:t>
      </w:r>
      <w:r w:rsidR="009E6DEC">
        <w:t xml:space="preserve">On the authority of </w:t>
      </w:r>
      <w:r w:rsidR="009E6DEC">
        <w:rPr>
          <w:i/>
        </w:rPr>
        <w:t xml:space="preserve">Ohio </w:t>
      </w:r>
      <w:r w:rsidRPr="009E6DEC" w:rsidR="009E6DEC">
        <w:rPr>
          <w:i/>
        </w:rPr>
        <w:t>Edison</w:t>
      </w:r>
      <w:r w:rsidR="009E6DEC">
        <w:t>, the PUCO held that DP&amp;L’s Rider DMR was unlawful and that it should be removed from DP&amp;L’s tariffs.</w:t>
      </w:r>
      <w:r>
        <w:rPr>
          <w:rStyle w:val="FootnoteReference"/>
        </w:rPr>
        <w:footnoteReference w:id="10"/>
      </w:r>
      <w:r w:rsidR="00035183">
        <w:t xml:space="preserve"> </w:t>
      </w:r>
      <w:r w:rsidR="009E6DEC">
        <w:t xml:space="preserve">That means that </w:t>
      </w:r>
      <w:r w:rsidRPr="009E6DEC">
        <w:t>customers</w:t>
      </w:r>
      <w:r w:rsidRPr="00946F0C">
        <w:t xml:space="preserve"> would no longer have to pay the </w:t>
      </w:r>
      <w:r w:rsidRPr="00694197">
        <w:t>$9.</w:t>
      </w:r>
      <w:r w:rsidR="00FA514A">
        <w:t>40</w:t>
      </w:r>
      <w:r w:rsidRPr="00946F0C">
        <w:t xml:space="preserve"> monthly </w:t>
      </w:r>
      <w:r w:rsidR="007448F7">
        <w:t>Rider DMR</w:t>
      </w:r>
      <w:r w:rsidRPr="00946F0C">
        <w:t xml:space="preserve"> </w:t>
      </w:r>
      <w:r w:rsidR="007448F7">
        <w:t xml:space="preserve">charge </w:t>
      </w:r>
      <w:r w:rsidRPr="00946F0C">
        <w:t xml:space="preserve">over the remaining period that DP&amp;L's </w:t>
      </w:r>
      <w:r w:rsidR="007448F7">
        <w:t>third electric security plan rates</w:t>
      </w:r>
      <w:r w:rsidRPr="00946F0C">
        <w:t xml:space="preserve"> are in effect. </w:t>
      </w:r>
    </w:p>
    <w:p w:rsidR="00FA6F1F" w:rsidRPr="00946F0C" w:rsidP="00035183" w14:paraId="4BC43676" w14:textId="56E1ABB2">
      <w:pPr>
        <w:spacing w:line="480" w:lineRule="auto"/>
        <w:ind w:firstLine="720"/>
      </w:pPr>
      <w:r>
        <w:t>And while t</w:t>
      </w:r>
      <w:r w:rsidRPr="00946F0C">
        <w:t xml:space="preserve">he </w:t>
      </w:r>
      <w:r w:rsidRPr="00694197">
        <w:t>$9.</w:t>
      </w:r>
      <w:r w:rsidR="00FA514A">
        <w:t>40</w:t>
      </w:r>
      <w:r w:rsidRPr="00946F0C">
        <w:t xml:space="preserve"> </w:t>
      </w:r>
      <w:r w:rsidR="007448F7">
        <w:t>Rider DMR charge</w:t>
      </w:r>
      <w:r w:rsidRPr="00946F0C">
        <w:t xml:space="preserve"> </w:t>
      </w:r>
      <w:r>
        <w:t xml:space="preserve">was removed from customers’ bills, </w:t>
      </w:r>
      <w:r w:rsidRPr="00946F0C">
        <w:t xml:space="preserve">the PUCO allowed </w:t>
      </w:r>
      <w:r w:rsidRPr="00946F0C">
        <w:t>DP&amp;L to withdraw its</w:t>
      </w:r>
      <w:r>
        <w:t xml:space="preserve"> third</w:t>
      </w:r>
      <w:r w:rsidRPr="00946F0C">
        <w:t xml:space="preserve"> </w:t>
      </w:r>
      <w:r>
        <w:t>electric security plan</w:t>
      </w:r>
      <w:r w:rsidRPr="00946F0C">
        <w:t xml:space="preserve"> and charge customers replacement rates that included </w:t>
      </w:r>
      <w:r>
        <w:t>other charges (including the Rate Stabilization Charge) that deprived customers of the full rate reduction they were owed.  Instead of g</w:t>
      </w:r>
      <w:r w:rsidRPr="00946F0C">
        <w:t>etting a full $9.</w:t>
      </w:r>
      <w:r>
        <w:t>40</w:t>
      </w:r>
      <w:r w:rsidRPr="00946F0C">
        <w:t xml:space="preserve"> per month reduction, customers will only see a fraction of the reduction, with DP&amp;L </w:t>
      </w:r>
      <w:r>
        <w:t xml:space="preserve">collecting other charges that eat up </w:t>
      </w:r>
      <w:r w:rsidR="00C304DF">
        <w:t xml:space="preserve">the </w:t>
      </w:r>
      <w:r>
        <w:t xml:space="preserve">expected rate reduction. </w:t>
      </w:r>
      <w:r w:rsidRPr="00946F0C">
        <w:t xml:space="preserve"> </w:t>
      </w:r>
      <w:r w:rsidRPr="00946F0C">
        <w:t xml:space="preserve"> </w:t>
      </w:r>
    </w:p>
    <w:p w:rsidR="001B6006" w:rsidP="001B6006" w14:paraId="28FCFF2D" w14:textId="04D59B32">
      <w:pPr>
        <w:spacing w:line="480" w:lineRule="auto"/>
        <w:ind w:firstLine="720"/>
      </w:pPr>
      <w:r w:rsidRPr="00946F0C">
        <w:rPr>
          <w:color w:val="000000"/>
        </w:rPr>
        <w:t xml:space="preserve">Under the PUCO’s approach, customers were denied the protection the </w:t>
      </w:r>
      <w:r>
        <w:rPr>
          <w:color w:val="000000"/>
        </w:rPr>
        <w:t>C</w:t>
      </w:r>
      <w:r w:rsidRPr="00946F0C">
        <w:rPr>
          <w:color w:val="000000"/>
        </w:rPr>
        <w:t>ourt ordered</w:t>
      </w:r>
      <w:r>
        <w:rPr>
          <w:color w:val="000000"/>
        </w:rPr>
        <w:t xml:space="preserve"> for customers in </w:t>
      </w:r>
      <w:r>
        <w:rPr>
          <w:i/>
          <w:color w:val="000000"/>
        </w:rPr>
        <w:t>Ohio Edison</w:t>
      </w:r>
      <w:r w:rsidRPr="00946F0C">
        <w:rPr>
          <w:color w:val="000000"/>
        </w:rPr>
        <w:t xml:space="preserve">.  </w:t>
      </w:r>
      <w:r>
        <w:rPr>
          <w:color w:val="000000"/>
        </w:rPr>
        <w:t xml:space="preserve">Rather than removing Rider DMR from DP&amp;L’s tariffs and allowing consumers to see full bill reductions (as required by </w:t>
      </w:r>
      <w:r>
        <w:rPr>
          <w:i/>
          <w:color w:val="000000"/>
        </w:rPr>
        <w:t>Ohio Edison</w:t>
      </w:r>
      <w:r>
        <w:rPr>
          <w:color w:val="000000"/>
        </w:rPr>
        <w:t>)</w:t>
      </w:r>
      <w:r w:rsidR="00C304DF">
        <w:rPr>
          <w:color w:val="000000"/>
        </w:rPr>
        <w:t>,</w:t>
      </w:r>
      <w:r>
        <w:rPr>
          <w:color w:val="000000"/>
        </w:rPr>
        <w:t xml:space="preserve"> the PUCO simply replaced all the rates and denied customers the full rate reduction they were entitled to. </w:t>
      </w:r>
      <w:r w:rsidRPr="00946F0C">
        <w:rPr>
          <w:color w:val="000000"/>
        </w:rPr>
        <w:t xml:space="preserve">The PUCO brushed aside the </w:t>
      </w:r>
      <w:r>
        <w:rPr>
          <w:color w:val="000000"/>
        </w:rPr>
        <w:t>C</w:t>
      </w:r>
      <w:r w:rsidRPr="00946F0C">
        <w:rPr>
          <w:color w:val="000000"/>
        </w:rPr>
        <w:t xml:space="preserve">ourt’s decision, violating R.C. 4903.13. </w:t>
      </w:r>
      <w:r>
        <w:t>In consumers’ interest, the PUCO should revisit its determination to approve DP&amp;L’s Notice of Withdrawal. Upon doing so, it should reject the Notice of Withdrawal.</w:t>
      </w:r>
    </w:p>
    <w:p w:rsidR="0080351A" w:rsidP="00FA01DA" w14:paraId="400A5155" w14:textId="3D02CFDE">
      <w:pPr>
        <w:pStyle w:val="Heading3"/>
      </w:pPr>
      <w:bookmarkStart w:id="24" w:name="_Toc30166449"/>
      <w:r>
        <w:t>Allowing DP&amp;L to withdraw its third electric security plan nearly three years into the plan conflicts with R.C. 4928.143(C)(2)(b), is unreasonable, and harms consumers.</w:t>
      </w:r>
      <w:bookmarkEnd w:id="24"/>
    </w:p>
    <w:p w:rsidR="00D46495" w:rsidP="00FA6F1F" w14:paraId="21FF12D0" w14:textId="28B6CFB7">
      <w:pPr>
        <w:spacing w:line="480" w:lineRule="auto"/>
        <w:ind w:firstLine="720"/>
      </w:pPr>
      <w:r>
        <w:t xml:space="preserve">DP&amp;L believes it has a right to implement what it interprets as prior rates (rates that would </w:t>
      </w:r>
      <w:r w:rsidR="001B6006">
        <w:t>deny customers the full $9.40 monthly reduction</w:t>
      </w:r>
      <w:r>
        <w:t xml:space="preserve">) because the PUCO modified and approved the settlement </w:t>
      </w:r>
      <w:r>
        <w:t xml:space="preserve">in this case based on </w:t>
      </w:r>
      <w:r>
        <w:rPr>
          <w:i/>
        </w:rPr>
        <w:t>Ohio Edison</w:t>
      </w:r>
      <w:r>
        <w:t>. In this latest twist on using Senate Bill 221 (Ohio’s 2008 energy law) to cost Ohio consumers their hard-earned money, DP&amp;L claim</w:t>
      </w:r>
      <w:r>
        <w:t>ed that</w:t>
      </w:r>
      <w:r>
        <w:t xml:space="preserve"> it </w:t>
      </w:r>
      <w:r>
        <w:t>could</w:t>
      </w:r>
      <w:r>
        <w:t xml:space="preserve"> withdraw and terminate its electric security plan application filed in 2016, now over two years—almost three years-- into that plan. DP&amp;L advance</w:t>
      </w:r>
      <w:r>
        <w:t>d</w:t>
      </w:r>
      <w:r>
        <w:t xml:space="preserve"> this argument despite having accepted and enjoyed the financial benefits of the 2016 plan for almost three years. During that time DP&amp;L charged Dayton-area consumers more than $218.75 million just for the unlawful Rider DMR (among other charges).</w:t>
      </w:r>
      <w:r w:rsidR="00035183">
        <w:t xml:space="preserve"> </w:t>
      </w:r>
    </w:p>
    <w:p w:rsidR="008143A0" w:rsidRPr="00DC30F5" w:rsidP="00035183" w14:paraId="4F6E0A93" w14:textId="6F3E7DC9">
      <w:pPr>
        <w:spacing w:line="480" w:lineRule="auto"/>
        <w:ind w:firstLine="720"/>
      </w:pPr>
      <w:r>
        <w:t>Unfortunately for consumers, the PUCO bought into DP&amp;L’s anti-consumer assertions.</w:t>
      </w:r>
      <w:r w:rsidR="00035183">
        <w:t xml:space="preserve"> </w:t>
      </w:r>
      <w:r>
        <w:t xml:space="preserve">It was wrong to do so because R.C. 4928.143(C)(2)(b) does not permit DP&amp;L to withdraw its application at </w:t>
      </w:r>
      <w:r w:rsidR="001F00A4">
        <w:t xml:space="preserve">any </w:t>
      </w:r>
      <w:r>
        <w:t>time.</w:t>
      </w:r>
      <w:r w:rsidRPr="00DC30F5" w:rsidR="00DC30F5">
        <w:t xml:space="preserve"> R.C. 4928.143(C)(2)(b) requires that the provisions, terms, and conditions of a utility’s most recent standard service offer must be continued after withdrawing an electric security plan in response to a public utilities commission modification.</w:t>
      </w:r>
      <w:r w:rsidR="00035183">
        <w:t xml:space="preserve"> </w:t>
      </w:r>
      <w:r w:rsidR="00DC30F5">
        <w:t>That cannot be done here.</w:t>
      </w:r>
      <w:r w:rsidR="00035183">
        <w:t xml:space="preserve"> </w:t>
      </w:r>
    </w:p>
    <w:p w:rsidR="008143A0" w:rsidRPr="00035183" w:rsidP="00035183" w14:paraId="6FCDD54C" w14:textId="77777777">
      <w:pPr>
        <w:pStyle w:val="ListParagraph"/>
        <w:ind w:left="1800"/>
        <w:rPr>
          <w:b/>
        </w:rPr>
      </w:pPr>
    </w:p>
    <w:p w:rsidR="00D46495" w:rsidRPr="00946F0C" w:rsidP="00035183" w14:paraId="2E564B70" w14:textId="1248C8CA">
      <w:pPr>
        <w:pStyle w:val="NormalWeb"/>
        <w:spacing w:line="480" w:lineRule="auto"/>
        <w:ind w:firstLine="720"/>
      </w:pPr>
      <w:r w:rsidRPr="00946F0C">
        <w:rPr>
          <w:rStyle w:val="ssrfcpassagedeactivated"/>
        </w:rPr>
        <w:t xml:space="preserve">All statutes </w:t>
      </w:r>
      <w:r w:rsidR="008143A0">
        <w:rPr>
          <w:rStyle w:val="ssrfcpassagedeactivated"/>
        </w:rPr>
        <w:t>that</w:t>
      </w:r>
      <w:r w:rsidRPr="00946F0C">
        <w:rPr>
          <w:rStyle w:val="ssrfcpassagedeactivated"/>
        </w:rPr>
        <w:t xml:space="preserve"> relate to the same general subject matter must be read </w:t>
      </w:r>
      <w:r w:rsidRPr="00946F0C">
        <w:rPr>
          <w:rStyle w:val="ssit"/>
          <w:i/>
          <w:iCs/>
        </w:rPr>
        <w:t xml:space="preserve">in </w:t>
      </w:r>
      <w:r w:rsidRPr="00946F0C">
        <w:rPr>
          <w:rStyle w:val="sssh"/>
          <w:bCs/>
          <w:i/>
          <w:iCs/>
        </w:rPr>
        <w:t>pari materia</w:t>
      </w:r>
      <w:r w:rsidRPr="00946F0C">
        <w:rPr>
          <w:rStyle w:val="ssrfcpassagedeactivated"/>
        </w:rPr>
        <w:t>.</w:t>
      </w:r>
      <w:r>
        <w:rPr>
          <w:rStyle w:val="FootnoteReference"/>
        </w:rPr>
        <w:footnoteReference w:id="11"/>
      </w:r>
      <w:r w:rsidRPr="00946F0C">
        <w:rPr>
          <w:rStyle w:val="ssrfcpassagedeactivated"/>
        </w:rPr>
        <w:t xml:space="preserve"> T</w:t>
      </w:r>
      <w:r w:rsidRPr="00946F0C">
        <w:t>he statutes comprising Title 49 are no different.</w:t>
      </w:r>
      <w:r>
        <w:rPr>
          <w:rStyle w:val="FootnoteReference"/>
        </w:rPr>
        <w:footnoteReference w:id="12"/>
      </w:r>
      <w:r w:rsidRPr="00946F0C">
        <w:t xml:space="preserve"> </w:t>
      </w:r>
      <w:r w:rsidRPr="00946F0C">
        <w:rPr>
          <w:rStyle w:val="ssrfcpassagedeactivated"/>
        </w:rPr>
        <w:t xml:space="preserve">In reading statutes </w:t>
      </w:r>
      <w:r w:rsidRPr="00946F0C">
        <w:rPr>
          <w:rStyle w:val="ssit"/>
          <w:i/>
          <w:iCs/>
        </w:rPr>
        <w:t xml:space="preserve">in </w:t>
      </w:r>
      <w:r w:rsidRPr="00946F0C">
        <w:rPr>
          <w:rStyle w:val="sssh"/>
          <w:bCs/>
          <w:i/>
          <w:iCs/>
        </w:rPr>
        <w:t>pari materia</w:t>
      </w:r>
      <w:r w:rsidRPr="00946F0C">
        <w:rPr>
          <w:rStyle w:val="ssrfcpassagedeactivated"/>
        </w:rPr>
        <w:t xml:space="preserve">, </w:t>
      </w:r>
      <w:r w:rsidR="008143A0">
        <w:rPr>
          <w:rStyle w:val="ssrfcpassagedeactivated"/>
        </w:rPr>
        <w:t>the statutes must be reasonably construed together</w:t>
      </w:r>
      <w:r w:rsidRPr="00946F0C">
        <w:rPr>
          <w:rStyle w:val="ssrfcpassagedeactivated"/>
        </w:rPr>
        <w:t xml:space="preserve"> </w:t>
      </w:r>
      <w:r w:rsidR="008143A0">
        <w:rPr>
          <w:rStyle w:val="ssrfcpassagedeactivated"/>
        </w:rPr>
        <w:t xml:space="preserve">so </w:t>
      </w:r>
      <w:r w:rsidRPr="00946F0C">
        <w:rPr>
          <w:rStyle w:val="ssrfcpassagedeactivated"/>
        </w:rPr>
        <w:t>as to give the proper force and effect to each and every one.</w:t>
      </w:r>
      <w:r>
        <w:rPr>
          <w:rStyle w:val="FootnoteReference"/>
        </w:rPr>
        <w:footnoteReference w:id="13"/>
      </w:r>
      <w:r w:rsidR="00035183">
        <w:rPr>
          <w:rStyle w:val="ssrfcpassagedeactivated"/>
        </w:rPr>
        <w:t xml:space="preserve"> </w:t>
      </w:r>
      <w:r w:rsidRPr="00946F0C">
        <w:rPr>
          <w:rStyle w:val="ssleftalign"/>
        </w:rPr>
        <w:t xml:space="preserve">The object is to ascertain and carry into effect the General Assembly’s intention. </w:t>
      </w:r>
      <w:r w:rsidR="008143A0">
        <w:rPr>
          <w:rStyle w:val="ssleftalign"/>
        </w:rPr>
        <w:t>It must be inferred</w:t>
      </w:r>
      <w:r w:rsidRPr="00946F0C">
        <w:rPr>
          <w:rStyle w:val="ssleftalign"/>
        </w:rPr>
        <w:t xml:space="preserve"> that </w:t>
      </w:r>
      <w:r w:rsidRPr="00946F0C">
        <w:rPr>
          <w:rStyle w:val="ssit"/>
        </w:rPr>
        <w:t xml:space="preserve">a set of statutes relating to one subject are governed by one spirit and </w:t>
      </w:r>
      <w:r w:rsidRPr="00946F0C" w:rsidR="00CF7E19">
        <w:rPr>
          <w:rStyle w:val="ssit"/>
        </w:rPr>
        <w:t>policy</w:t>
      </w:r>
      <w:r w:rsidRPr="00946F0C" w:rsidR="00CF7E19">
        <w:rPr>
          <w:rStyle w:val="ssleftalign"/>
        </w:rPr>
        <w:t xml:space="preserve"> and</w:t>
      </w:r>
      <w:r w:rsidRPr="00946F0C">
        <w:rPr>
          <w:rStyle w:val="ssleftalign"/>
        </w:rPr>
        <w:t xml:space="preserve"> are intended to be consistent and harmonious.</w:t>
      </w:r>
      <w:r>
        <w:rPr>
          <w:rStyle w:val="FootnoteReference"/>
        </w:rPr>
        <w:footnoteReference w:id="14"/>
      </w:r>
      <w:r w:rsidRPr="00946F0C">
        <w:tab/>
      </w:r>
    </w:p>
    <w:p w:rsidR="00D46495" w:rsidRPr="00946F0C" w:rsidP="00D46495" w14:paraId="66EE4B44" w14:textId="3218CA78">
      <w:pPr>
        <w:pStyle w:val="NormalWeb"/>
        <w:spacing w:line="480" w:lineRule="auto"/>
      </w:pPr>
      <w:r w:rsidRPr="00946F0C">
        <w:tab/>
        <w:t xml:space="preserve">R.C. 4928.143(C)(2)(a) and (b) are </w:t>
      </w:r>
      <w:r w:rsidRPr="00946F0C">
        <w:rPr>
          <w:i/>
        </w:rPr>
        <w:t>in pari materia</w:t>
      </w:r>
      <w:r w:rsidRPr="00946F0C">
        <w:t>, addressing the same subject matter:</w:t>
      </w:r>
      <w:r w:rsidR="00035183">
        <w:t xml:space="preserve"> </w:t>
      </w:r>
      <w:r w:rsidRPr="00946F0C">
        <w:t xml:space="preserve">the consequences of the PUCO modifying an electric security plan. Section (a) of the statute defines the conditions under which a utility may withdraw its </w:t>
      </w:r>
      <w:r w:rsidR="008143A0">
        <w:t>electric security plan</w:t>
      </w:r>
      <w:r w:rsidRPr="00946F0C">
        <w:t xml:space="preserve">, limiting those to a “commission” modification. Subsection (b) addresses what happens if the utility terminates its </w:t>
      </w:r>
      <w:r w:rsidR="008143A0">
        <w:t>electric security plan</w:t>
      </w:r>
      <w:r w:rsidRPr="00946F0C">
        <w:t>.</w:t>
      </w:r>
      <w:r w:rsidR="00035183">
        <w:t xml:space="preserve"> </w:t>
      </w:r>
      <w:r w:rsidRPr="00946F0C">
        <w:t xml:space="preserve">Applying the principles of </w:t>
      </w:r>
      <w:r w:rsidRPr="00946F0C">
        <w:rPr>
          <w:i/>
        </w:rPr>
        <w:t>in pari materia</w:t>
      </w:r>
      <w:r w:rsidRPr="00946F0C">
        <w:t xml:space="preserve"> to the subsections of the statute, the PUCO’s </w:t>
      </w:r>
      <w:r w:rsidR="008143A0">
        <w:t>Finding and Order</w:t>
      </w:r>
      <w:r w:rsidRPr="00946F0C">
        <w:t xml:space="preserve"> was unreasonable and unlawful. This is because under the PUCO’s interpretation, R.C. 4928.143(C)(2)(b) is rendered infeasible of execution.</w:t>
      </w:r>
      <w:r w:rsidR="00035183">
        <w:t xml:space="preserve"> </w:t>
      </w:r>
    </w:p>
    <w:p w:rsidR="00D46495" w:rsidRPr="00946F0C" w:rsidP="00D46495" w14:paraId="5ECA542E" w14:textId="34878ECF">
      <w:pPr>
        <w:spacing w:line="480" w:lineRule="auto"/>
        <w:ind w:firstLine="720"/>
      </w:pPr>
      <w:r w:rsidRPr="00946F0C">
        <w:t xml:space="preserve">Although R.C. 4928.143(C)(2)(a) contains no express limitation on the timing of withdrawal, the next subsection of the statute, (C)(2)(b), limits in practice </w:t>
      </w:r>
      <w:r w:rsidR="008143A0">
        <w:t>a</w:t>
      </w:r>
      <w:r w:rsidRPr="00946F0C">
        <w:t xml:space="preserve"> utility's opportunity to withdraw. Under subsection (C)(2)(b), if a utility withdraws its </w:t>
      </w:r>
      <w:r w:rsidR="008143A0">
        <w:t>electric security plan</w:t>
      </w:r>
      <w:r w:rsidRPr="00946F0C">
        <w:t xml:space="preserve"> application, it must return to prior rates: "the commission shall issue such order, as is necessary to continue the provisions, terms, and conditions of the utility’s most recent standard service offer</w:t>
      </w:r>
      <w:r w:rsidR="008143A0">
        <w:t xml:space="preserve"> . . . </w:t>
      </w:r>
      <w:r w:rsidRPr="00946F0C">
        <w:t xml:space="preserve">." </w:t>
      </w:r>
    </w:p>
    <w:p w:rsidR="00A46CDB" w:rsidP="008143A0" w14:paraId="6B230D5B" w14:textId="0BA7E5D2">
      <w:pPr>
        <w:spacing w:line="480" w:lineRule="auto"/>
        <w:ind w:firstLine="720"/>
      </w:pPr>
      <w:r>
        <w:t>In this case, the return to prior rates is impossible. For DP&amp;L that would mean (among other things) going back to a standard service offer that is priced based on DP&amp;L supplying the power, instead of the auction-based standard service.</w:t>
      </w:r>
      <w:r>
        <w:rPr>
          <w:rStyle w:val="FootnoteReference"/>
        </w:rPr>
        <w:footnoteReference w:id="15"/>
      </w:r>
      <w:r>
        <w:t xml:space="preserve"> But DP&amp;L has procured power for standard service through 202</w:t>
      </w:r>
      <w:r w:rsidR="001F00A4">
        <w:t>2</w:t>
      </w:r>
      <w:r>
        <w:t xml:space="preserve"> by way of auctions held much earlier. Those auctions cannot be undone.</w:t>
      </w:r>
      <w:r>
        <w:rPr>
          <w:rStyle w:val="FootnoteReference"/>
        </w:rPr>
        <w:footnoteReference w:id="16"/>
      </w:r>
      <w:r>
        <w:t xml:space="preserve"> And DP&amp;L in its tariff filing to implement the proposed rates has not proposed undoing the auctions to get back to the most recent standard service offer.</w:t>
      </w:r>
      <w:r>
        <w:rPr>
          <w:rStyle w:val="FootnoteReference"/>
        </w:rPr>
        <w:footnoteReference w:id="17"/>
      </w:r>
      <w:r>
        <w:t xml:space="preserve"> Thus, even DP&amp;L understands that its argument under the statute is flawed.</w:t>
      </w:r>
    </w:p>
    <w:p w:rsidR="00DC30F5" w:rsidRPr="00035183" w:rsidP="00035183" w14:paraId="254F0517" w14:textId="2B7B48FE">
      <w:pPr>
        <w:pStyle w:val="FootnoteText"/>
        <w:spacing w:line="480" w:lineRule="auto"/>
        <w:ind w:firstLine="720"/>
        <w:rPr>
          <w:sz w:val="24"/>
        </w:rPr>
      </w:pPr>
      <w:r w:rsidRPr="00035183">
        <w:rPr>
          <w:sz w:val="24"/>
        </w:rPr>
        <w:t xml:space="preserve">The language in </w:t>
      </w:r>
      <w:r>
        <w:rPr>
          <w:sz w:val="24"/>
        </w:rPr>
        <w:t>R.C. 4928.143(C)(2)(b)</w:t>
      </w:r>
      <w:r w:rsidRPr="00035183">
        <w:rPr>
          <w:sz w:val="24"/>
        </w:rPr>
        <w:t xml:space="preserve"> is not optional. </w:t>
      </w:r>
      <w:r w:rsidRPr="00035183">
        <w:rPr>
          <w:rFonts w:eastAsia="Calibri"/>
          <w:sz w:val="24"/>
        </w:rPr>
        <w:t>The word “shall” is to be construed as mandatory, unless clear and unequivocal legislative intent connotes that it receives a construction other than its ordinary usage.</w:t>
      </w:r>
      <w:r>
        <w:rPr>
          <w:rStyle w:val="FootnoteReference"/>
          <w:rFonts w:eastAsia="Calibri"/>
          <w:sz w:val="24"/>
        </w:rPr>
        <w:footnoteReference w:id="18"/>
      </w:r>
      <w:r w:rsidRPr="00035183">
        <w:rPr>
          <w:rFonts w:eastAsia="Calibri"/>
          <w:sz w:val="24"/>
        </w:rPr>
        <w:t xml:space="preserve"> </w:t>
      </w:r>
      <w:r w:rsidRPr="00035183">
        <w:rPr>
          <w:sz w:val="24"/>
        </w:rPr>
        <w:t xml:space="preserve">With no evidence that the legislative intent was for a different construction, the </w:t>
      </w:r>
      <w:r>
        <w:rPr>
          <w:sz w:val="24"/>
        </w:rPr>
        <w:t>PUCO</w:t>
      </w:r>
      <w:r w:rsidRPr="00035183">
        <w:rPr>
          <w:sz w:val="24"/>
        </w:rPr>
        <w:t xml:space="preserve"> must construe "shall" as mandatory.</w:t>
      </w:r>
      <w:r w:rsidR="00035183">
        <w:rPr>
          <w:sz w:val="24"/>
        </w:rPr>
        <w:t xml:space="preserve"> </w:t>
      </w:r>
      <w:r w:rsidRPr="00035183">
        <w:rPr>
          <w:sz w:val="24"/>
        </w:rPr>
        <w:t>The General Assembly used the word “shall” leaving the PUCO no choice but to return to “the utility’s most recent standard service offer.”</w:t>
      </w:r>
      <w:r w:rsidR="00035183">
        <w:rPr>
          <w:sz w:val="24"/>
        </w:rPr>
        <w:t xml:space="preserve"> </w:t>
      </w:r>
    </w:p>
    <w:p w:rsidR="00DC30F5" w:rsidRPr="00035183" w:rsidP="00DC30F5" w14:paraId="63830477" w14:textId="348982E2">
      <w:pPr>
        <w:pStyle w:val="FootnoteText"/>
        <w:spacing w:line="480" w:lineRule="auto"/>
        <w:rPr>
          <w:sz w:val="24"/>
        </w:rPr>
      </w:pPr>
      <w:r w:rsidRPr="00035183">
        <w:rPr>
          <w:sz w:val="24"/>
        </w:rPr>
        <w:tab/>
        <w:t xml:space="preserve">Returning to the “utility’s most recent standard service offer” cannot legally or practically be done after such a long period of time </w:t>
      </w:r>
      <w:r>
        <w:rPr>
          <w:sz w:val="24"/>
        </w:rPr>
        <w:t>–</w:t>
      </w:r>
      <w:r w:rsidRPr="00035183">
        <w:rPr>
          <w:sz w:val="24"/>
        </w:rPr>
        <w:t xml:space="preserve"> </w:t>
      </w:r>
      <w:r>
        <w:rPr>
          <w:sz w:val="24"/>
        </w:rPr>
        <w:t>nearly three years</w:t>
      </w:r>
      <w:r w:rsidR="006622C3">
        <w:rPr>
          <w:sz w:val="24"/>
        </w:rPr>
        <w:t xml:space="preserve"> and going back to rates that were implemented in 2009, almost ten years ago</w:t>
      </w:r>
      <w:r w:rsidRPr="00035183">
        <w:rPr>
          <w:sz w:val="24"/>
        </w:rPr>
        <w:t xml:space="preserve">. If the </w:t>
      </w:r>
      <w:r>
        <w:rPr>
          <w:sz w:val="24"/>
        </w:rPr>
        <w:t>PUCO were right,</w:t>
      </w:r>
      <w:r w:rsidRPr="00035183">
        <w:rPr>
          <w:sz w:val="24"/>
        </w:rPr>
        <w:t xml:space="preserve"> then the General Assembly enacted a law (R.C. 4928.143(C)(2)(b)) that is not feasible of being executed. This is contrary to the Ohio rules of statutory construction. Under R.C. 1.47(D</w:t>
      </w:r>
      <w:r>
        <w:rPr>
          <w:sz w:val="24"/>
        </w:rPr>
        <w:t>)</w:t>
      </w:r>
      <w:r w:rsidRPr="00035183">
        <w:rPr>
          <w:sz w:val="24"/>
        </w:rPr>
        <w:t xml:space="preserve">, in enacting a statute, inter alia, a result feasible of execution is intended. </w:t>
      </w:r>
      <w:r>
        <w:rPr>
          <w:sz w:val="24"/>
        </w:rPr>
        <w:t>The PUCO</w:t>
      </w:r>
      <w:r w:rsidRPr="00035183">
        <w:rPr>
          <w:sz w:val="24"/>
        </w:rPr>
        <w:t xml:space="preserve"> disregard</w:t>
      </w:r>
      <w:r>
        <w:rPr>
          <w:sz w:val="24"/>
        </w:rPr>
        <w:t>ed</w:t>
      </w:r>
      <w:r w:rsidRPr="00035183">
        <w:rPr>
          <w:sz w:val="24"/>
        </w:rPr>
        <w:t xml:space="preserve"> that rule</w:t>
      </w:r>
      <w:r>
        <w:rPr>
          <w:sz w:val="24"/>
        </w:rPr>
        <w:t xml:space="preserve">, resulting in </w:t>
      </w:r>
      <w:r w:rsidRPr="00035183">
        <w:rPr>
          <w:sz w:val="24"/>
        </w:rPr>
        <w:t>an unreasonable interpretation of R.C. 4928.143(C)(2)(a) -- an interpretation that allows a utility to withdraw its application after almost three years of charging customers unlawful rates.</w:t>
      </w:r>
      <w:r w:rsidR="00035183">
        <w:rPr>
          <w:sz w:val="24"/>
        </w:rPr>
        <w:t xml:space="preserve"> </w:t>
      </w:r>
    </w:p>
    <w:p w:rsidR="00DC30F5" w:rsidRPr="00946F0C" w:rsidP="00DC30F5" w14:paraId="344F4384" w14:textId="151F5E15">
      <w:pPr>
        <w:pStyle w:val="FootnoteText"/>
        <w:spacing w:line="480" w:lineRule="auto"/>
      </w:pPr>
      <w:r w:rsidRPr="00035183">
        <w:rPr>
          <w:sz w:val="24"/>
        </w:rPr>
        <w:tab/>
        <w:t xml:space="preserve">The only way the most recent standard service rates can continue is if the utility withdraws within a relatively short period of time after implementing its </w:t>
      </w:r>
      <w:r>
        <w:rPr>
          <w:sz w:val="24"/>
        </w:rPr>
        <w:t>electric security</w:t>
      </w:r>
      <w:r w:rsidRPr="00035183">
        <w:rPr>
          <w:sz w:val="24"/>
        </w:rPr>
        <w:t xml:space="preserve"> plan. That would allow the provisions of R.C. 4928.143(C)(2)(b) to be implemented as written and intended by the General Assembly. The </w:t>
      </w:r>
      <w:r>
        <w:rPr>
          <w:sz w:val="24"/>
        </w:rPr>
        <w:t>PUCO should have rejected DP&amp;L’s Notice of Withdrawal, which required a</w:t>
      </w:r>
      <w:r w:rsidRPr="00035183">
        <w:rPr>
          <w:sz w:val="24"/>
        </w:rPr>
        <w:t xml:space="preserve"> strained interpretation of the law</w:t>
      </w:r>
      <w:r>
        <w:rPr>
          <w:sz w:val="24"/>
        </w:rPr>
        <w:t xml:space="preserve"> rendering</w:t>
      </w:r>
      <w:r w:rsidRPr="00035183">
        <w:rPr>
          <w:sz w:val="24"/>
        </w:rPr>
        <w:t xml:space="preserve"> R.C.4928.143(C)(2)(b) infeasible to execute.</w:t>
      </w:r>
      <w:r>
        <w:rPr>
          <w:rStyle w:val="FootnoteReference"/>
          <w:sz w:val="24"/>
        </w:rPr>
        <w:footnoteReference w:id="19"/>
      </w:r>
      <w:r w:rsidR="00035183">
        <w:rPr>
          <w:sz w:val="24"/>
        </w:rPr>
        <w:t xml:space="preserve"> </w:t>
      </w:r>
      <w:r>
        <w:rPr>
          <w:sz w:val="24"/>
        </w:rPr>
        <w:t>It should now do so on rehearing.</w:t>
      </w:r>
      <w:r w:rsidR="00035183">
        <w:rPr>
          <w:sz w:val="24"/>
        </w:rPr>
        <w:t xml:space="preserve"> </w:t>
      </w:r>
    </w:p>
    <w:p w:rsidR="00FC74B7" w:rsidRPr="00421F2C" w:rsidP="00FC74B7" w14:paraId="7CF365C0" w14:textId="77D30915">
      <w:pPr>
        <w:pStyle w:val="Heading2"/>
        <w:rPr>
          <w:b w:val="0"/>
          <w:bCs/>
        </w:rPr>
      </w:pPr>
      <w:bookmarkStart w:id="25" w:name="_Toc30166450"/>
      <w:r w:rsidRPr="00FA01DA">
        <w:t xml:space="preserve">ASSIGNMENT OF ERROR </w:t>
      </w:r>
      <w:r>
        <w:t>2</w:t>
      </w:r>
      <w:r w:rsidRPr="00FA01DA">
        <w:t>: The PUCO’s Finding and Order is unreasonable and unlawful under R.C. 4903.09 and Ohio Supreme Court precedent, thereby harming consumers, because it approved DP&amp;L’s Notice of Withdrawal of Application without addressing all arguments against the Notice of Withdrawal.</w:t>
      </w:r>
      <w:bookmarkEnd w:id="25"/>
      <w:r w:rsidRPr="00FA01DA">
        <w:t xml:space="preserve"> </w:t>
      </w:r>
    </w:p>
    <w:p w:rsidR="00FC74B7" w:rsidP="00FC74B7" w14:paraId="20936246" w14:textId="77777777">
      <w:pPr>
        <w:spacing w:line="480" w:lineRule="auto"/>
        <w:ind w:firstLine="720"/>
      </w:pPr>
      <w:r>
        <w:t>R.C. 4903.09 requires the PUCO, in all contested cases, to “file, with the records of such cases, findings of fact and a written opinion setting forth the reasons prompting the decisions arrived at, based upon said findings of fact.” To meet the requirements of this statute, the PUCO’s order must show, in sufficient detail, the facts in the record on which the order is based and the reasoning followed in reaching the conclusion.</w:t>
      </w:r>
      <w:r>
        <w:rPr>
          <w:rStyle w:val="FootnoteReference"/>
        </w:rPr>
        <w:footnoteReference w:id="20"/>
      </w:r>
      <w:r>
        <w:t xml:space="preserve"> As the Supreme Court of Ohio has explained:</w:t>
      </w:r>
    </w:p>
    <w:p w:rsidR="00FC74B7" w:rsidP="00FC74B7" w14:paraId="512DE415" w14:textId="77777777">
      <w:pPr>
        <w:ind w:left="1440" w:right="1440"/>
        <w:jc w:val="both"/>
      </w:pPr>
      <w:r>
        <w:t>The General Assembly never intended this court to perform the same functions and duties as the Public Utilities Commission but it did intend that this court should determine whether the facts found by the commission lawfully and reasonably justified the conclusions reached by the commission in its order and whether the evidence presented to the commission as found in the record supported the essential findings of fact so made by the commission.</w:t>
      </w:r>
      <w:r>
        <w:rPr>
          <w:rStyle w:val="FootnoteReference"/>
        </w:rPr>
        <w:footnoteReference w:id="21"/>
      </w:r>
    </w:p>
    <w:p w:rsidR="00FC74B7" w:rsidP="00FC74B7" w14:paraId="6893CC7F" w14:textId="77777777">
      <w:pPr>
        <w:ind w:left="1440" w:right="1440"/>
        <w:jc w:val="both"/>
      </w:pPr>
    </w:p>
    <w:p w:rsidR="00FC74B7" w:rsidP="00FC74B7" w14:paraId="0919204C" w14:textId="77777777">
      <w:pPr>
        <w:spacing w:line="480" w:lineRule="auto"/>
      </w:pPr>
      <w:r>
        <w:t>It has also explained that the PUCO must address all arguments raised by parties to fulfill its obligations under R.C. 4903.09.</w:t>
      </w:r>
      <w:r>
        <w:rPr>
          <w:rStyle w:val="FootnoteReference"/>
        </w:rPr>
        <w:footnoteReference w:id="22"/>
      </w:r>
      <w:r>
        <w:t xml:space="preserve"> The PUCO failed to meet its obligation to address all arguments in its Finding and Order approving DP&amp;L’s Notice of Withdrawal. This is particularly bad for consumers because, although the PUCO found that DP&amp;L had a statutory right to withdraw its application, it did not address the many statutory arguments made by parties demonstrating that DP&amp;L did </w:t>
      </w:r>
      <w:r>
        <w:rPr>
          <w:i/>
          <w:iCs/>
        </w:rPr>
        <w:t xml:space="preserve">not </w:t>
      </w:r>
      <w:r>
        <w:t xml:space="preserve">have the right to withdraw its application. </w:t>
      </w:r>
    </w:p>
    <w:p w:rsidR="00FC74B7" w:rsidRPr="002561BB" w:rsidP="00FC74B7" w14:paraId="1774FA17" w14:textId="77777777">
      <w:pPr>
        <w:autoSpaceDE w:val="0"/>
        <w:autoSpaceDN w:val="0"/>
        <w:adjustRightInd w:val="0"/>
        <w:spacing w:line="480" w:lineRule="auto"/>
        <w:ind w:firstLine="720"/>
        <w:rPr>
          <w:rFonts w:ascii="Times-Roman" w:hAnsi="Times-Roman" w:cs="Times-Roman"/>
        </w:rPr>
      </w:pPr>
      <w:r>
        <w:t>In their briefing, the Consumer Parties explained that DP&amp;L’s anti-consumer proposal to revert back to its first electric security plan violates the plain language and intent of R.C. 4928.143(C)(2)(b). The statute requires the PUCO to “continue” the most recent electric security plan, which is impossible when the most recent plan has already expired.</w:t>
      </w:r>
      <w:r>
        <w:rPr>
          <w:rStyle w:val="FootnoteReference"/>
        </w:rPr>
        <w:footnoteReference w:id="23"/>
      </w:r>
      <w:r>
        <w:t xml:space="preserve"> The PUCO did not address this argument.</w:t>
      </w:r>
      <w:r>
        <w:rPr>
          <w:rStyle w:val="FootnoteReference"/>
        </w:rPr>
        <w:footnoteReference w:id="24"/>
      </w:r>
      <w:r>
        <w:t xml:space="preserve"> The Consumer Parties explained that DP&amp;L’s proposal to circumvent consumer protection by reverting to its first electric security plan violates the plain language of R.C. 4928.143(C)(2)(b), which requires only that the PUCO continue the utility’s “most recent standard service offer.” The statute does not require the PUCO to continue DP&amp;L’s entire previous electric security plan (in this case, DP&amp;L’s first electric security plan).</w:t>
      </w:r>
      <w:r>
        <w:rPr>
          <w:rStyle w:val="FootnoteReference"/>
        </w:rPr>
        <w:footnoteReference w:id="25"/>
      </w:r>
      <w:r w:rsidRPr="002561BB">
        <w:t xml:space="preserve"> </w:t>
      </w:r>
      <w:r>
        <w:t>The PUCO did not address this argument.</w:t>
      </w:r>
      <w:r>
        <w:rPr>
          <w:rStyle w:val="FootnoteReference"/>
        </w:rPr>
        <w:footnoteReference w:id="26"/>
      </w:r>
      <w:r w:rsidRPr="002561BB">
        <w:t xml:space="preserve"> </w:t>
      </w:r>
      <w:r>
        <w:t>The Consumer Parties explained that</w:t>
      </w:r>
      <w:r w:rsidRPr="002561BB">
        <w:rPr>
          <w:rFonts w:ascii="Times-Roman" w:hAnsi="Times-Roman" w:cs="Times-Roman"/>
        </w:rPr>
        <w:t xml:space="preserve"> </w:t>
      </w:r>
      <w:r>
        <w:rPr>
          <w:rFonts w:ascii="Times-Roman" w:hAnsi="Times-Roman" w:cs="Times-Roman"/>
        </w:rPr>
        <w:t xml:space="preserve">DP&amp;L sought to defy the PUCO’s decision in its Supplemental Opinion and Order, and the Supreme Court of Ohio’s decision in </w:t>
      </w:r>
      <w:r>
        <w:rPr>
          <w:rFonts w:ascii="Times-Italic" w:hAnsi="Times-Italic" w:cs="Times-Italic"/>
          <w:i/>
          <w:iCs/>
        </w:rPr>
        <w:t>Ohio Edison</w:t>
      </w:r>
      <w:r>
        <w:rPr>
          <w:rFonts w:ascii="Times-Roman" w:hAnsi="Times-Roman" w:cs="Times-Roman"/>
        </w:rPr>
        <w:t>, by depriving consumers of the full rate reduction they should have received.</w:t>
      </w:r>
      <w:r>
        <w:rPr>
          <w:rStyle w:val="FootnoteReference"/>
          <w:rFonts w:ascii="Times-Roman" w:hAnsi="Times-Roman" w:cs="Times-Roman"/>
        </w:rPr>
        <w:footnoteReference w:id="27"/>
      </w:r>
      <w:r>
        <w:t xml:space="preserve"> The PUCO did not address this argument.</w:t>
      </w:r>
      <w:r>
        <w:rPr>
          <w:rStyle w:val="FootnoteReference"/>
        </w:rPr>
        <w:footnoteReference w:id="28"/>
      </w:r>
      <w:r>
        <w:rPr>
          <w:rFonts w:ascii="Times-Roman" w:hAnsi="Times-Roman" w:cs="Times-Roman"/>
        </w:rPr>
        <w:t xml:space="preserve"> The Consumer Parties explained that DP&amp;L should not be permitted the extraordinary result of depriving consumers of the full rate reduction they are owed by withdrawing and terminating its electric security plan application at this late time</w:t>
      </w:r>
      <w:r>
        <w:t>.</w:t>
      </w:r>
      <w:r>
        <w:rPr>
          <w:rStyle w:val="FootnoteReference"/>
        </w:rPr>
        <w:footnoteReference w:id="29"/>
      </w:r>
      <w:r>
        <w:t xml:space="preserve"> The PUCO did not address this argument.</w:t>
      </w:r>
      <w:r>
        <w:rPr>
          <w:rStyle w:val="FootnoteReference"/>
        </w:rPr>
        <w:footnoteReference w:id="30"/>
      </w:r>
      <w:r>
        <w:rPr>
          <w:rFonts w:ascii="Times-Roman" w:hAnsi="Times-Roman" w:cs="Times-Roman"/>
        </w:rPr>
        <w:t xml:space="preserve"> </w:t>
      </w:r>
    </w:p>
    <w:p w:rsidR="00FC74B7" w:rsidP="00FC74B7" w14:paraId="7DAAFE59" w14:textId="77777777">
      <w:pPr>
        <w:spacing w:line="480" w:lineRule="auto"/>
        <w:ind w:firstLine="720"/>
      </w:pPr>
      <w:r>
        <w:t xml:space="preserve">In consumers’ interest, the PUCO should revisit its determination to approve DP&amp;L’s Notice of Withdrawal. It did not address many of the Consumer Parties’ arguments against the Notice of Withdrawal, many of which were statutorily based. Under Ohio law, it must. </w:t>
      </w:r>
    </w:p>
    <w:p w:rsidR="00DC30F5" w:rsidP="00FA01DA" w14:paraId="423DD22B" w14:textId="77777777">
      <w:pPr>
        <w:ind w:firstLine="720"/>
      </w:pPr>
    </w:p>
    <w:p w:rsidR="00A46CDB" w:rsidP="00A46CDB" w14:paraId="3AC45B4A" w14:textId="77777777">
      <w:pPr>
        <w:pStyle w:val="Heading1"/>
      </w:pPr>
      <w:bookmarkStart w:id="26" w:name="_Toc534969816"/>
      <w:bookmarkStart w:id="27" w:name="_Toc534970015"/>
      <w:bookmarkStart w:id="28" w:name="_Toc534970556"/>
      <w:bookmarkStart w:id="29" w:name="_Toc534970662"/>
      <w:bookmarkStart w:id="30" w:name="_Toc535583503"/>
      <w:bookmarkStart w:id="31" w:name="_Toc16860459"/>
      <w:bookmarkStart w:id="32" w:name="_Toc30166451"/>
      <w:r>
        <w:t>iv.</w:t>
      </w:r>
      <w:r>
        <w:tab/>
        <w:t>CONCLUSION</w:t>
      </w:r>
      <w:bookmarkEnd w:id="26"/>
      <w:bookmarkEnd w:id="27"/>
      <w:bookmarkEnd w:id="28"/>
      <w:bookmarkEnd w:id="29"/>
      <w:bookmarkEnd w:id="30"/>
      <w:bookmarkEnd w:id="31"/>
      <w:bookmarkEnd w:id="32"/>
    </w:p>
    <w:p w:rsidR="008A2B55" w:rsidP="00A46CDB" w14:paraId="19EEE9D8" w14:textId="482BA4FA">
      <w:pPr>
        <w:spacing w:line="480" w:lineRule="auto"/>
        <w:ind w:firstLine="720"/>
      </w:pPr>
      <w:r w:rsidRPr="00E666E3">
        <w:t>To protect customers</w:t>
      </w:r>
      <w:r>
        <w:t xml:space="preserve"> from unnecessary and unlawful charges</w:t>
      </w:r>
      <w:r w:rsidRPr="00E666E3">
        <w:t xml:space="preserve">, the PUCO should grant rehearing and abrogate </w:t>
      </w:r>
      <w:r>
        <w:t xml:space="preserve">its </w:t>
      </w:r>
      <w:r w:rsidR="002561BB">
        <w:t>Finding</w:t>
      </w:r>
      <w:r w:rsidR="00E7600C">
        <w:t xml:space="preserve"> and Order</w:t>
      </w:r>
      <w:r>
        <w:t xml:space="preserve">. </w:t>
      </w:r>
      <w:r w:rsidRPr="00E666E3">
        <w:t xml:space="preserve">This would </w:t>
      </w:r>
      <w:r w:rsidR="0012062F">
        <w:t>safeguard</w:t>
      </w:r>
      <w:r w:rsidRPr="00E666E3" w:rsidR="0012062F">
        <w:t xml:space="preserve"> </w:t>
      </w:r>
      <w:r w:rsidR="00E7600C">
        <w:t xml:space="preserve">that </w:t>
      </w:r>
      <w:r w:rsidR="002561BB">
        <w:t>DP&amp;L’s</w:t>
      </w:r>
      <w:r w:rsidR="00E7600C">
        <w:t xml:space="preserve"> </w:t>
      </w:r>
      <w:r>
        <w:t xml:space="preserve">charges to consumers </w:t>
      </w:r>
      <w:r w:rsidR="00E7600C">
        <w:t>would be</w:t>
      </w:r>
      <w:r>
        <w:t xml:space="preserve"> fair, just, </w:t>
      </w:r>
      <w:r w:rsidR="00E7600C">
        <w:t xml:space="preserve">and </w:t>
      </w:r>
      <w:r>
        <w:t>reasonable</w:t>
      </w:r>
      <w:r w:rsidRPr="00E666E3">
        <w:t xml:space="preserve">. </w:t>
      </w:r>
    </w:p>
    <w:p w:rsidR="007A5DE0" w:rsidP="007A5DE0" w14:paraId="1B8483ED" w14:textId="77777777">
      <w:pPr>
        <w:overflowPunct w:val="0"/>
        <w:autoSpaceDE w:val="0"/>
        <w:autoSpaceDN w:val="0"/>
        <w:adjustRightInd w:val="0"/>
        <w:ind w:left="4320"/>
        <w:textAlignment w:val="baseline"/>
      </w:pPr>
      <w:r>
        <w:t>Respectfully submitted,</w:t>
      </w:r>
    </w:p>
    <w:p w:rsidR="007A5DE0" w:rsidP="007A5DE0" w14:paraId="45C5D012" w14:textId="77777777">
      <w:pPr>
        <w:tabs>
          <w:tab w:val="left" w:pos="4320"/>
        </w:tabs>
        <w:overflowPunct w:val="0"/>
        <w:autoSpaceDE w:val="0"/>
        <w:autoSpaceDN w:val="0"/>
        <w:adjustRightInd w:val="0"/>
        <w:ind w:left="4320"/>
        <w:textAlignment w:val="baseline"/>
      </w:pPr>
    </w:p>
    <w:p w:rsidR="007A5DE0" w:rsidP="007A5DE0" w14:paraId="50CC2C7D" w14:textId="77777777">
      <w:pPr>
        <w:tabs>
          <w:tab w:val="left" w:pos="4320"/>
        </w:tabs>
        <w:overflowPunct w:val="0"/>
        <w:autoSpaceDE w:val="0"/>
        <w:autoSpaceDN w:val="0"/>
        <w:adjustRightInd w:val="0"/>
        <w:ind w:left="4320"/>
        <w:textAlignment w:val="baseline"/>
      </w:pPr>
      <w:r>
        <w:t>Bruce Weston (0016973)</w:t>
      </w:r>
    </w:p>
    <w:p w:rsidR="007A5DE0" w:rsidP="007A5DE0" w14:paraId="43D38B1B" w14:textId="77777777">
      <w:pPr>
        <w:tabs>
          <w:tab w:val="left" w:pos="4320"/>
        </w:tabs>
        <w:ind w:left="4320"/>
      </w:pPr>
      <w:r>
        <w:t>Ohio Consumers’ Counsel</w:t>
      </w:r>
    </w:p>
    <w:p w:rsidR="007A5DE0" w:rsidP="007A5DE0" w14:paraId="258C6087" w14:textId="77777777">
      <w:pPr>
        <w:tabs>
          <w:tab w:val="left" w:pos="4320"/>
        </w:tabs>
        <w:ind w:left="4320"/>
      </w:pPr>
    </w:p>
    <w:p w:rsidR="007A5DE0" w:rsidP="007A5DE0" w14:paraId="155FED18" w14:textId="77777777">
      <w:pPr>
        <w:tabs>
          <w:tab w:val="left" w:pos="4320"/>
        </w:tabs>
        <w:ind w:left="4320"/>
      </w:pPr>
      <w:r>
        <w:rPr>
          <w:i/>
          <w:iCs/>
          <w:u w:val="single"/>
        </w:rPr>
        <w:t>/s/ William J. Michael</w:t>
      </w:r>
      <w:r>
        <w:rPr>
          <w:i/>
          <w:iCs/>
          <w:u w:val="single"/>
        </w:rPr>
        <w:tab/>
      </w:r>
      <w:r>
        <w:rPr>
          <w:i/>
          <w:iCs/>
          <w:u w:val="single"/>
        </w:rPr>
        <w:tab/>
      </w:r>
      <w:r>
        <w:rPr>
          <w:i/>
          <w:iCs/>
          <w:u w:val="single"/>
        </w:rPr>
        <w:tab/>
      </w:r>
    </w:p>
    <w:p w:rsidR="007A5DE0" w:rsidP="007A5DE0" w14:paraId="1C17613A" w14:textId="77777777">
      <w:pPr>
        <w:tabs>
          <w:tab w:val="left" w:pos="4320"/>
        </w:tabs>
        <w:ind w:left="4320"/>
      </w:pPr>
      <w:r>
        <w:t>William J. Michael (0070921)</w:t>
      </w:r>
    </w:p>
    <w:p w:rsidR="007A5DE0" w:rsidP="007A5DE0" w14:paraId="47F9A7B1" w14:textId="77777777">
      <w:pPr>
        <w:tabs>
          <w:tab w:val="left" w:pos="4320"/>
        </w:tabs>
        <w:ind w:left="4320"/>
      </w:pPr>
      <w:r>
        <w:t>Counsel of Record</w:t>
      </w:r>
    </w:p>
    <w:p w:rsidR="007A5DE0" w:rsidP="007A5DE0" w14:paraId="4FA2FEED" w14:textId="77777777">
      <w:pPr>
        <w:ind w:left="4320"/>
      </w:pPr>
      <w:r>
        <w:t>Ambrosia E. Logsdon (0096598)</w:t>
      </w:r>
    </w:p>
    <w:p w:rsidR="007A5DE0" w:rsidP="009838D1" w14:paraId="091873F7" w14:textId="396430C2">
      <w:pPr>
        <w:tabs>
          <w:tab w:val="left" w:pos="4320"/>
        </w:tabs>
        <w:ind w:left="4320"/>
      </w:pPr>
      <w:r>
        <w:t>Assistant Consumers’ Counsel</w:t>
      </w:r>
    </w:p>
    <w:p w:rsidR="009838D1" w:rsidP="009838D1" w14:paraId="53AF48E9" w14:textId="77777777">
      <w:pPr>
        <w:tabs>
          <w:tab w:val="left" w:pos="4320"/>
        </w:tabs>
        <w:ind w:left="4320"/>
      </w:pPr>
    </w:p>
    <w:p w:rsidR="007A5DE0" w:rsidP="007A5DE0" w14:paraId="0A258242" w14:textId="77777777">
      <w:pPr>
        <w:ind w:left="4320"/>
        <w:rPr>
          <w:b/>
        </w:rPr>
      </w:pPr>
      <w:r>
        <w:rPr>
          <w:b/>
        </w:rPr>
        <w:t>Office of the Ohio Consumers’ Counsel</w:t>
      </w:r>
    </w:p>
    <w:p w:rsidR="007A5DE0" w:rsidP="007A5DE0" w14:paraId="5C02C1F1" w14:textId="77777777">
      <w:pPr>
        <w:ind w:left="4320"/>
      </w:pPr>
      <w:r>
        <w:t>65 East State Street, 7th Floor</w:t>
      </w:r>
    </w:p>
    <w:p w:rsidR="007A5DE0" w:rsidP="007A5DE0" w14:paraId="70D71B95" w14:textId="77777777">
      <w:pPr>
        <w:ind w:left="4320"/>
        <w:rPr>
          <w:b/>
        </w:rPr>
      </w:pPr>
      <w:r>
        <w:t>Columbus, Ohio 43215</w:t>
      </w:r>
    </w:p>
    <w:p w:rsidR="007A5DE0" w:rsidP="007A5DE0" w14:paraId="074A0597" w14:textId="77777777">
      <w:pPr>
        <w:ind w:left="4320"/>
      </w:pPr>
      <w:r>
        <w:t>Telephone: [Michael] (614) 466-1291</w:t>
      </w:r>
    </w:p>
    <w:p w:rsidR="007A5DE0" w:rsidP="007A5DE0" w14:paraId="3DC5190B" w14:textId="77777777">
      <w:pPr>
        <w:ind w:left="4320"/>
      </w:pPr>
      <w:r>
        <w:t>Telephone: [Logsdon] (614) 466-1292</w:t>
      </w:r>
    </w:p>
    <w:p w:rsidR="007A5DE0" w:rsidP="007A5DE0" w14:paraId="4D5E94C2" w14:textId="77777777">
      <w:pPr>
        <w:ind w:left="4320"/>
      </w:pPr>
      <w:hyperlink r:id="rId6" w:history="1">
        <w:r>
          <w:rPr>
            <w:rStyle w:val="Hyperlink"/>
          </w:rPr>
          <w:t>william.michael@occ.ohio.gov</w:t>
        </w:r>
      </w:hyperlink>
    </w:p>
    <w:p w:rsidR="007A5DE0" w:rsidRPr="00AD680B" w:rsidP="007A5DE0" w14:paraId="407DC78B" w14:textId="77777777">
      <w:pPr>
        <w:ind w:left="4320"/>
        <w:rPr>
          <w:rStyle w:val="Hyperlink"/>
        </w:rPr>
      </w:pPr>
      <w:r w:rsidRPr="00AD680B">
        <w:rPr>
          <w:rStyle w:val="Hyperlink"/>
        </w:rPr>
        <w:t>ambrosia.logsdon@occ.ohio.gov</w:t>
      </w:r>
    </w:p>
    <w:p w:rsidR="007A5DE0" w:rsidP="007A5DE0" w14:paraId="345CFD0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hAnsi="Times New Roman"/>
          <w:sz w:val="24"/>
        </w:rPr>
        <w:t>(w</w:t>
      </w:r>
      <w:r>
        <w:rPr>
          <w:rFonts w:ascii="Times New Roman" w:eastAsia="Times New Roman" w:hAnsi="Times New Roman"/>
          <w:sz w:val="24"/>
        </w:rPr>
        <w:t>illing to accept service by e-mail)</w:t>
      </w:r>
    </w:p>
    <w:p w:rsidR="00A46CDB" w:rsidP="00A46CDB" w14:paraId="215F4DDC" w14:textId="728DE6A9">
      <w:pPr>
        <w:pStyle w:val="ANSWER"/>
        <w:suppressLineNumbers/>
        <w:ind w:left="720"/>
        <w:jc w:val="center"/>
        <w:rPr>
          <w:b/>
          <w:szCs w:val="24"/>
          <w:u w:val="single"/>
        </w:rPr>
      </w:pPr>
      <w:r>
        <w:rPr>
          <w:b/>
          <w:szCs w:val="24"/>
          <w:u w:val="single"/>
        </w:rPr>
        <w:t>CERTIFICATE OF SERVICE</w:t>
      </w:r>
    </w:p>
    <w:p w:rsidR="00A46CDB" w:rsidP="00A46CDB" w14:paraId="603ABA93" w14:textId="5FA92E77">
      <w:pPr>
        <w:suppressLineNumbers/>
        <w:spacing w:line="480" w:lineRule="auto"/>
        <w:ind w:firstLine="720"/>
      </w:pPr>
      <w:r>
        <w:t xml:space="preserve">The undersigned hereby certifies that a true and correct copy of the foregoing Application for Rehearing has been served upon the below-named persons via electronic transmission this </w:t>
      </w:r>
      <w:r w:rsidR="004F07CD">
        <w:t>17th</w:t>
      </w:r>
      <w:r>
        <w:t xml:space="preserve"> day of </w:t>
      </w:r>
      <w:r w:rsidR="007A5DE0">
        <w:t>January</w:t>
      </w:r>
      <w:r w:rsidR="00546450">
        <w:t xml:space="preserve"> </w:t>
      </w:r>
      <w:r>
        <w:t>20</w:t>
      </w:r>
      <w:r w:rsidR="007A5DE0">
        <w:t>20</w:t>
      </w:r>
      <w:r>
        <w:t>.</w:t>
      </w:r>
      <w:r>
        <w:tab/>
      </w:r>
    </w:p>
    <w:p w:rsidR="00A46CDB" w:rsidP="00A46CDB" w14:paraId="48148872" w14:textId="56D58924">
      <w:pPr>
        <w:suppressLineNumbers/>
        <w:rPr>
          <w:u w:val="single"/>
        </w:rPr>
      </w:pPr>
      <w:r>
        <w:t xml:space="preserve"> </w:t>
      </w:r>
      <w:r>
        <w:tab/>
      </w:r>
      <w:r>
        <w:tab/>
      </w:r>
      <w:r>
        <w:tab/>
      </w:r>
      <w:r>
        <w:tab/>
      </w:r>
      <w:r>
        <w:tab/>
      </w:r>
      <w:r>
        <w:tab/>
      </w:r>
      <w:r>
        <w:rPr>
          <w:i/>
          <w:u w:val="single"/>
        </w:rPr>
        <w:t>/s/ William J. Michael</w:t>
      </w:r>
      <w:r w:rsidR="00546450">
        <w:rPr>
          <w:i/>
          <w:u w:val="single"/>
        </w:rPr>
        <w:tab/>
      </w:r>
      <w:r w:rsidR="00546450">
        <w:rPr>
          <w:i/>
          <w:u w:val="single"/>
        </w:rPr>
        <w:tab/>
      </w:r>
    </w:p>
    <w:p w:rsidR="00A46CDB" w:rsidP="00A46CDB" w14:paraId="56C35E98" w14:textId="77777777">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William J. Michael</w:t>
      </w:r>
    </w:p>
    <w:p w:rsidR="00A46CDB" w:rsidP="00A46CDB" w14:paraId="2010DD9D" w14:textId="597F6092">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Assistant Consumers</w:t>
      </w:r>
      <w:r w:rsidR="00641AF3">
        <w:rPr>
          <w:rFonts w:ascii="Times New Roman" w:hAnsi="Times New Roman"/>
          <w:szCs w:val="24"/>
        </w:rPr>
        <w:t>’</w:t>
      </w:r>
      <w:r>
        <w:rPr>
          <w:rFonts w:ascii="Times New Roman" w:hAnsi="Times New Roman"/>
          <w:szCs w:val="24"/>
        </w:rPr>
        <w:t xml:space="preserve"> Counsel</w:t>
      </w:r>
    </w:p>
    <w:p w:rsidR="009838D1" w:rsidP="00A46CDB" w14:paraId="16895F42" w14:textId="77777777">
      <w:pPr>
        <w:suppressLineNumbers/>
        <w:autoSpaceDE w:val="0"/>
        <w:autoSpaceDN w:val="0"/>
        <w:adjustRightInd w:val="0"/>
        <w:ind w:left="3600" w:firstLine="720"/>
      </w:pPr>
    </w:p>
    <w:p w:rsidR="002A1C42" w:rsidRPr="00F2718B" w:rsidP="002A1C42" w14:paraId="08284E21" w14:textId="0EA64BC4">
      <w:r>
        <w:t>The PUCO</w:t>
      </w:r>
      <w:r w:rsidR="00641AF3">
        <w:t>’</w:t>
      </w:r>
      <w:r>
        <w:t>s e-filing system will electronically serve notice of the filing of this document on the following parties:</w:t>
      </w:r>
    </w:p>
    <w:p w:rsidR="002A1C42" w:rsidP="00A46CDB" w14:paraId="23E0F51E" w14:textId="77777777">
      <w:pPr>
        <w:suppressLineNumbers/>
        <w:autoSpaceDE w:val="0"/>
        <w:autoSpaceDN w:val="0"/>
        <w:adjustRightInd w:val="0"/>
        <w:ind w:left="3600" w:firstLine="720"/>
      </w:pPr>
    </w:p>
    <w:p w:rsidR="007A5DE0" w:rsidP="007A5DE0" w14:paraId="0948AE47" w14:textId="77777777">
      <w:pPr>
        <w:jc w:val="center"/>
        <w:rPr>
          <w:b/>
          <w:u w:val="single"/>
        </w:rPr>
      </w:pPr>
      <w:r>
        <w:rPr>
          <w:b/>
          <w:u w:val="single"/>
        </w:rPr>
        <w:t>SERVICE LIST</w:t>
      </w:r>
    </w:p>
    <w:tbl>
      <w:tblPr>
        <w:tblStyle w:val="TableGrid"/>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2"/>
        <w:gridCol w:w="516"/>
      </w:tblGrid>
      <w:tr w14:paraId="7738074C" w14:textId="77777777" w:rsidTr="002577BA">
        <w:tblPrEx>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7A5DE0" w:rsidRPr="007318B0" w:rsidP="002577BA" w14:paraId="44527E82" w14:textId="77777777">
            <w:pPr>
              <w:ind w:right="576" w:hanging="14"/>
              <w:jc w:val="center"/>
              <w:textAlignment w:val="baseline"/>
              <w:rPr>
                <w:b/>
                <w:color w:val="000000"/>
                <w:sz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0"/>
              <w:gridCol w:w="3816"/>
            </w:tblGrid>
            <w:tr w14:paraId="202367EC" w14:textId="77777777" w:rsidTr="002577B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20" w:type="dxa"/>
                </w:tcPr>
                <w:p w:rsidR="007A5DE0" w:rsidRPr="007A5DE0" w:rsidP="002577BA" w14:paraId="2BCC1B38" w14:textId="77777777">
                  <w:pPr>
                    <w:adjustRightInd w:val="0"/>
                    <w:rPr>
                      <w:color w:val="0000FF"/>
                      <w:sz w:val="22"/>
                    </w:rPr>
                  </w:pPr>
                  <w:hyperlink r:id="rId12" w:history="1">
                    <w:r w:rsidRPr="007A5DE0">
                      <w:rPr>
                        <w:rStyle w:val="Hyperlink"/>
                        <w:rFonts w:eastAsiaTheme="minorHAnsi"/>
                        <w:sz w:val="22"/>
                      </w:rPr>
                      <w:t>Thomas.mcnamee@ohioattorneygeneral.gov</w:t>
                    </w:r>
                  </w:hyperlink>
                </w:p>
                <w:p w:rsidR="007A5DE0" w:rsidRPr="007A5DE0" w:rsidP="002577BA" w14:paraId="503CEC97" w14:textId="77777777">
                  <w:pPr>
                    <w:adjustRightInd w:val="0"/>
                    <w:rPr>
                      <w:color w:val="0000FF"/>
                      <w:sz w:val="22"/>
                    </w:rPr>
                  </w:pPr>
                  <w:hyperlink r:id="rId13" w:history="1">
                    <w:r w:rsidRPr="007A5DE0">
                      <w:rPr>
                        <w:rStyle w:val="Hyperlink"/>
                        <w:rFonts w:eastAsiaTheme="minorHAnsi"/>
                        <w:sz w:val="22"/>
                      </w:rPr>
                      <w:t>dboehm@bkllawfirm.com</w:t>
                    </w:r>
                  </w:hyperlink>
                </w:p>
                <w:p w:rsidR="007A5DE0" w:rsidRPr="007A5DE0" w:rsidP="002577BA" w14:paraId="4C4D2E01" w14:textId="77777777">
                  <w:pPr>
                    <w:adjustRightInd w:val="0"/>
                    <w:rPr>
                      <w:color w:val="0000FF"/>
                      <w:sz w:val="22"/>
                    </w:rPr>
                  </w:pPr>
                  <w:hyperlink r:id="rId14" w:history="1">
                    <w:r w:rsidRPr="007A5DE0">
                      <w:rPr>
                        <w:rStyle w:val="Hyperlink"/>
                        <w:rFonts w:eastAsiaTheme="minorHAnsi"/>
                        <w:sz w:val="22"/>
                      </w:rPr>
                      <w:t>mkurtz@bkllawfirm.com</w:t>
                    </w:r>
                  </w:hyperlink>
                </w:p>
                <w:p w:rsidR="007A5DE0" w:rsidRPr="007A5DE0" w:rsidP="002577BA" w14:paraId="47EAAB56" w14:textId="77777777">
                  <w:pPr>
                    <w:adjustRightInd w:val="0"/>
                    <w:rPr>
                      <w:color w:val="0000FF"/>
                      <w:sz w:val="22"/>
                    </w:rPr>
                  </w:pPr>
                  <w:hyperlink r:id="rId15" w:history="1">
                    <w:r w:rsidRPr="007A5DE0">
                      <w:rPr>
                        <w:rStyle w:val="Hyperlink"/>
                        <w:rFonts w:eastAsiaTheme="minorHAnsi"/>
                        <w:sz w:val="22"/>
                      </w:rPr>
                      <w:t>jkylercohn@bkllawfirm.com</w:t>
                    </w:r>
                  </w:hyperlink>
                </w:p>
                <w:p w:rsidR="007A5DE0" w:rsidRPr="007A5DE0" w:rsidP="002577BA" w14:paraId="10BBED51" w14:textId="77777777">
                  <w:pPr>
                    <w:adjustRightInd w:val="0"/>
                    <w:rPr>
                      <w:color w:val="0000FF"/>
                      <w:sz w:val="22"/>
                    </w:rPr>
                  </w:pPr>
                  <w:hyperlink r:id="rId16" w:history="1">
                    <w:r w:rsidRPr="007A5DE0">
                      <w:rPr>
                        <w:rStyle w:val="Hyperlink"/>
                        <w:rFonts w:eastAsiaTheme="minorHAnsi"/>
                        <w:sz w:val="22"/>
                      </w:rPr>
                      <w:t>kboehm@bkllawfirm.com</w:t>
                    </w:r>
                  </w:hyperlink>
                </w:p>
                <w:p w:rsidR="007A5DE0" w:rsidRPr="007A5DE0" w:rsidP="002577BA" w14:paraId="148C058F" w14:textId="77777777">
                  <w:pPr>
                    <w:adjustRightInd w:val="0"/>
                    <w:rPr>
                      <w:color w:val="0000FF"/>
                      <w:sz w:val="22"/>
                    </w:rPr>
                  </w:pPr>
                  <w:hyperlink r:id="rId17" w:history="1">
                    <w:r w:rsidRPr="007A5DE0">
                      <w:rPr>
                        <w:rStyle w:val="Hyperlink"/>
                        <w:rFonts w:eastAsiaTheme="minorHAnsi"/>
                        <w:sz w:val="22"/>
                      </w:rPr>
                      <w:t>fdarr@mwncmh.com</w:t>
                    </w:r>
                  </w:hyperlink>
                </w:p>
                <w:p w:rsidR="007A5DE0" w:rsidRPr="007A5DE0" w:rsidP="002577BA" w14:paraId="5ABDFD37" w14:textId="77777777">
                  <w:pPr>
                    <w:adjustRightInd w:val="0"/>
                    <w:rPr>
                      <w:color w:val="0000FF"/>
                      <w:sz w:val="22"/>
                    </w:rPr>
                  </w:pPr>
                  <w:hyperlink r:id="rId18" w:history="1">
                    <w:r w:rsidRPr="007A5DE0">
                      <w:rPr>
                        <w:rStyle w:val="Hyperlink"/>
                        <w:rFonts w:eastAsiaTheme="minorHAnsi"/>
                        <w:sz w:val="22"/>
                      </w:rPr>
                      <w:t>mpritchard@mwncmh.com</w:t>
                    </w:r>
                  </w:hyperlink>
                </w:p>
                <w:p w:rsidR="007A5DE0" w:rsidRPr="007A5DE0" w:rsidP="002577BA" w14:paraId="45A7FEA6" w14:textId="77777777">
                  <w:pPr>
                    <w:adjustRightInd w:val="0"/>
                    <w:rPr>
                      <w:color w:val="0000FF"/>
                      <w:sz w:val="22"/>
                    </w:rPr>
                  </w:pPr>
                  <w:hyperlink r:id="rId19" w:history="1">
                    <w:r w:rsidRPr="007A5DE0">
                      <w:rPr>
                        <w:rStyle w:val="Hyperlink"/>
                        <w:rFonts w:eastAsiaTheme="minorHAnsi"/>
                        <w:sz w:val="22"/>
                      </w:rPr>
                      <w:t>mjsettineri@vorys.com</w:t>
                    </w:r>
                  </w:hyperlink>
                </w:p>
                <w:p w:rsidR="007A5DE0" w:rsidRPr="007A5DE0" w:rsidP="002577BA" w14:paraId="58E0EDB6" w14:textId="77777777">
                  <w:pPr>
                    <w:adjustRightInd w:val="0"/>
                    <w:rPr>
                      <w:color w:val="0000FF"/>
                      <w:sz w:val="22"/>
                    </w:rPr>
                  </w:pPr>
                  <w:hyperlink r:id="rId20" w:history="1">
                    <w:r w:rsidRPr="007A5DE0">
                      <w:rPr>
                        <w:rStyle w:val="Hyperlink"/>
                        <w:rFonts w:eastAsiaTheme="minorHAnsi"/>
                        <w:sz w:val="22"/>
                      </w:rPr>
                      <w:t>glpetrucci@vorys.com</w:t>
                    </w:r>
                  </w:hyperlink>
                </w:p>
                <w:p w:rsidR="007A5DE0" w:rsidRPr="007A5DE0" w:rsidP="002577BA" w14:paraId="480C3CED" w14:textId="77777777">
                  <w:pPr>
                    <w:adjustRightInd w:val="0"/>
                    <w:rPr>
                      <w:color w:val="0000FF"/>
                      <w:sz w:val="22"/>
                    </w:rPr>
                  </w:pPr>
                  <w:hyperlink r:id="rId21" w:history="1">
                    <w:r w:rsidRPr="007A5DE0">
                      <w:rPr>
                        <w:rStyle w:val="Hyperlink"/>
                        <w:rFonts w:eastAsiaTheme="minorHAnsi"/>
                        <w:sz w:val="22"/>
                      </w:rPr>
                      <w:t>ibatikov@vorys.com</w:t>
                    </w:r>
                  </w:hyperlink>
                </w:p>
                <w:p w:rsidR="007A5DE0" w:rsidRPr="007A5DE0" w:rsidP="002577BA" w14:paraId="188A39D3" w14:textId="77777777">
                  <w:pPr>
                    <w:adjustRightInd w:val="0"/>
                    <w:rPr>
                      <w:color w:val="0000FF"/>
                      <w:sz w:val="22"/>
                    </w:rPr>
                  </w:pPr>
                  <w:hyperlink r:id="rId22" w:history="1">
                    <w:r w:rsidRPr="007A5DE0">
                      <w:rPr>
                        <w:rStyle w:val="Hyperlink"/>
                        <w:rFonts w:eastAsiaTheme="minorHAnsi"/>
                        <w:sz w:val="22"/>
                      </w:rPr>
                      <w:t>wasieck@vorys.com</w:t>
                    </w:r>
                  </w:hyperlink>
                </w:p>
                <w:p w:rsidR="007A5DE0" w:rsidRPr="007A5DE0" w:rsidP="002577BA" w14:paraId="09D91272" w14:textId="77777777">
                  <w:pPr>
                    <w:adjustRightInd w:val="0"/>
                    <w:rPr>
                      <w:color w:val="0000FF"/>
                      <w:sz w:val="22"/>
                    </w:rPr>
                  </w:pPr>
                  <w:hyperlink r:id="rId23" w:history="1">
                    <w:r w:rsidRPr="007A5DE0">
                      <w:rPr>
                        <w:rStyle w:val="Hyperlink"/>
                        <w:rFonts w:eastAsiaTheme="minorHAnsi"/>
                        <w:sz w:val="22"/>
                      </w:rPr>
                      <w:t>mleppla@theoec.org</w:t>
                    </w:r>
                  </w:hyperlink>
                </w:p>
                <w:p w:rsidR="007A5DE0" w:rsidRPr="007A5DE0" w:rsidP="002577BA" w14:paraId="67A55B21" w14:textId="77777777">
                  <w:pPr>
                    <w:adjustRightInd w:val="0"/>
                    <w:rPr>
                      <w:color w:val="0000FF"/>
                      <w:sz w:val="22"/>
                    </w:rPr>
                  </w:pPr>
                  <w:hyperlink r:id="rId24" w:history="1">
                    <w:r w:rsidRPr="007A5DE0">
                      <w:rPr>
                        <w:rStyle w:val="Hyperlink"/>
                        <w:rFonts w:eastAsiaTheme="minorHAnsi"/>
                        <w:sz w:val="22"/>
                      </w:rPr>
                      <w:t>cmooney@ohiopartners.org</w:t>
                    </w:r>
                  </w:hyperlink>
                </w:p>
                <w:p w:rsidR="007A5DE0" w:rsidRPr="007A5DE0" w:rsidP="002577BA" w14:paraId="4DA5F846" w14:textId="77777777">
                  <w:pPr>
                    <w:adjustRightInd w:val="0"/>
                    <w:rPr>
                      <w:color w:val="0000FF"/>
                      <w:sz w:val="22"/>
                    </w:rPr>
                  </w:pPr>
                  <w:hyperlink r:id="rId25" w:history="1">
                    <w:r w:rsidRPr="007A5DE0">
                      <w:rPr>
                        <w:rStyle w:val="Hyperlink"/>
                        <w:rFonts w:eastAsiaTheme="minorHAnsi"/>
                        <w:sz w:val="22"/>
                      </w:rPr>
                      <w:t>joliker@igsenergy.com</w:t>
                    </w:r>
                  </w:hyperlink>
                </w:p>
                <w:p w:rsidR="007A5DE0" w:rsidRPr="007A5DE0" w:rsidP="002577BA" w14:paraId="733275DC" w14:textId="77777777">
                  <w:pPr>
                    <w:adjustRightInd w:val="0"/>
                    <w:rPr>
                      <w:color w:val="0000FF"/>
                      <w:sz w:val="22"/>
                    </w:rPr>
                  </w:pPr>
                  <w:hyperlink r:id="rId26" w:history="1">
                    <w:r w:rsidRPr="007A5DE0">
                      <w:rPr>
                        <w:rStyle w:val="Hyperlink"/>
                        <w:rFonts w:eastAsiaTheme="minorHAnsi"/>
                        <w:sz w:val="22"/>
                      </w:rPr>
                      <w:t>mswhite@igsenergy.com</w:t>
                    </w:r>
                  </w:hyperlink>
                </w:p>
                <w:p w:rsidR="007A5DE0" w:rsidRPr="007A5DE0" w:rsidP="002577BA" w14:paraId="71E0705B" w14:textId="77777777">
                  <w:pPr>
                    <w:adjustRightInd w:val="0"/>
                    <w:rPr>
                      <w:color w:val="0000FF"/>
                      <w:sz w:val="22"/>
                    </w:rPr>
                  </w:pPr>
                  <w:hyperlink r:id="rId27" w:history="1">
                    <w:r w:rsidRPr="007A5DE0">
                      <w:rPr>
                        <w:rStyle w:val="Hyperlink"/>
                        <w:rFonts w:eastAsiaTheme="minorHAnsi"/>
                        <w:sz w:val="22"/>
                      </w:rPr>
                      <w:t>ebetterton@igsenergy.com</w:t>
                    </w:r>
                  </w:hyperlink>
                </w:p>
                <w:p w:rsidR="007A5DE0" w:rsidRPr="007A5DE0" w:rsidP="002577BA" w14:paraId="4A434194" w14:textId="77777777">
                  <w:pPr>
                    <w:adjustRightInd w:val="0"/>
                    <w:rPr>
                      <w:color w:val="0000FF"/>
                      <w:sz w:val="22"/>
                    </w:rPr>
                  </w:pPr>
                  <w:hyperlink r:id="rId28" w:history="1">
                    <w:r w:rsidRPr="007A5DE0">
                      <w:rPr>
                        <w:rStyle w:val="Hyperlink"/>
                        <w:rFonts w:eastAsiaTheme="minorHAnsi"/>
                        <w:sz w:val="22"/>
                      </w:rPr>
                      <w:t>Slesser@calfee.com</w:t>
                    </w:r>
                  </w:hyperlink>
                </w:p>
                <w:p w:rsidR="007A5DE0" w:rsidRPr="007A5DE0" w:rsidP="002577BA" w14:paraId="1137A19C" w14:textId="77777777">
                  <w:pPr>
                    <w:adjustRightInd w:val="0"/>
                    <w:rPr>
                      <w:color w:val="0000FF"/>
                      <w:sz w:val="22"/>
                    </w:rPr>
                  </w:pPr>
                  <w:hyperlink r:id="rId29" w:history="1">
                    <w:r w:rsidRPr="007A5DE0">
                      <w:rPr>
                        <w:rStyle w:val="Hyperlink"/>
                        <w:rFonts w:eastAsiaTheme="minorHAnsi"/>
                        <w:sz w:val="22"/>
                      </w:rPr>
                      <w:t>jlang@calfee.com</w:t>
                    </w:r>
                  </w:hyperlink>
                </w:p>
                <w:p w:rsidR="007A5DE0" w:rsidRPr="007A5DE0" w:rsidP="002577BA" w14:paraId="1E3FA528" w14:textId="77777777">
                  <w:pPr>
                    <w:adjustRightInd w:val="0"/>
                    <w:rPr>
                      <w:color w:val="0000FF"/>
                      <w:sz w:val="22"/>
                    </w:rPr>
                  </w:pPr>
                  <w:hyperlink r:id="rId30" w:history="1">
                    <w:r w:rsidRPr="007A5DE0">
                      <w:rPr>
                        <w:rStyle w:val="Hyperlink"/>
                        <w:rFonts w:eastAsiaTheme="minorHAnsi"/>
                        <w:sz w:val="22"/>
                      </w:rPr>
                      <w:t>talexander@calfee.com</w:t>
                    </w:r>
                  </w:hyperlink>
                </w:p>
                <w:p w:rsidR="007A5DE0" w:rsidRPr="007A5DE0" w:rsidP="002577BA" w14:paraId="0AAFADF3" w14:textId="77777777">
                  <w:pPr>
                    <w:adjustRightInd w:val="0"/>
                    <w:rPr>
                      <w:color w:val="0000FF"/>
                      <w:sz w:val="22"/>
                    </w:rPr>
                  </w:pPr>
                  <w:hyperlink r:id="rId31" w:history="1">
                    <w:r w:rsidRPr="007A5DE0">
                      <w:rPr>
                        <w:rStyle w:val="Hyperlink"/>
                        <w:rFonts w:eastAsiaTheme="minorHAnsi"/>
                        <w:sz w:val="22"/>
                      </w:rPr>
                      <w:t>mkeaney@calfee.com</w:t>
                    </w:r>
                  </w:hyperlink>
                </w:p>
                <w:p w:rsidR="007A5DE0" w:rsidRPr="007A5DE0" w:rsidP="002577BA" w14:paraId="10B10285" w14:textId="77777777">
                  <w:pPr>
                    <w:adjustRightInd w:val="0"/>
                    <w:rPr>
                      <w:color w:val="0000FF"/>
                      <w:sz w:val="22"/>
                    </w:rPr>
                  </w:pPr>
                  <w:hyperlink r:id="rId28" w:history="1">
                    <w:r w:rsidRPr="007A5DE0">
                      <w:rPr>
                        <w:rStyle w:val="Hyperlink"/>
                        <w:rFonts w:eastAsiaTheme="minorHAnsi"/>
                        <w:sz w:val="22"/>
                      </w:rPr>
                      <w:t>slesser@calfee.com</w:t>
                    </w:r>
                  </w:hyperlink>
                </w:p>
                <w:p w:rsidR="007A5DE0" w:rsidRPr="007A5DE0" w:rsidP="002577BA" w14:paraId="71BA677A" w14:textId="77777777">
                  <w:pPr>
                    <w:adjustRightInd w:val="0"/>
                    <w:rPr>
                      <w:color w:val="0000FF"/>
                      <w:sz w:val="22"/>
                    </w:rPr>
                  </w:pPr>
                  <w:hyperlink r:id="rId32" w:history="1">
                    <w:r w:rsidRPr="007A5DE0">
                      <w:rPr>
                        <w:rStyle w:val="Hyperlink"/>
                        <w:rFonts w:eastAsiaTheme="minorHAnsi"/>
                        <w:sz w:val="22"/>
                      </w:rPr>
                      <w:t>elizabeth.watts@duke-energy.com</w:t>
                    </w:r>
                  </w:hyperlink>
                </w:p>
                <w:p w:rsidR="007A5DE0" w:rsidRPr="007A5DE0" w:rsidP="002577BA" w14:paraId="1720B83F" w14:textId="77777777">
                  <w:pPr>
                    <w:adjustRightInd w:val="0"/>
                    <w:rPr>
                      <w:color w:val="0000FF"/>
                      <w:sz w:val="22"/>
                    </w:rPr>
                  </w:pPr>
                  <w:hyperlink r:id="rId33" w:history="1">
                    <w:r w:rsidRPr="007A5DE0">
                      <w:rPr>
                        <w:rStyle w:val="Hyperlink"/>
                        <w:rFonts w:eastAsiaTheme="minorHAnsi"/>
                        <w:sz w:val="22"/>
                      </w:rPr>
                      <w:t>jeanne.kingery@duke-energy.com</w:t>
                    </w:r>
                  </w:hyperlink>
                </w:p>
                <w:p w:rsidR="007A5DE0" w:rsidRPr="007A5DE0" w:rsidP="002577BA" w14:paraId="5D49055A" w14:textId="77777777">
                  <w:pPr>
                    <w:adjustRightInd w:val="0"/>
                    <w:rPr>
                      <w:color w:val="0000FF"/>
                      <w:sz w:val="22"/>
                    </w:rPr>
                  </w:pPr>
                  <w:hyperlink r:id="rId34" w:history="1">
                    <w:r w:rsidRPr="007A5DE0">
                      <w:rPr>
                        <w:rStyle w:val="Hyperlink"/>
                        <w:rFonts w:eastAsiaTheme="minorHAnsi"/>
                        <w:sz w:val="22"/>
                      </w:rPr>
                      <w:t>gthomas@gtpowergroup.com</w:t>
                    </w:r>
                  </w:hyperlink>
                </w:p>
                <w:p w:rsidR="007A5DE0" w:rsidRPr="007A5DE0" w:rsidP="002577BA" w14:paraId="555F3DF0" w14:textId="77777777">
                  <w:pPr>
                    <w:adjustRightInd w:val="0"/>
                    <w:rPr>
                      <w:color w:val="0000FF"/>
                      <w:sz w:val="22"/>
                    </w:rPr>
                  </w:pPr>
                  <w:hyperlink r:id="rId35" w:history="1">
                    <w:r w:rsidRPr="007A5DE0">
                      <w:rPr>
                        <w:rStyle w:val="Hyperlink"/>
                        <w:rFonts w:eastAsiaTheme="minorHAnsi"/>
                        <w:sz w:val="22"/>
                      </w:rPr>
                      <w:t>stheodore@epsa.org</w:t>
                    </w:r>
                  </w:hyperlink>
                </w:p>
                <w:p w:rsidR="007A5DE0" w:rsidRPr="007A5DE0" w:rsidP="002577BA" w14:paraId="41D7FDC6" w14:textId="77777777">
                  <w:pPr>
                    <w:adjustRightInd w:val="0"/>
                    <w:rPr>
                      <w:color w:val="0000FF"/>
                      <w:sz w:val="22"/>
                    </w:rPr>
                  </w:pPr>
                  <w:hyperlink r:id="rId36" w:history="1">
                    <w:r w:rsidRPr="007A5DE0">
                      <w:rPr>
                        <w:rStyle w:val="Hyperlink"/>
                        <w:rFonts w:eastAsiaTheme="minorHAnsi"/>
                        <w:sz w:val="22"/>
                      </w:rPr>
                      <w:t>laurac@chappelleconsulting.net</w:t>
                    </w:r>
                  </w:hyperlink>
                </w:p>
                <w:p w:rsidR="007A5DE0" w:rsidRPr="007A5DE0" w:rsidP="002577BA" w14:paraId="162F69C0" w14:textId="77777777">
                  <w:pPr>
                    <w:adjustRightInd w:val="0"/>
                    <w:rPr>
                      <w:color w:val="0000FF"/>
                      <w:sz w:val="22"/>
                    </w:rPr>
                  </w:pPr>
                  <w:hyperlink r:id="rId37" w:history="1">
                    <w:r w:rsidRPr="007A5DE0">
                      <w:rPr>
                        <w:rStyle w:val="Hyperlink"/>
                        <w:rFonts w:eastAsiaTheme="minorHAnsi"/>
                        <w:sz w:val="22"/>
                      </w:rPr>
                      <w:t>jdoll@djflawfirm.com</w:t>
                    </w:r>
                  </w:hyperlink>
                </w:p>
                <w:p w:rsidR="007A5DE0" w:rsidRPr="007318B0" w:rsidP="002577BA" w14:paraId="33F8B5E7" w14:textId="77777777">
                  <w:pPr>
                    <w:adjustRightInd w:val="0"/>
                    <w:rPr>
                      <w:sz w:val="22"/>
                    </w:rPr>
                  </w:pPr>
                  <w:r w:rsidRPr="007318B0">
                    <w:rPr>
                      <w:rFonts w:eastAsiaTheme="minorHAnsi"/>
                      <w:sz w:val="22"/>
                    </w:rPr>
                    <w:t xml:space="preserve"> </w:t>
                  </w:r>
                </w:p>
                <w:p w:rsidR="007A5DE0" w:rsidRPr="007318B0" w:rsidP="002577BA" w14:paraId="67673FE0" w14:textId="77777777">
                  <w:pPr>
                    <w:adjustRightInd w:val="0"/>
                    <w:rPr>
                      <w:sz w:val="22"/>
                    </w:rPr>
                  </w:pPr>
                  <w:r w:rsidRPr="007318B0">
                    <w:rPr>
                      <w:rFonts w:eastAsiaTheme="minorHAnsi"/>
                      <w:sz w:val="22"/>
                    </w:rPr>
                    <w:t>Attorney Examiners:</w:t>
                  </w:r>
                </w:p>
                <w:p w:rsidR="007A5DE0" w:rsidRPr="007A5DE0" w:rsidP="002577BA" w14:paraId="49A6A2CF" w14:textId="77777777">
                  <w:pPr>
                    <w:adjustRightInd w:val="0"/>
                    <w:rPr>
                      <w:color w:val="0000FF"/>
                      <w:sz w:val="22"/>
                    </w:rPr>
                  </w:pPr>
                  <w:hyperlink r:id="rId38" w:history="1">
                    <w:r w:rsidRPr="007A5DE0">
                      <w:rPr>
                        <w:rStyle w:val="Hyperlink"/>
                        <w:rFonts w:eastAsiaTheme="minorHAnsi"/>
                        <w:sz w:val="22"/>
                      </w:rPr>
                      <w:t>gregory.price@puco.ohio.gov</w:t>
                    </w:r>
                  </w:hyperlink>
                </w:p>
                <w:p w:rsidR="007A5DE0" w:rsidRPr="007318B0" w:rsidP="002577BA" w14:paraId="18C0AAA8" w14:textId="77777777">
                  <w:pPr>
                    <w:adjustRightInd w:val="0"/>
                    <w:rPr>
                      <w:sz w:val="22"/>
                    </w:rPr>
                  </w:pPr>
                  <w:hyperlink r:id="rId39" w:history="1">
                    <w:r w:rsidRPr="007A5DE0">
                      <w:rPr>
                        <w:rStyle w:val="Hyperlink"/>
                        <w:rFonts w:eastAsiaTheme="minorHAnsi"/>
                        <w:sz w:val="22"/>
                      </w:rPr>
                      <w:t>patricia.schabo@puco.ohio.gov</w:t>
                    </w:r>
                  </w:hyperlink>
                  <w:r>
                    <w:rPr>
                      <w:rFonts w:eastAsiaTheme="minorHAnsi"/>
                      <w:sz w:val="22"/>
                    </w:rPr>
                    <w:t xml:space="preserve"> </w:t>
                  </w:r>
                </w:p>
              </w:tc>
              <w:tc>
                <w:tcPr>
                  <w:tcW w:w="4640" w:type="dxa"/>
                </w:tcPr>
                <w:p w:rsidR="007A5DE0" w:rsidRPr="007A5DE0" w:rsidP="002577BA" w14:paraId="325F9F23" w14:textId="77777777">
                  <w:pPr>
                    <w:adjustRightInd w:val="0"/>
                    <w:rPr>
                      <w:color w:val="0000FF"/>
                      <w:sz w:val="22"/>
                    </w:rPr>
                  </w:pPr>
                  <w:hyperlink r:id="rId40" w:history="1">
                    <w:r w:rsidRPr="007A5DE0">
                      <w:rPr>
                        <w:rStyle w:val="Hyperlink"/>
                        <w:rFonts w:eastAsiaTheme="minorHAnsi"/>
                        <w:sz w:val="22"/>
                      </w:rPr>
                      <w:t>michael.schuler@aes.com</w:t>
                    </w:r>
                  </w:hyperlink>
                </w:p>
                <w:p w:rsidR="007A5DE0" w:rsidRPr="007A5DE0" w:rsidP="002577BA" w14:paraId="1968CCB9" w14:textId="77777777">
                  <w:pPr>
                    <w:adjustRightInd w:val="0"/>
                    <w:rPr>
                      <w:color w:val="0000FF"/>
                      <w:sz w:val="22"/>
                    </w:rPr>
                  </w:pPr>
                  <w:hyperlink r:id="rId41" w:history="1">
                    <w:r w:rsidRPr="007A5DE0">
                      <w:rPr>
                        <w:rStyle w:val="Hyperlink"/>
                        <w:rFonts w:eastAsiaTheme="minorHAnsi"/>
                        <w:sz w:val="22"/>
                      </w:rPr>
                      <w:t>djireland@ficlaw.com</w:t>
                    </w:r>
                  </w:hyperlink>
                </w:p>
                <w:p w:rsidR="007A5DE0" w:rsidRPr="007A5DE0" w:rsidP="002577BA" w14:paraId="648281DD" w14:textId="77777777">
                  <w:pPr>
                    <w:adjustRightInd w:val="0"/>
                    <w:rPr>
                      <w:color w:val="0000FF"/>
                      <w:sz w:val="22"/>
                    </w:rPr>
                  </w:pPr>
                  <w:hyperlink r:id="rId42" w:history="1">
                    <w:r w:rsidRPr="007A5DE0">
                      <w:rPr>
                        <w:rStyle w:val="Hyperlink"/>
                        <w:rFonts w:eastAsiaTheme="minorHAnsi"/>
                        <w:sz w:val="22"/>
                      </w:rPr>
                      <w:t>jsharkey@ficlaw.com</w:t>
                    </w:r>
                  </w:hyperlink>
                </w:p>
                <w:p w:rsidR="007A5DE0" w:rsidRPr="007A5DE0" w:rsidP="002577BA" w14:paraId="7DBCDF03" w14:textId="77777777">
                  <w:pPr>
                    <w:adjustRightInd w:val="0"/>
                    <w:rPr>
                      <w:color w:val="0000FF"/>
                      <w:sz w:val="22"/>
                    </w:rPr>
                  </w:pPr>
                  <w:hyperlink r:id="rId43" w:history="1">
                    <w:r w:rsidRPr="007A5DE0">
                      <w:rPr>
                        <w:rStyle w:val="Hyperlink"/>
                        <w:rFonts w:eastAsiaTheme="minorHAnsi"/>
                        <w:sz w:val="22"/>
                      </w:rPr>
                      <w:t>mfleisher@elpc.org</w:t>
                    </w:r>
                  </w:hyperlink>
                </w:p>
                <w:p w:rsidR="007A5DE0" w:rsidRPr="007A5DE0" w:rsidP="002577BA" w14:paraId="51C46D3A" w14:textId="77777777">
                  <w:pPr>
                    <w:adjustRightInd w:val="0"/>
                    <w:rPr>
                      <w:color w:val="0000FF"/>
                      <w:sz w:val="22"/>
                    </w:rPr>
                  </w:pPr>
                  <w:hyperlink r:id="rId44" w:history="1">
                    <w:r w:rsidRPr="007A5DE0">
                      <w:rPr>
                        <w:rStyle w:val="Hyperlink"/>
                        <w:rFonts w:eastAsiaTheme="minorHAnsi"/>
                        <w:sz w:val="22"/>
                      </w:rPr>
                      <w:t>kfield@elpc.org</w:t>
                    </w:r>
                  </w:hyperlink>
                </w:p>
                <w:p w:rsidR="007A5DE0" w:rsidRPr="007A5DE0" w:rsidP="002577BA" w14:paraId="779F1CB7" w14:textId="77777777">
                  <w:pPr>
                    <w:adjustRightInd w:val="0"/>
                    <w:rPr>
                      <w:color w:val="0000FF"/>
                      <w:sz w:val="22"/>
                    </w:rPr>
                  </w:pPr>
                  <w:hyperlink r:id="rId45" w:history="1">
                    <w:r w:rsidRPr="007A5DE0">
                      <w:rPr>
                        <w:rStyle w:val="Hyperlink"/>
                        <w:rFonts w:eastAsiaTheme="minorHAnsi"/>
                        <w:sz w:val="22"/>
                      </w:rPr>
                      <w:t>jeffrey.mayes@monitoringanalytics.com</w:t>
                    </w:r>
                  </w:hyperlink>
                </w:p>
                <w:p w:rsidR="007A5DE0" w:rsidRPr="007A5DE0" w:rsidP="002577BA" w14:paraId="2E1D7FBC" w14:textId="77777777">
                  <w:pPr>
                    <w:adjustRightInd w:val="0"/>
                    <w:rPr>
                      <w:color w:val="0000FF"/>
                      <w:sz w:val="22"/>
                    </w:rPr>
                  </w:pPr>
                  <w:hyperlink r:id="rId46" w:history="1">
                    <w:r w:rsidRPr="007A5DE0">
                      <w:rPr>
                        <w:rStyle w:val="Hyperlink"/>
                        <w:rFonts w:eastAsiaTheme="minorHAnsi"/>
                        <w:sz w:val="22"/>
                      </w:rPr>
                      <w:t>evelyn.robinson@pjm.com</w:t>
                    </w:r>
                  </w:hyperlink>
                </w:p>
                <w:p w:rsidR="007A5DE0" w:rsidRPr="007A5DE0" w:rsidP="002577BA" w14:paraId="3CBA0E76" w14:textId="77777777">
                  <w:pPr>
                    <w:adjustRightInd w:val="0"/>
                    <w:rPr>
                      <w:color w:val="0000FF"/>
                      <w:sz w:val="22"/>
                    </w:rPr>
                  </w:pPr>
                  <w:hyperlink r:id="rId47" w:history="1">
                    <w:r w:rsidRPr="007A5DE0">
                      <w:rPr>
                        <w:rStyle w:val="Hyperlink"/>
                        <w:rFonts w:eastAsiaTheme="minorHAnsi"/>
                        <w:sz w:val="22"/>
                      </w:rPr>
                      <w:t>schmidt@sppgrp.com</w:t>
                    </w:r>
                  </w:hyperlink>
                </w:p>
                <w:p w:rsidR="007A5DE0" w:rsidRPr="007A5DE0" w:rsidP="002577BA" w14:paraId="48C9A36D" w14:textId="77777777">
                  <w:pPr>
                    <w:adjustRightInd w:val="0"/>
                    <w:rPr>
                      <w:color w:val="0000FF"/>
                      <w:sz w:val="22"/>
                    </w:rPr>
                  </w:pPr>
                  <w:hyperlink r:id="rId48" w:history="1">
                    <w:r w:rsidRPr="007A5DE0">
                      <w:rPr>
                        <w:rStyle w:val="Hyperlink"/>
                        <w:rFonts w:eastAsiaTheme="minorHAnsi"/>
                        <w:sz w:val="22"/>
                      </w:rPr>
                      <w:t>rsahli@columbus.rr.com</w:t>
                    </w:r>
                  </w:hyperlink>
                </w:p>
                <w:p w:rsidR="007A5DE0" w:rsidRPr="007A5DE0" w:rsidP="002577BA" w14:paraId="7A8F6F46" w14:textId="77777777">
                  <w:pPr>
                    <w:adjustRightInd w:val="0"/>
                    <w:rPr>
                      <w:color w:val="0000FF"/>
                      <w:sz w:val="22"/>
                    </w:rPr>
                  </w:pPr>
                  <w:hyperlink r:id="rId49" w:history="1">
                    <w:r w:rsidRPr="007A5DE0">
                      <w:rPr>
                        <w:rStyle w:val="Hyperlink"/>
                        <w:rFonts w:eastAsiaTheme="minorHAnsi"/>
                        <w:sz w:val="22"/>
                      </w:rPr>
                      <w:t>tony.mendoza@sierraclub.org</w:t>
                    </w:r>
                  </w:hyperlink>
                </w:p>
                <w:p w:rsidR="007A5DE0" w:rsidRPr="007A5DE0" w:rsidP="002577BA" w14:paraId="6BACD919" w14:textId="77777777">
                  <w:pPr>
                    <w:adjustRightInd w:val="0"/>
                    <w:rPr>
                      <w:color w:val="0000FF"/>
                      <w:sz w:val="22"/>
                    </w:rPr>
                  </w:pPr>
                  <w:hyperlink r:id="rId50" w:history="1">
                    <w:r w:rsidRPr="007A5DE0">
                      <w:rPr>
                        <w:rStyle w:val="Hyperlink"/>
                        <w:rFonts w:eastAsiaTheme="minorHAnsi"/>
                        <w:sz w:val="22"/>
                      </w:rPr>
                      <w:t>kristin.henry@sierraclub.org</w:t>
                    </w:r>
                  </w:hyperlink>
                </w:p>
                <w:p w:rsidR="007A5DE0" w:rsidRPr="007A5DE0" w:rsidP="002577BA" w14:paraId="611179E8" w14:textId="77777777">
                  <w:pPr>
                    <w:adjustRightInd w:val="0"/>
                    <w:rPr>
                      <w:color w:val="0000FF"/>
                      <w:sz w:val="22"/>
                    </w:rPr>
                  </w:pPr>
                  <w:hyperlink r:id="rId51" w:history="1">
                    <w:r w:rsidRPr="007A5DE0">
                      <w:rPr>
                        <w:rStyle w:val="Hyperlink"/>
                        <w:rFonts w:eastAsiaTheme="minorHAnsi"/>
                        <w:sz w:val="22"/>
                      </w:rPr>
                      <w:t>mdortch@kravitzllc.com</w:t>
                    </w:r>
                  </w:hyperlink>
                </w:p>
                <w:p w:rsidR="007A5DE0" w:rsidRPr="007A5DE0" w:rsidP="002577BA" w14:paraId="767EB3C9" w14:textId="77777777">
                  <w:pPr>
                    <w:adjustRightInd w:val="0"/>
                    <w:rPr>
                      <w:color w:val="0000FF"/>
                      <w:sz w:val="22"/>
                    </w:rPr>
                  </w:pPr>
                  <w:hyperlink r:id="rId52" w:history="1">
                    <w:r w:rsidRPr="007A5DE0">
                      <w:rPr>
                        <w:rStyle w:val="Hyperlink"/>
                        <w:rFonts w:eastAsiaTheme="minorHAnsi"/>
                        <w:sz w:val="22"/>
                      </w:rPr>
                      <w:t>rparsons@kravitzllc.com</w:t>
                    </w:r>
                  </w:hyperlink>
                </w:p>
                <w:p w:rsidR="007A5DE0" w:rsidRPr="007A5DE0" w:rsidP="002577BA" w14:paraId="75C4258B" w14:textId="77777777">
                  <w:pPr>
                    <w:adjustRightInd w:val="0"/>
                    <w:rPr>
                      <w:color w:val="0000FF"/>
                      <w:sz w:val="22"/>
                    </w:rPr>
                  </w:pPr>
                  <w:hyperlink r:id="rId53" w:history="1">
                    <w:r w:rsidRPr="007A5DE0">
                      <w:rPr>
                        <w:rStyle w:val="Hyperlink"/>
                        <w:rFonts w:eastAsiaTheme="minorHAnsi"/>
                        <w:sz w:val="22"/>
                      </w:rPr>
                      <w:t>Bojko@carpenterlipps.com</w:t>
                    </w:r>
                  </w:hyperlink>
                </w:p>
                <w:p w:rsidR="007A5DE0" w:rsidRPr="007A5DE0" w:rsidP="002577BA" w14:paraId="00E14BB2" w14:textId="77777777">
                  <w:pPr>
                    <w:adjustRightInd w:val="0"/>
                    <w:rPr>
                      <w:color w:val="0000FF"/>
                      <w:sz w:val="22"/>
                    </w:rPr>
                  </w:pPr>
                  <w:hyperlink r:id="rId54" w:history="1">
                    <w:r w:rsidRPr="007A5DE0">
                      <w:rPr>
                        <w:rStyle w:val="Hyperlink"/>
                        <w:rFonts w:eastAsiaTheme="minorHAnsi"/>
                        <w:sz w:val="22"/>
                      </w:rPr>
                      <w:t>perko@carpenterlipps.com</w:t>
                    </w:r>
                  </w:hyperlink>
                </w:p>
                <w:p w:rsidR="007A5DE0" w:rsidRPr="007A5DE0" w:rsidP="002577BA" w14:paraId="5E21AB6D" w14:textId="77777777">
                  <w:pPr>
                    <w:adjustRightInd w:val="0"/>
                    <w:rPr>
                      <w:color w:val="0000FF"/>
                      <w:sz w:val="22"/>
                    </w:rPr>
                  </w:pPr>
                  <w:hyperlink r:id="rId55" w:history="1">
                    <w:r w:rsidRPr="007A5DE0">
                      <w:rPr>
                        <w:rStyle w:val="Hyperlink"/>
                        <w:rFonts w:eastAsiaTheme="minorHAnsi"/>
                        <w:sz w:val="22"/>
                      </w:rPr>
                      <w:t>Ghiloni@carpenterlipps.com</w:t>
                    </w:r>
                  </w:hyperlink>
                </w:p>
                <w:p w:rsidR="007A5DE0" w:rsidRPr="007A5DE0" w:rsidP="002577BA" w14:paraId="4CBA648B" w14:textId="77777777">
                  <w:pPr>
                    <w:adjustRightInd w:val="0"/>
                    <w:rPr>
                      <w:color w:val="0000FF"/>
                      <w:sz w:val="22"/>
                    </w:rPr>
                  </w:pPr>
                  <w:hyperlink r:id="rId56" w:history="1">
                    <w:r w:rsidRPr="007A5DE0">
                      <w:rPr>
                        <w:rStyle w:val="Hyperlink"/>
                        <w:rFonts w:eastAsiaTheme="minorHAnsi"/>
                        <w:sz w:val="22"/>
                      </w:rPr>
                      <w:t>paul@carpenterlipps.com</w:t>
                    </w:r>
                  </w:hyperlink>
                </w:p>
                <w:p w:rsidR="007A5DE0" w:rsidRPr="007A5DE0" w:rsidP="002577BA" w14:paraId="25AFF5AD" w14:textId="77777777">
                  <w:pPr>
                    <w:adjustRightInd w:val="0"/>
                    <w:rPr>
                      <w:color w:val="0000FF"/>
                      <w:sz w:val="22"/>
                    </w:rPr>
                  </w:pPr>
                  <w:hyperlink r:id="rId57" w:history="1">
                    <w:r w:rsidRPr="007A5DE0">
                      <w:rPr>
                        <w:rStyle w:val="Hyperlink"/>
                        <w:rFonts w:eastAsiaTheme="minorHAnsi"/>
                        <w:sz w:val="22"/>
                      </w:rPr>
                      <w:t>sechler@carpenterlipps.com</w:t>
                    </w:r>
                  </w:hyperlink>
                </w:p>
                <w:p w:rsidR="007A5DE0" w:rsidRPr="007A5DE0" w:rsidP="002577BA" w14:paraId="6A70A4C5" w14:textId="77777777">
                  <w:pPr>
                    <w:adjustRightInd w:val="0"/>
                    <w:rPr>
                      <w:color w:val="0000FF"/>
                      <w:sz w:val="22"/>
                    </w:rPr>
                  </w:pPr>
                  <w:hyperlink r:id="rId58" w:history="1">
                    <w:r w:rsidRPr="007A5DE0">
                      <w:rPr>
                        <w:rStyle w:val="Hyperlink"/>
                        <w:rFonts w:eastAsiaTheme="minorHAnsi"/>
                        <w:sz w:val="22"/>
                      </w:rPr>
                      <w:t>mwarnock@bricker.com</w:t>
                    </w:r>
                  </w:hyperlink>
                </w:p>
                <w:p w:rsidR="007A5DE0" w:rsidRPr="007A5DE0" w:rsidP="002577BA" w14:paraId="7E6DF8DF" w14:textId="77777777">
                  <w:pPr>
                    <w:adjustRightInd w:val="0"/>
                    <w:rPr>
                      <w:color w:val="0000FF"/>
                      <w:sz w:val="22"/>
                    </w:rPr>
                  </w:pPr>
                  <w:hyperlink r:id="rId59" w:history="1">
                    <w:r w:rsidRPr="007A5DE0">
                      <w:rPr>
                        <w:rStyle w:val="Hyperlink"/>
                        <w:rFonts w:eastAsiaTheme="minorHAnsi"/>
                        <w:sz w:val="22"/>
                      </w:rPr>
                      <w:t>dparram@bricker.com</w:t>
                    </w:r>
                  </w:hyperlink>
                </w:p>
                <w:p w:rsidR="007A5DE0" w:rsidRPr="007A5DE0" w:rsidP="002577BA" w14:paraId="5BF18503" w14:textId="77777777">
                  <w:pPr>
                    <w:adjustRightInd w:val="0"/>
                    <w:rPr>
                      <w:color w:val="0000FF"/>
                      <w:sz w:val="22"/>
                    </w:rPr>
                  </w:pPr>
                  <w:hyperlink r:id="rId60" w:history="1">
                    <w:r w:rsidRPr="007A5DE0">
                      <w:rPr>
                        <w:rStyle w:val="Hyperlink"/>
                        <w:rFonts w:eastAsiaTheme="minorHAnsi"/>
                        <w:sz w:val="22"/>
                      </w:rPr>
                      <w:t>dborchers@bricker.com</w:t>
                    </w:r>
                  </w:hyperlink>
                </w:p>
                <w:p w:rsidR="007A5DE0" w:rsidRPr="007A5DE0" w:rsidP="002577BA" w14:paraId="5B88A39F" w14:textId="77777777">
                  <w:pPr>
                    <w:adjustRightInd w:val="0"/>
                    <w:rPr>
                      <w:color w:val="0000FF"/>
                      <w:sz w:val="22"/>
                    </w:rPr>
                  </w:pPr>
                  <w:hyperlink r:id="rId61" w:history="1">
                    <w:r w:rsidRPr="007A5DE0">
                      <w:rPr>
                        <w:rStyle w:val="Hyperlink"/>
                        <w:rFonts w:eastAsiaTheme="minorHAnsi"/>
                        <w:sz w:val="22"/>
                      </w:rPr>
                      <w:t>lhawrot@spilmanlaw.com</w:t>
                    </w:r>
                  </w:hyperlink>
                </w:p>
                <w:p w:rsidR="007A5DE0" w:rsidRPr="007A5DE0" w:rsidP="002577BA" w14:paraId="23F9FB4E" w14:textId="77777777">
                  <w:pPr>
                    <w:adjustRightInd w:val="0"/>
                    <w:rPr>
                      <w:color w:val="0000FF"/>
                      <w:sz w:val="22"/>
                    </w:rPr>
                  </w:pPr>
                  <w:hyperlink r:id="rId62" w:history="1">
                    <w:r w:rsidRPr="007A5DE0">
                      <w:rPr>
                        <w:rStyle w:val="Hyperlink"/>
                        <w:rFonts w:eastAsiaTheme="minorHAnsi"/>
                        <w:sz w:val="22"/>
                      </w:rPr>
                      <w:t>dwilliamson@spilmanlaw.com</w:t>
                    </w:r>
                  </w:hyperlink>
                </w:p>
                <w:p w:rsidR="007A5DE0" w:rsidRPr="007A5DE0" w:rsidP="002577BA" w14:paraId="482AB26E" w14:textId="77777777">
                  <w:pPr>
                    <w:adjustRightInd w:val="0"/>
                    <w:rPr>
                      <w:color w:val="0000FF"/>
                      <w:sz w:val="22"/>
                    </w:rPr>
                  </w:pPr>
                  <w:hyperlink r:id="rId63" w:history="1">
                    <w:r w:rsidRPr="007A5DE0">
                      <w:rPr>
                        <w:rStyle w:val="Hyperlink"/>
                        <w:rFonts w:eastAsiaTheme="minorHAnsi"/>
                        <w:sz w:val="22"/>
                      </w:rPr>
                      <w:t>charris@spilmanlaw.com</w:t>
                    </w:r>
                  </w:hyperlink>
                </w:p>
                <w:p w:rsidR="007A5DE0" w:rsidRPr="007A5DE0" w:rsidP="002577BA" w14:paraId="290C10A9" w14:textId="77777777">
                  <w:pPr>
                    <w:adjustRightInd w:val="0"/>
                    <w:rPr>
                      <w:color w:val="0000FF"/>
                      <w:sz w:val="22"/>
                    </w:rPr>
                  </w:pPr>
                  <w:hyperlink r:id="rId64" w:history="1">
                    <w:r w:rsidRPr="007A5DE0">
                      <w:rPr>
                        <w:rStyle w:val="Hyperlink"/>
                        <w:rFonts w:eastAsiaTheme="minorHAnsi"/>
                        <w:sz w:val="22"/>
                      </w:rPr>
                      <w:t>ejacobs@ablelaw.org</w:t>
                    </w:r>
                  </w:hyperlink>
                </w:p>
                <w:p w:rsidR="007A5DE0" w:rsidRPr="007A5DE0" w:rsidP="002577BA" w14:paraId="4EE7F00C" w14:textId="77777777">
                  <w:pPr>
                    <w:adjustRightInd w:val="0"/>
                    <w:rPr>
                      <w:color w:val="0000FF"/>
                      <w:sz w:val="22"/>
                    </w:rPr>
                  </w:pPr>
                  <w:hyperlink r:id="rId65" w:history="1">
                    <w:r w:rsidRPr="007A5DE0">
                      <w:rPr>
                        <w:rStyle w:val="Hyperlink"/>
                        <w:rFonts w:eastAsiaTheme="minorHAnsi"/>
                        <w:sz w:val="22"/>
                      </w:rPr>
                      <w:t>rseiler@dickinsonwright.com</w:t>
                    </w:r>
                  </w:hyperlink>
                </w:p>
                <w:p w:rsidR="007A5DE0" w:rsidRPr="007A5DE0" w:rsidP="002577BA" w14:paraId="32F0CF3B" w14:textId="77777777">
                  <w:pPr>
                    <w:adjustRightInd w:val="0"/>
                    <w:rPr>
                      <w:color w:val="0000FF"/>
                      <w:sz w:val="22"/>
                    </w:rPr>
                  </w:pPr>
                  <w:hyperlink r:id="rId66" w:history="1">
                    <w:r w:rsidRPr="007A5DE0">
                      <w:rPr>
                        <w:rStyle w:val="Hyperlink"/>
                        <w:rFonts w:eastAsiaTheme="minorHAnsi"/>
                        <w:sz w:val="22"/>
                      </w:rPr>
                      <w:t>cpirik@dickinsonwright.com</w:t>
                    </w:r>
                  </w:hyperlink>
                </w:p>
                <w:p w:rsidR="007A5DE0" w:rsidRPr="007A5DE0" w:rsidP="002577BA" w14:paraId="5B4AE03A" w14:textId="77777777">
                  <w:pPr>
                    <w:adjustRightInd w:val="0"/>
                    <w:rPr>
                      <w:color w:val="0000FF"/>
                      <w:sz w:val="22"/>
                    </w:rPr>
                  </w:pPr>
                  <w:hyperlink r:id="rId67" w:history="1">
                    <w:r w:rsidRPr="007A5DE0">
                      <w:rPr>
                        <w:rStyle w:val="Hyperlink"/>
                        <w:rFonts w:eastAsiaTheme="minorHAnsi"/>
                        <w:sz w:val="22"/>
                      </w:rPr>
                      <w:t>wvorys@dickinsonwright.com</w:t>
                    </w:r>
                  </w:hyperlink>
                </w:p>
                <w:p w:rsidR="007A5DE0" w:rsidRPr="007A5DE0" w:rsidP="002577BA" w14:paraId="6288EA15" w14:textId="77777777">
                  <w:pPr>
                    <w:adjustRightInd w:val="0"/>
                    <w:rPr>
                      <w:color w:val="0000FF"/>
                      <w:sz w:val="22"/>
                    </w:rPr>
                  </w:pPr>
                  <w:hyperlink r:id="rId68" w:history="1">
                    <w:r w:rsidRPr="007A5DE0">
                      <w:rPr>
                        <w:rStyle w:val="Hyperlink"/>
                        <w:rFonts w:eastAsiaTheme="minorHAnsi"/>
                        <w:sz w:val="22"/>
                      </w:rPr>
                      <w:t>todonnell@dickinsonwright.com</w:t>
                    </w:r>
                  </w:hyperlink>
                </w:p>
                <w:p w:rsidR="007A5DE0" w:rsidRPr="007318B0" w:rsidP="002577BA" w14:paraId="5C937604" w14:textId="77777777">
                  <w:pPr>
                    <w:adjustRightInd w:val="0"/>
                    <w:rPr>
                      <w:sz w:val="22"/>
                    </w:rPr>
                  </w:pPr>
                </w:p>
              </w:tc>
            </w:tr>
          </w:tbl>
          <w:p w:rsidR="007A5DE0" w:rsidRPr="0088324A" w:rsidP="002577BA" w14:paraId="095694DD" w14:textId="77777777">
            <w:pPr>
              <w:autoSpaceDE w:val="0"/>
              <w:autoSpaceDN w:val="0"/>
              <w:adjustRightInd w:val="0"/>
              <w:rPr>
                <w:sz w:val="20"/>
                <w:szCs w:val="20"/>
                <w:u w:val="single"/>
              </w:rPr>
            </w:pPr>
          </w:p>
        </w:tc>
        <w:tc>
          <w:tcPr>
            <w:tcW w:w="4128" w:type="dxa"/>
          </w:tcPr>
          <w:p w:rsidR="007A5DE0" w:rsidRPr="00384E58" w:rsidP="002577BA" w14:paraId="5999AABD" w14:textId="77777777">
            <w:pPr>
              <w:autoSpaceDE w:val="0"/>
              <w:autoSpaceDN w:val="0"/>
              <w:adjustRightInd w:val="0"/>
              <w:rPr>
                <w:rFonts w:eastAsiaTheme="minorHAnsi"/>
                <w:sz w:val="20"/>
                <w:szCs w:val="20"/>
              </w:rPr>
            </w:pPr>
          </w:p>
        </w:tc>
      </w:tr>
    </w:tbl>
    <w:p w:rsidR="00A46CDB" w:rsidRPr="00E666E3" w:rsidP="007A5DE0" w14:paraId="57043261" w14:textId="77777777">
      <w:pPr>
        <w:ind w:left="3600" w:firstLine="720"/>
        <w:rPr>
          <w:b/>
          <w:bCs/>
        </w:rPr>
      </w:pPr>
    </w:p>
    <w:sectPr w:rsidSect="007A5DE0">
      <w:headerReference w:type="default" r:id="rId69"/>
      <w:footerReference w:type="default" r:id="rId70"/>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7BA" w:rsidRPr="007A5DE0" w14:paraId="041A6451" w14:textId="2D7F19E6">
    <w:pPr>
      <w:pStyle w:val="Footer"/>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7673314"/>
      <w:docPartObj>
        <w:docPartGallery w:val="Page Numbers (Bottom of Page)"/>
        <w:docPartUnique/>
      </w:docPartObj>
    </w:sdtPr>
    <w:sdtEndPr>
      <w:rPr>
        <w:noProof/>
        <w:sz w:val="24"/>
      </w:rPr>
    </w:sdtEndPr>
    <w:sdtContent>
      <w:p w:rsidR="00BB1479" w:rsidRPr="00BB1479" w14:paraId="23A3318D" w14:textId="02F5ADA8">
        <w:pPr>
          <w:pStyle w:val="Footer"/>
          <w:jc w:val="center"/>
          <w:rPr>
            <w:sz w:val="24"/>
          </w:rPr>
        </w:pPr>
        <w:r w:rsidRPr="00BB1479">
          <w:rPr>
            <w:sz w:val="24"/>
          </w:rPr>
          <w:fldChar w:fldCharType="begin"/>
        </w:r>
        <w:r w:rsidRPr="00BB1479">
          <w:rPr>
            <w:sz w:val="24"/>
          </w:rPr>
          <w:instrText xml:space="preserve"> PAGE   \* MERGEFORMAT </w:instrText>
        </w:r>
        <w:r w:rsidRPr="00BB1479">
          <w:rPr>
            <w:sz w:val="24"/>
          </w:rPr>
          <w:fldChar w:fldCharType="separate"/>
        </w:r>
        <w:r w:rsidRPr="00BB1479">
          <w:rPr>
            <w:noProof/>
            <w:sz w:val="24"/>
          </w:rPr>
          <w:t>2</w:t>
        </w:r>
        <w:r w:rsidRPr="00BB1479">
          <w:rPr>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79A0" w14:paraId="03ECEFDE" w14:textId="3AFE537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0094794"/>
      <w:docPartObj>
        <w:docPartGallery w:val="Page Numbers (Bottom of Page)"/>
        <w:docPartUnique/>
      </w:docPartObj>
    </w:sdtPr>
    <w:sdtEndPr>
      <w:rPr>
        <w:noProof/>
        <w:sz w:val="24"/>
      </w:rPr>
    </w:sdtEndPr>
    <w:sdtContent>
      <w:p w:rsidR="007479A0" w:rsidRPr="007479A0" w14:paraId="0BCD04C9" w14:textId="71C33C6D">
        <w:pPr>
          <w:pStyle w:val="Footer"/>
          <w:jc w:val="center"/>
          <w:rPr>
            <w:sz w:val="24"/>
          </w:rPr>
        </w:pPr>
        <w:r w:rsidRPr="007479A0">
          <w:rPr>
            <w:sz w:val="24"/>
          </w:rPr>
          <w:fldChar w:fldCharType="begin"/>
        </w:r>
        <w:r w:rsidRPr="007479A0">
          <w:rPr>
            <w:sz w:val="24"/>
          </w:rPr>
          <w:instrText xml:space="preserve"> PAGE   \* MERGEFORMAT </w:instrText>
        </w:r>
        <w:r w:rsidRPr="007479A0">
          <w:rPr>
            <w:sz w:val="24"/>
          </w:rPr>
          <w:fldChar w:fldCharType="separate"/>
        </w:r>
        <w:r w:rsidRPr="007479A0">
          <w:rPr>
            <w:noProof/>
            <w:sz w:val="24"/>
          </w:rPr>
          <w:t>2</w:t>
        </w:r>
        <w:r w:rsidRPr="007479A0">
          <w:rPr>
            <w:noProof/>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6513823"/>
      <w:docPartObj>
        <w:docPartGallery w:val="Page Numbers (Bottom of Page)"/>
        <w:docPartUnique/>
      </w:docPartObj>
    </w:sdtPr>
    <w:sdtEndPr>
      <w:rPr>
        <w:noProof/>
        <w:sz w:val="24"/>
      </w:rPr>
    </w:sdtEndPr>
    <w:sdtContent>
      <w:p w:rsidR="002577BA" w:rsidRPr="007A5DE0" w14:paraId="52A73C6E" w14:textId="71AF3443">
        <w:pPr>
          <w:pStyle w:val="Footer"/>
          <w:jc w:val="center"/>
          <w:rPr>
            <w:sz w:val="24"/>
          </w:rPr>
        </w:pPr>
        <w:r w:rsidRPr="007A5DE0">
          <w:rPr>
            <w:sz w:val="24"/>
          </w:rPr>
          <w:fldChar w:fldCharType="begin"/>
        </w:r>
        <w:r w:rsidRPr="007A5DE0">
          <w:rPr>
            <w:sz w:val="24"/>
          </w:rPr>
          <w:instrText xml:space="preserve"> PAGE   \* MERGEFORMAT </w:instrText>
        </w:r>
        <w:r w:rsidRPr="007A5DE0">
          <w:rPr>
            <w:sz w:val="24"/>
          </w:rPr>
          <w:fldChar w:fldCharType="separate"/>
        </w:r>
        <w:r w:rsidRPr="007A5DE0">
          <w:rPr>
            <w:noProof/>
            <w:sz w:val="24"/>
          </w:rPr>
          <w:t>2</w:t>
        </w:r>
        <w:r w:rsidRPr="007A5DE0">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26E1" w14:paraId="327025F1" w14:textId="77777777">
      <w:r>
        <w:separator/>
      </w:r>
    </w:p>
  </w:footnote>
  <w:footnote w:type="continuationSeparator" w:id="1">
    <w:p w:rsidR="002826E1" w14:paraId="3D306111" w14:textId="77777777">
      <w:r>
        <w:continuationSeparator/>
      </w:r>
    </w:p>
  </w:footnote>
  <w:footnote w:id="2">
    <w:p w:rsidR="002577BA" w:rsidRPr="00207B2E" w:rsidP="00E5338E" w14:paraId="0AC8A59E" w14:textId="642D9BAA">
      <w:pPr>
        <w:pStyle w:val="FootnoteText"/>
        <w:spacing w:after="120"/>
      </w:pPr>
      <w:r w:rsidRPr="00207B2E">
        <w:rPr>
          <w:rStyle w:val="FootnoteReference"/>
        </w:rPr>
        <w:footnoteRef/>
      </w:r>
      <w:r w:rsidRPr="00207B2E">
        <w:t xml:space="preserve"> </w:t>
      </w:r>
      <w:r w:rsidRPr="00207B2E">
        <w:rPr>
          <w:i/>
        </w:rPr>
        <w:t>See</w:t>
      </w:r>
      <w:r w:rsidRPr="00207B2E">
        <w:rPr>
          <w:iCs/>
        </w:rPr>
        <w:t xml:space="preserve"> </w:t>
      </w:r>
      <w:r w:rsidRPr="00207B2E">
        <w:t>Supplemental Opinion and Order (November 21, 2019).</w:t>
      </w:r>
    </w:p>
  </w:footnote>
  <w:footnote w:id="3">
    <w:p w:rsidR="00B41C50" w:rsidRPr="00207B2E" w:rsidP="00B41C50" w14:paraId="3039A23D" w14:textId="77777777">
      <w:pPr>
        <w:pStyle w:val="FootnoteText"/>
        <w:spacing w:after="120"/>
      </w:pPr>
      <w:r w:rsidRPr="00207B2E">
        <w:rPr>
          <w:rStyle w:val="FootnoteReference"/>
        </w:rPr>
        <w:footnoteRef/>
      </w:r>
      <w:r w:rsidRPr="00207B2E">
        <w:t xml:space="preserve"> </w:t>
      </w:r>
      <w:r w:rsidRPr="00207B2E">
        <w:rPr>
          <w:i/>
          <w:iCs/>
        </w:rPr>
        <w:t>See</w:t>
      </w:r>
      <w:r w:rsidRPr="00207B2E">
        <w:rPr>
          <w:iCs/>
        </w:rPr>
        <w:t xml:space="preserve"> </w:t>
      </w:r>
      <w:r w:rsidRPr="00207B2E">
        <w:t>Memorandum Contra DP&amp;L’s Motions to Withdraw its Application and Implement Previously Authorized Rates (to Increase Charges to Consumers) by The Office of the Ohio Consumers’ Counsel, The Ohio Manufacturers’ Association Energy Group, The Kroger Company, and IGS Energy (December 4, 2019) (“Memorandum Contra”). The parties that filed the Memorandum Contra are referred to herein as the “Consumer Parties.”</w:t>
      </w:r>
    </w:p>
  </w:footnote>
  <w:footnote w:id="4">
    <w:p w:rsidR="00B41C50" w:rsidRPr="00207B2E" w:rsidP="00B41C50" w14:paraId="2E11BBC1" w14:textId="77777777">
      <w:pPr>
        <w:pStyle w:val="FootnoteText"/>
        <w:spacing w:after="120"/>
        <w:rPr>
          <w:iCs/>
        </w:rPr>
      </w:pPr>
      <w:r w:rsidRPr="00207B2E">
        <w:rPr>
          <w:rStyle w:val="FootnoteReference"/>
        </w:rPr>
        <w:footnoteRef/>
      </w:r>
      <w:r w:rsidRPr="00207B2E">
        <w:t xml:space="preserve"> </w:t>
      </w:r>
      <w:r w:rsidRPr="00207B2E">
        <w:rPr>
          <w:i/>
          <w:iCs/>
        </w:rPr>
        <w:t>See, e.g., Motor Service Co. v. PUCO</w:t>
      </w:r>
      <w:r w:rsidRPr="00207B2E">
        <w:t xml:space="preserve">, 39 Ohio St.2d 5 (1974); </w:t>
      </w:r>
      <w:r w:rsidRPr="00207B2E">
        <w:rPr>
          <w:i/>
          <w:iCs/>
        </w:rPr>
        <w:t>Ohio Consumers’ Counsel v. PUCO</w:t>
      </w:r>
      <w:r w:rsidRPr="00207B2E">
        <w:t>, 111 Ohio St.3d 300 (2006).</w:t>
      </w:r>
    </w:p>
  </w:footnote>
  <w:footnote w:id="5">
    <w:p w:rsidR="00B41C50" w:rsidRPr="00207B2E" w:rsidP="00B41C50" w14:paraId="7E3EFF6E" w14:textId="77777777">
      <w:pPr>
        <w:pStyle w:val="FootnoteText"/>
        <w:spacing w:after="120"/>
        <w:rPr>
          <w:iCs/>
        </w:rPr>
      </w:pPr>
      <w:r w:rsidRPr="00207B2E">
        <w:rPr>
          <w:rStyle w:val="FootnoteReference"/>
        </w:rPr>
        <w:footnoteRef/>
      </w:r>
      <w:r w:rsidRPr="00207B2E">
        <w:t xml:space="preserve"> </w:t>
      </w:r>
      <w:r w:rsidRPr="00207B2E">
        <w:rPr>
          <w:i/>
          <w:iCs/>
        </w:rPr>
        <w:t>See, e.g</w:t>
      </w:r>
      <w:r w:rsidRPr="00207B2E">
        <w:rPr>
          <w:iCs/>
        </w:rPr>
        <w:t xml:space="preserve">., </w:t>
      </w:r>
      <w:r w:rsidRPr="00207B2E">
        <w:rPr>
          <w:i/>
          <w:iCs/>
        </w:rPr>
        <w:t>Motor Service Co. v. PUCO</w:t>
      </w:r>
      <w:r w:rsidRPr="00207B2E">
        <w:t xml:space="preserve">, 39 Ohio St.2d 5 (1974); </w:t>
      </w:r>
      <w:r w:rsidRPr="00207B2E">
        <w:rPr>
          <w:i/>
          <w:iCs/>
        </w:rPr>
        <w:t>Ohio Consumers’ Counsel v. PUCO</w:t>
      </w:r>
      <w:r w:rsidRPr="00207B2E">
        <w:rPr>
          <w:i/>
        </w:rPr>
        <w:t>,</w:t>
      </w:r>
      <w:r w:rsidRPr="00207B2E">
        <w:t xml:space="preserve"> 111 Ohio St.3d 300 (2006).</w:t>
      </w:r>
    </w:p>
  </w:footnote>
  <w:footnote w:id="6">
    <w:p w:rsidR="002577BA" w:rsidRPr="00EA64B8" w:rsidP="00E5338E" w14:paraId="175DB3BF" w14:textId="567D9CC5">
      <w:pPr>
        <w:pStyle w:val="FootnoteText"/>
        <w:spacing w:after="120"/>
      </w:pPr>
      <w:r>
        <w:rPr>
          <w:rStyle w:val="FootnoteReference"/>
        </w:rPr>
        <w:footnoteRef/>
      </w:r>
      <w:r>
        <w:t xml:space="preserve"> </w:t>
      </w:r>
      <w:r>
        <w:rPr>
          <w:i/>
        </w:rPr>
        <w:t xml:space="preserve">See </w:t>
      </w:r>
      <w:r w:rsidR="002D3E55">
        <w:t xml:space="preserve">Finding and Order </w:t>
      </w:r>
      <w:r w:rsidR="00C304DF">
        <w:t xml:space="preserve">(December 18, 2019) </w:t>
      </w:r>
      <w:r>
        <w:t>at 7.</w:t>
      </w:r>
    </w:p>
  </w:footnote>
  <w:footnote w:id="7">
    <w:p w:rsidR="002577BA" w:rsidRPr="00EA348C" w:rsidP="00E5338E" w14:paraId="517A1B78" w14:textId="221AAD7A">
      <w:pPr>
        <w:pStyle w:val="FootnoteText"/>
        <w:spacing w:after="120"/>
      </w:pPr>
      <w:r w:rsidRPr="00EA348C">
        <w:rPr>
          <w:rStyle w:val="FootnoteReference"/>
        </w:rPr>
        <w:footnoteRef/>
      </w:r>
      <w:r w:rsidRPr="00EA348C">
        <w:t xml:space="preserve"> </w:t>
      </w:r>
      <w:r w:rsidRPr="00207B2E" w:rsidR="00F62C02">
        <w:rPr>
          <w:i/>
        </w:rPr>
        <w:t>See</w:t>
      </w:r>
      <w:r w:rsidRPr="00207B2E" w:rsidR="00F62C02">
        <w:rPr>
          <w:iCs/>
        </w:rPr>
        <w:t xml:space="preserve"> </w:t>
      </w:r>
      <w:r w:rsidRPr="00207B2E" w:rsidR="00F62C02">
        <w:t>Supplemental Opinion and Order (November 21, 2019)</w:t>
      </w:r>
      <w:r w:rsidR="00F62C02">
        <w:t xml:space="preserve"> at </w:t>
      </w:r>
      <w:r w:rsidR="00F67F06">
        <w:t>¶¶ 88-110</w:t>
      </w:r>
      <w:r w:rsidRPr="00207B2E" w:rsidR="00F62C02">
        <w:t>.</w:t>
      </w:r>
    </w:p>
  </w:footnote>
  <w:footnote w:id="8">
    <w:p w:rsidR="002577BA" w:rsidP="00E5338E" w14:paraId="4090C72C" w14:textId="49C27584">
      <w:pPr>
        <w:pStyle w:val="FootnoteText"/>
        <w:spacing w:after="120"/>
      </w:pPr>
      <w:r>
        <w:rPr>
          <w:rStyle w:val="FootnoteReference"/>
        </w:rPr>
        <w:footnoteRef/>
      </w:r>
      <w:r>
        <w:t xml:space="preserve"> </w:t>
      </w:r>
      <w:r>
        <w:rPr>
          <w:i/>
        </w:rPr>
        <w:t xml:space="preserve">See </w:t>
      </w:r>
      <w:r w:rsidRPr="00946F0C">
        <w:rPr>
          <w:i/>
        </w:rPr>
        <w:t>Cleveland Electric Illuminating Co. v. Pub. Util. Com.</w:t>
      </w:r>
      <w:r w:rsidRPr="00946F0C">
        <w:t>, 46 Ohio St.2d 105 (1976).</w:t>
      </w:r>
    </w:p>
  </w:footnote>
  <w:footnote w:id="9">
    <w:p w:rsidR="002577BA" w:rsidP="00E5338E" w14:paraId="0C640905" w14:textId="2D70E36D">
      <w:pPr>
        <w:pStyle w:val="FootnoteText"/>
        <w:spacing w:after="120"/>
      </w:pPr>
      <w:r>
        <w:rPr>
          <w:rStyle w:val="FootnoteReference"/>
        </w:rPr>
        <w:footnoteRef/>
      </w:r>
      <w:r>
        <w:t xml:space="preserve"> </w:t>
      </w:r>
      <w:r w:rsidRPr="00946F0C">
        <w:rPr>
          <w:i/>
        </w:rPr>
        <w:t>See</w:t>
      </w:r>
      <w:r w:rsidRPr="00946F0C">
        <w:t xml:space="preserve"> </w:t>
      </w:r>
      <w:r w:rsidRPr="00946F0C">
        <w:rPr>
          <w:i/>
        </w:rPr>
        <w:t xml:space="preserve">The Frankelite Company v. Lindley, </w:t>
      </w:r>
      <w:r w:rsidRPr="00946F0C">
        <w:t xml:space="preserve">28 Ohio St.3d 29 (1986) </w:t>
      </w:r>
      <w:r>
        <w:t>(citation omitted)</w:t>
      </w:r>
      <w:r w:rsidRPr="00946F0C">
        <w:t>.</w:t>
      </w:r>
    </w:p>
  </w:footnote>
  <w:footnote w:id="10">
    <w:p w:rsidR="009E6DEC" w:rsidRPr="009E6DEC" w:rsidP="00E5338E" w14:paraId="739C8E46" w14:textId="0D0CAD81">
      <w:pPr>
        <w:pStyle w:val="FootnoteText"/>
        <w:spacing w:after="120"/>
      </w:pPr>
      <w:r>
        <w:rPr>
          <w:rStyle w:val="FootnoteReference"/>
        </w:rPr>
        <w:footnoteRef/>
      </w:r>
      <w:r>
        <w:t xml:space="preserve"> </w:t>
      </w:r>
      <w:r w:rsidRPr="00207B2E" w:rsidR="00F67F06">
        <w:rPr>
          <w:i/>
        </w:rPr>
        <w:t>See</w:t>
      </w:r>
      <w:r w:rsidRPr="00207B2E" w:rsidR="00F67F06">
        <w:rPr>
          <w:iCs/>
        </w:rPr>
        <w:t xml:space="preserve"> </w:t>
      </w:r>
      <w:r w:rsidRPr="00207B2E" w:rsidR="00F67F06">
        <w:t>Supplemental Opinion and Order (November 21, 2019)</w:t>
      </w:r>
      <w:r w:rsidR="00F67F06">
        <w:t xml:space="preserve"> at ¶¶ 88-110</w:t>
      </w:r>
      <w:r w:rsidRPr="00207B2E" w:rsidR="00F67F06">
        <w:t>.</w:t>
      </w:r>
    </w:p>
  </w:footnote>
  <w:footnote w:id="11">
    <w:p w:rsidR="002577BA" w:rsidP="00E5338E" w14:paraId="459E49D5" w14:textId="78EBF8C4">
      <w:pPr>
        <w:pStyle w:val="FootnoteText"/>
        <w:spacing w:after="120"/>
      </w:pPr>
      <w:r>
        <w:rPr>
          <w:rStyle w:val="FootnoteReference"/>
        </w:rPr>
        <w:footnoteRef/>
      </w:r>
      <w:r>
        <w:t xml:space="preserve"> </w:t>
      </w:r>
      <w:r w:rsidRPr="00946F0C">
        <w:rPr>
          <w:rStyle w:val="ssrfcpassagedeactivated"/>
          <w:i/>
        </w:rPr>
        <w:t xml:space="preserve">See </w:t>
      </w:r>
      <w:r w:rsidRPr="00946F0C">
        <w:rPr>
          <w:rStyle w:val="ssit"/>
          <w:i/>
          <w:iCs/>
        </w:rPr>
        <w:t>Maxfield v. Brooks</w:t>
      </w:r>
      <w:r w:rsidRPr="00946F0C">
        <w:rPr>
          <w:rStyle w:val="ssrfcpassagedeactivated"/>
        </w:rPr>
        <w:t xml:space="preserve"> 110 Ohio St. 566 (1924); </w:t>
      </w:r>
      <w:r w:rsidRPr="00946F0C">
        <w:rPr>
          <w:rStyle w:val="ssit"/>
          <w:i/>
          <w:iCs/>
        </w:rPr>
        <w:t>State ex rel. Bigelow v. Butterfield</w:t>
      </w:r>
      <w:r w:rsidRPr="00946F0C">
        <w:rPr>
          <w:rStyle w:val="ssrfcpassagedeactivated"/>
        </w:rPr>
        <w:t>, 132 Ohio St. 5 (1936).</w:t>
      </w:r>
    </w:p>
  </w:footnote>
  <w:footnote w:id="12">
    <w:p w:rsidR="002577BA" w:rsidP="00E5338E" w14:paraId="14E5D719" w14:textId="74649EC2">
      <w:pPr>
        <w:pStyle w:val="FootnoteText"/>
        <w:spacing w:after="120"/>
      </w:pPr>
      <w:r>
        <w:rPr>
          <w:rStyle w:val="FootnoteReference"/>
        </w:rPr>
        <w:footnoteRef/>
      </w:r>
      <w:r>
        <w:t xml:space="preserve"> </w:t>
      </w:r>
      <w:r w:rsidRPr="00946F0C">
        <w:rPr>
          <w:i/>
        </w:rPr>
        <w:t>See Consumers’ Counsel v. Pub. Util. Comm</w:t>
      </w:r>
      <w:r w:rsidRPr="00946F0C">
        <w:t xml:space="preserve">., 6 Ohio St.3d 405, 410 (1983); </w:t>
      </w:r>
      <w:r w:rsidRPr="00946F0C">
        <w:rPr>
          <w:i/>
        </w:rPr>
        <w:t>Consumers’ Counsel v. Pub. Util. Comm</w:t>
      </w:r>
      <w:r w:rsidRPr="00946F0C">
        <w:t>., 6 Ohio St.3d 412, 415 (1983).</w:t>
      </w:r>
    </w:p>
  </w:footnote>
  <w:footnote w:id="13">
    <w:p w:rsidR="002577BA" w:rsidP="00E5338E" w14:paraId="0024DCE1" w14:textId="4DB3FD48">
      <w:pPr>
        <w:pStyle w:val="FootnoteText"/>
        <w:spacing w:after="120"/>
      </w:pPr>
      <w:r>
        <w:rPr>
          <w:rStyle w:val="FootnoteReference"/>
        </w:rPr>
        <w:footnoteRef/>
      </w:r>
      <w:r>
        <w:t xml:space="preserve"> </w:t>
      </w:r>
      <w:r w:rsidRPr="00946F0C">
        <w:rPr>
          <w:rStyle w:val="ssit"/>
          <w:i/>
          <w:iCs/>
        </w:rPr>
        <w:t>Maxfield v. Brooks.</w:t>
      </w:r>
    </w:p>
  </w:footnote>
  <w:footnote w:id="14">
    <w:p w:rsidR="002577BA" w:rsidP="00E5338E" w14:paraId="4610A788" w14:textId="4BE1EB22">
      <w:pPr>
        <w:pStyle w:val="FootnoteText"/>
        <w:spacing w:after="120"/>
      </w:pPr>
      <w:r>
        <w:rPr>
          <w:rStyle w:val="FootnoteReference"/>
        </w:rPr>
        <w:footnoteRef/>
      </w:r>
      <w:r>
        <w:t xml:space="preserve"> </w:t>
      </w:r>
      <w:r w:rsidRPr="00946F0C">
        <w:rPr>
          <w:i/>
        </w:rPr>
        <w:t>Hays v. Lewis</w:t>
      </w:r>
      <w:r w:rsidRPr="00946F0C">
        <w:t xml:space="preserve">, 28 Ohio St. 326 (1876), citing </w:t>
      </w:r>
      <w:r w:rsidRPr="00946F0C">
        <w:rPr>
          <w:i/>
        </w:rPr>
        <w:t>Hirn v. The State</w:t>
      </w:r>
      <w:r w:rsidRPr="00946F0C">
        <w:t>, 1 Ohio St. 15 (1852).</w:t>
      </w:r>
    </w:p>
  </w:footnote>
  <w:footnote w:id="15">
    <w:p w:rsidR="002577BA" w:rsidP="00E5338E" w14:paraId="6AE03457" w14:textId="167717C5">
      <w:pPr>
        <w:pStyle w:val="FootnoteText"/>
        <w:spacing w:after="120"/>
      </w:pPr>
      <w:r>
        <w:rPr>
          <w:rStyle w:val="FootnoteReference"/>
        </w:rPr>
        <w:footnoteRef/>
      </w:r>
      <w:r>
        <w:t xml:space="preserve"> </w:t>
      </w:r>
      <w:r>
        <w:rPr>
          <w:i/>
        </w:rPr>
        <w:t xml:space="preserve">See </w:t>
      </w:r>
      <w:r w:rsidRPr="00946F0C">
        <w:rPr>
          <w:i/>
        </w:rPr>
        <w:t>In re the Application of The Dayton Power and Light Company for Approval of its Electric Security Plan</w:t>
      </w:r>
      <w:r w:rsidRPr="00946F0C">
        <w:t>, Pub. Util. Comm. No. 08-1094-EL-SSO, Opinion and Order at 4 (June 24, 2009).</w:t>
      </w:r>
    </w:p>
  </w:footnote>
  <w:footnote w:id="16">
    <w:p w:rsidR="002577BA" w:rsidRPr="00EA348C" w:rsidP="00E5338E" w14:paraId="20FB508F" w14:textId="77777777">
      <w:pPr>
        <w:pStyle w:val="FootnoteText"/>
        <w:spacing w:after="120"/>
      </w:pPr>
      <w:r w:rsidRPr="00EA348C">
        <w:rPr>
          <w:rStyle w:val="FootnoteReference"/>
        </w:rPr>
        <w:footnoteRef/>
      </w:r>
      <w:r w:rsidRPr="00EA348C">
        <w:t xml:space="preserve"> </w:t>
      </w:r>
      <w:r w:rsidRPr="00EA348C">
        <w:rPr>
          <w:i/>
        </w:rPr>
        <w:t>See</w:t>
      </w:r>
      <w:r w:rsidRPr="00EA348C">
        <w:rPr>
          <w:iCs/>
        </w:rPr>
        <w:t xml:space="preserve"> </w:t>
      </w:r>
      <w:r w:rsidRPr="00EA348C">
        <w:t xml:space="preserve">Notice of Filing Proposed Tariffs at 2 (DP&amp;L </w:t>
      </w:r>
      <w:r w:rsidRPr="00EA348C">
        <w:rPr>
          <w:color w:val="000000"/>
        </w:rPr>
        <w:t>states that it “will honor existing contracts with winning competitive bid suppliers through the end of their term (May 2021) and maintain current PJM obligations for all suppliers.”).</w:t>
      </w:r>
    </w:p>
  </w:footnote>
  <w:footnote w:id="17">
    <w:p w:rsidR="002577BA" w:rsidRPr="00EA348C" w:rsidP="00E5338E" w14:paraId="644E3159" w14:textId="77777777">
      <w:pPr>
        <w:pStyle w:val="FootnoteText"/>
        <w:spacing w:after="120"/>
        <w:rPr>
          <w:i/>
          <w:iCs/>
        </w:rPr>
      </w:pPr>
      <w:r w:rsidRPr="00EA348C">
        <w:rPr>
          <w:rStyle w:val="FootnoteReference"/>
        </w:rPr>
        <w:footnoteRef/>
      </w:r>
      <w:r w:rsidRPr="00EA348C">
        <w:t xml:space="preserve"> </w:t>
      </w:r>
      <w:r w:rsidRPr="00EA348C">
        <w:rPr>
          <w:i/>
          <w:iCs/>
        </w:rPr>
        <w:t>See id.</w:t>
      </w:r>
    </w:p>
  </w:footnote>
  <w:footnote w:id="18">
    <w:p w:rsidR="002577BA" w:rsidP="00E5338E" w14:paraId="615CA9D6" w14:textId="5C024610">
      <w:pPr>
        <w:pStyle w:val="FootnoteText"/>
        <w:spacing w:after="120"/>
      </w:pPr>
      <w:r>
        <w:rPr>
          <w:rStyle w:val="FootnoteReference"/>
        </w:rPr>
        <w:footnoteRef/>
      </w:r>
      <w:r>
        <w:t xml:space="preserve"> </w:t>
      </w:r>
      <w:r w:rsidRPr="00035183">
        <w:rPr>
          <w:i/>
          <w:szCs w:val="20"/>
        </w:rPr>
        <w:t>Dorrian v. Scioto Conservancy Dist.</w:t>
      </w:r>
      <w:r w:rsidRPr="00035183">
        <w:rPr>
          <w:szCs w:val="20"/>
        </w:rPr>
        <w:t xml:space="preserve">, 27 Ohio St.2d 102,108 (1971); </w:t>
      </w:r>
      <w:r w:rsidRPr="00035183">
        <w:rPr>
          <w:i/>
          <w:szCs w:val="20"/>
        </w:rPr>
        <w:t>see also</w:t>
      </w:r>
      <w:r w:rsidRPr="00035183">
        <w:rPr>
          <w:szCs w:val="20"/>
        </w:rPr>
        <w:t xml:space="preserve"> </w:t>
      </w:r>
      <w:r w:rsidRPr="00035183">
        <w:rPr>
          <w:i/>
          <w:szCs w:val="20"/>
        </w:rPr>
        <w:t>Ohio Department of Liquor Control v. Sons of Italy Lodge 0917</w:t>
      </w:r>
      <w:r w:rsidRPr="00035183">
        <w:rPr>
          <w:szCs w:val="20"/>
        </w:rPr>
        <w:t>, 65 Ohio St.3d 532, 535 (1992).</w:t>
      </w:r>
    </w:p>
  </w:footnote>
  <w:footnote w:id="19">
    <w:p w:rsidR="002577BA" w:rsidRPr="00B9374D" w:rsidP="00E5338E" w14:paraId="5FDDE336" w14:textId="2C4B86BF">
      <w:pPr>
        <w:pStyle w:val="FootnoteText"/>
        <w:spacing w:after="120"/>
      </w:pPr>
      <w:r w:rsidRPr="00B9374D">
        <w:rPr>
          <w:rStyle w:val="FootnoteReference"/>
        </w:rPr>
        <w:footnoteRef/>
      </w:r>
      <w:r w:rsidRPr="00B9374D">
        <w:t xml:space="preserve"> </w:t>
      </w:r>
      <w:r w:rsidRPr="00900049">
        <w:rPr>
          <w:i/>
        </w:rPr>
        <w:t>See</w:t>
      </w:r>
      <w:r w:rsidRPr="00B9374D">
        <w:t xml:space="preserve"> R.C. 1.47(D)</w:t>
      </w:r>
      <w:r w:rsidRPr="004373BD">
        <w:t>,</w:t>
      </w:r>
      <w:r>
        <w:t xml:space="preserve"> </w:t>
      </w:r>
      <w:r w:rsidRPr="00B9374D">
        <w:t>stating that in enacting a statute, inter alia, a result feasible of execution is intended.</w:t>
      </w:r>
      <w:r w:rsidR="00035183">
        <w:t xml:space="preserve"> </w:t>
      </w:r>
    </w:p>
  </w:footnote>
  <w:footnote w:id="20">
    <w:p w:rsidR="00FC74B7" w:rsidRPr="00207B2E" w:rsidP="00FC74B7" w14:paraId="23EC8CCD" w14:textId="77777777">
      <w:pPr>
        <w:pStyle w:val="FootnoteText"/>
        <w:spacing w:after="120"/>
      </w:pPr>
      <w:r w:rsidRPr="00207B2E">
        <w:rPr>
          <w:rStyle w:val="FootnoteReference"/>
        </w:rPr>
        <w:footnoteRef/>
      </w:r>
      <w:r w:rsidRPr="00207B2E">
        <w:t xml:space="preserve"> </w:t>
      </w:r>
      <w:r w:rsidRPr="00207B2E">
        <w:rPr>
          <w:i/>
          <w:iCs/>
        </w:rPr>
        <w:t>See, e.g.,</w:t>
      </w:r>
      <w:r w:rsidRPr="00207B2E">
        <w:rPr>
          <w:iCs/>
        </w:rPr>
        <w:t xml:space="preserve"> </w:t>
      </w:r>
      <w:r w:rsidRPr="00E5338E">
        <w:rPr>
          <w:i/>
          <w:iCs/>
        </w:rPr>
        <w:t>MCI Telecommunications Corp. v. PUCO</w:t>
      </w:r>
      <w:r w:rsidRPr="00207B2E">
        <w:t>, 32 Ohio St.3d 306 (1987).</w:t>
      </w:r>
    </w:p>
  </w:footnote>
  <w:footnote w:id="21">
    <w:p w:rsidR="00FC74B7" w:rsidRPr="00207B2E" w:rsidP="00FC74B7" w14:paraId="44E260AD" w14:textId="77777777">
      <w:pPr>
        <w:pStyle w:val="FootnoteText"/>
        <w:spacing w:after="120"/>
      </w:pPr>
      <w:r w:rsidRPr="00207B2E">
        <w:rPr>
          <w:rStyle w:val="FootnoteReference"/>
        </w:rPr>
        <w:footnoteRef/>
      </w:r>
      <w:r w:rsidRPr="00207B2E">
        <w:t xml:space="preserve"> </w:t>
      </w:r>
      <w:r w:rsidRPr="00207B2E">
        <w:rPr>
          <w:i/>
          <w:iCs/>
        </w:rPr>
        <w:t>Commercial Motor Freight, Inc. v. PUCO</w:t>
      </w:r>
      <w:r w:rsidRPr="00207B2E">
        <w:t xml:space="preserve">, 156 Ohio St. 360, 364 (1951); </w:t>
      </w:r>
      <w:r w:rsidRPr="00207B2E">
        <w:rPr>
          <w:i/>
          <w:iCs/>
        </w:rPr>
        <w:t>see also Motor Service Co. v. PUCO</w:t>
      </w:r>
      <w:r w:rsidRPr="00207B2E">
        <w:t xml:space="preserve">, 39 Ohio St.2d 5 (1974); </w:t>
      </w:r>
      <w:r w:rsidRPr="00207B2E">
        <w:rPr>
          <w:i/>
          <w:iCs/>
        </w:rPr>
        <w:t>Ohio Consumers’ Counsel v. PUCO</w:t>
      </w:r>
      <w:r w:rsidRPr="00207B2E">
        <w:t>, 111 Ohio St.3d 300 (2006).</w:t>
      </w:r>
    </w:p>
  </w:footnote>
  <w:footnote w:id="22">
    <w:p w:rsidR="00FC74B7" w:rsidRPr="00F62C02" w:rsidP="00FC74B7" w14:paraId="3BA39C46" w14:textId="77777777">
      <w:pPr>
        <w:pStyle w:val="FootnoteText"/>
        <w:spacing w:after="120"/>
      </w:pPr>
      <w:r>
        <w:rPr>
          <w:rStyle w:val="FootnoteReference"/>
        </w:rPr>
        <w:footnoteRef/>
      </w:r>
      <w:r>
        <w:t xml:space="preserve"> </w:t>
      </w:r>
      <w:r>
        <w:rPr>
          <w:i/>
        </w:rPr>
        <w:t xml:space="preserve">See </w:t>
      </w:r>
      <w:r w:rsidRPr="00035183">
        <w:rPr>
          <w:i/>
        </w:rPr>
        <w:t xml:space="preserve">In re Comm’n Review of the </w:t>
      </w:r>
      <w:r>
        <w:rPr>
          <w:i/>
        </w:rPr>
        <w:t>Capacity</w:t>
      </w:r>
      <w:r w:rsidRPr="00035183">
        <w:rPr>
          <w:i/>
        </w:rPr>
        <w:t xml:space="preserve"> Charges of Ohio Power Co.</w:t>
      </w:r>
      <w:r>
        <w:t xml:space="preserve">, 147 Ohio St. 3d 59 (2016). </w:t>
      </w:r>
    </w:p>
  </w:footnote>
  <w:footnote w:id="23">
    <w:p w:rsidR="00FC74B7" w:rsidRPr="00207B2E" w:rsidP="00FC74B7" w14:paraId="0EAEF197" w14:textId="77777777">
      <w:pPr>
        <w:pStyle w:val="FootnoteText"/>
        <w:spacing w:after="120"/>
      </w:pPr>
      <w:r w:rsidRPr="00207B2E">
        <w:rPr>
          <w:rStyle w:val="FootnoteReference"/>
        </w:rPr>
        <w:footnoteRef/>
      </w:r>
      <w:r w:rsidRPr="00207B2E">
        <w:t xml:space="preserve"> </w:t>
      </w:r>
      <w:r w:rsidRPr="00207B2E">
        <w:rPr>
          <w:i/>
          <w:iCs/>
        </w:rPr>
        <w:t>See</w:t>
      </w:r>
      <w:r w:rsidRPr="00207B2E">
        <w:rPr>
          <w:iCs/>
        </w:rPr>
        <w:t xml:space="preserve"> </w:t>
      </w:r>
      <w:r w:rsidRPr="00207B2E">
        <w:t>Memorandum Contra DP&amp;L’s Motions to Withdraw its Application and Implement Previously Authorized Rates (to Increase Charges to Consumers) by The Office of the Ohio Consumers’ Counsel, The Ohio Manufacturers’ Association Energy Group, The Kroger Company, and IGS Energy (December 4, 2019)</w:t>
      </w:r>
      <w:r>
        <w:t xml:space="preserve"> at 5-7.</w:t>
      </w:r>
    </w:p>
  </w:footnote>
  <w:footnote w:id="24">
    <w:p w:rsidR="00FC74B7" w:rsidRPr="00207B2E" w:rsidP="00FC74B7" w14:paraId="6876DE42" w14:textId="77777777">
      <w:pPr>
        <w:pStyle w:val="FootnoteText"/>
        <w:spacing w:after="120"/>
      </w:pPr>
      <w:r w:rsidRPr="00207B2E">
        <w:rPr>
          <w:rStyle w:val="FootnoteReference"/>
        </w:rPr>
        <w:footnoteRef/>
      </w:r>
      <w:r w:rsidRPr="00207B2E">
        <w:t xml:space="preserve"> Finding and Order (December 18, 2019).</w:t>
      </w:r>
    </w:p>
  </w:footnote>
  <w:footnote w:id="25">
    <w:p w:rsidR="00FC74B7" w:rsidRPr="00207B2E" w:rsidP="00FC74B7" w14:paraId="333970DB" w14:textId="77777777">
      <w:pPr>
        <w:pStyle w:val="FootnoteText"/>
        <w:spacing w:after="120"/>
      </w:pPr>
      <w:r w:rsidRPr="00207B2E">
        <w:rPr>
          <w:rStyle w:val="FootnoteReference"/>
        </w:rPr>
        <w:footnoteRef/>
      </w:r>
      <w:r w:rsidRPr="00207B2E">
        <w:t xml:space="preserve"> </w:t>
      </w:r>
      <w:r w:rsidRPr="00207B2E">
        <w:rPr>
          <w:i/>
          <w:iCs/>
        </w:rPr>
        <w:t>See</w:t>
      </w:r>
      <w:r w:rsidRPr="00207B2E">
        <w:rPr>
          <w:iCs/>
        </w:rPr>
        <w:t xml:space="preserve"> </w:t>
      </w:r>
      <w:r w:rsidRPr="00207B2E">
        <w:t>Memorandum Contra DP&amp;L’s Motions to Withdraw its Application and Implement Previously Authorized Rates (to Increase Charges to Consumers) by The Office of the Ohio Consumers’ Counsel, The Ohio Manufacturers’ Association Energy Group, The Kroger Company, and IGS Energy (December 4, 2019)</w:t>
      </w:r>
      <w:r>
        <w:t xml:space="preserve"> at 7-9.</w:t>
      </w:r>
    </w:p>
  </w:footnote>
  <w:footnote w:id="26">
    <w:p w:rsidR="00FC74B7" w:rsidRPr="00207B2E" w:rsidP="00FC74B7" w14:paraId="3DAB4418" w14:textId="77777777">
      <w:pPr>
        <w:pStyle w:val="FootnoteText"/>
        <w:spacing w:after="120"/>
      </w:pPr>
      <w:r w:rsidRPr="00207B2E">
        <w:rPr>
          <w:rStyle w:val="FootnoteReference"/>
        </w:rPr>
        <w:footnoteRef/>
      </w:r>
      <w:r w:rsidRPr="00207B2E">
        <w:t xml:space="preserve"> Finding and Order (December 18, 2019).</w:t>
      </w:r>
    </w:p>
  </w:footnote>
  <w:footnote w:id="27">
    <w:p w:rsidR="00FC74B7" w:rsidRPr="00207B2E" w:rsidP="00FC74B7" w14:paraId="6E6031F2" w14:textId="77777777">
      <w:pPr>
        <w:pStyle w:val="FootnoteText"/>
        <w:spacing w:after="120"/>
      </w:pPr>
      <w:r w:rsidRPr="00207B2E">
        <w:rPr>
          <w:rStyle w:val="FootnoteReference"/>
        </w:rPr>
        <w:footnoteRef/>
      </w:r>
      <w:r w:rsidRPr="00207B2E">
        <w:t xml:space="preserve"> </w:t>
      </w:r>
      <w:r w:rsidRPr="00207B2E">
        <w:rPr>
          <w:i/>
          <w:iCs/>
        </w:rPr>
        <w:t>See</w:t>
      </w:r>
      <w:r w:rsidRPr="00207B2E">
        <w:rPr>
          <w:iCs/>
        </w:rPr>
        <w:t xml:space="preserve"> </w:t>
      </w:r>
      <w:r w:rsidRPr="00207B2E">
        <w:t>Memorandum Contra DP&amp;L’s Motions to Withdraw its Application and Implement Previously Authorized Rates (to Increase Charges to Consumers) by The Office of the Ohio Consumers’ Counsel, The Ohio Manufacturers’ Association Energy Group, The Kroger Company, and IGS Energy (December 4, 2019)</w:t>
      </w:r>
      <w:r>
        <w:t xml:space="preserve"> at 3-13.</w:t>
      </w:r>
    </w:p>
  </w:footnote>
  <w:footnote w:id="28">
    <w:p w:rsidR="00FC74B7" w:rsidRPr="00207B2E" w:rsidP="00FC74B7" w14:paraId="7B68F9F6" w14:textId="77777777">
      <w:pPr>
        <w:pStyle w:val="FootnoteText"/>
        <w:spacing w:after="120"/>
      </w:pPr>
      <w:r w:rsidRPr="00207B2E">
        <w:rPr>
          <w:rStyle w:val="FootnoteReference"/>
        </w:rPr>
        <w:footnoteRef/>
      </w:r>
      <w:r w:rsidRPr="00207B2E">
        <w:t xml:space="preserve"> Finding and Order (December 18, 2019).</w:t>
      </w:r>
    </w:p>
  </w:footnote>
  <w:footnote w:id="29">
    <w:p w:rsidR="00FC74B7" w:rsidRPr="00207B2E" w:rsidP="00FC74B7" w14:paraId="054A45B0" w14:textId="77777777">
      <w:pPr>
        <w:pStyle w:val="FootnoteText"/>
        <w:spacing w:after="120"/>
      </w:pPr>
      <w:r w:rsidRPr="00207B2E">
        <w:rPr>
          <w:rStyle w:val="FootnoteReference"/>
        </w:rPr>
        <w:footnoteRef/>
      </w:r>
      <w:r w:rsidRPr="00207B2E">
        <w:t xml:space="preserve"> </w:t>
      </w:r>
      <w:r w:rsidRPr="00207B2E">
        <w:rPr>
          <w:i/>
          <w:iCs/>
        </w:rPr>
        <w:t>See</w:t>
      </w:r>
      <w:r w:rsidRPr="00207B2E">
        <w:rPr>
          <w:iCs/>
        </w:rPr>
        <w:t xml:space="preserve"> </w:t>
      </w:r>
      <w:r w:rsidRPr="00207B2E">
        <w:t>Memorandum Contra DP&amp;L’s Motions to Withdraw its Application and Implement Previously Authorized Rates (to Increase Charges to Consumers) by The Office of the Ohio Consumers’ Counsel, The Ohio Manufacturers’ Association Energy Group, The Kroger Company, and IGS Energy (December 4, 2019)</w:t>
      </w:r>
      <w:r>
        <w:t xml:space="preserve"> at 10-12.</w:t>
      </w:r>
    </w:p>
  </w:footnote>
  <w:footnote w:id="30">
    <w:p w:rsidR="00FC74B7" w:rsidRPr="00207B2E" w:rsidP="00FC74B7" w14:paraId="0D601309" w14:textId="77777777">
      <w:pPr>
        <w:pStyle w:val="FootnoteText"/>
        <w:spacing w:after="120"/>
      </w:pPr>
      <w:r w:rsidRPr="00207B2E">
        <w:rPr>
          <w:rStyle w:val="FootnoteReference"/>
        </w:rPr>
        <w:footnoteRef/>
      </w:r>
      <w:r w:rsidRPr="00207B2E">
        <w:t xml:space="preserve"> Finding and Order (December 18,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7BA" w14:paraId="765AD4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F8751C"/>
    <w:lvl w:ilvl="0">
      <w:start w:val="1"/>
      <w:numFmt w:val="decimal"/>
      <w:lvlText w:val="%1."/>
      <w:lvlJc w:val="left"/>
      <w:pPr>
        <w:tabs>
          <w:tab w:val="num" w:pos="1800"/>
        </w:tabs>
        <w:ind w:left="1800" w:hanging="360"/>
      </w:pPr>
    </w:lvl>
  </w:abstractNum>
  <w:abstractNum w:abstractNumId="2">
    <w:nsid w:val="FFFFFF7D"/>
    <w:multiLevelType w:val="singleLevel"/>
    <w:tmpl w:val="F9CE148A"/>
    <w:lvl w:ilvl="0">
      <w:start w:val="1"/>
      <w:numFmt w:val="decimal"/>
      <w:lvlText w:val="%1."/>
      <w:lvlJc w:val="left"/>
      <w:pPr>
        <w:tabs>
          <w:tab w:val="num" w:pos="1440"/>
        </w:tabs>
        <w:ind w:left="1440" w:hanging="360"/>
      </w:pPr>
    </w:lvl>
  </w:abstractNum>
  <w:abstractNum w:abstractNumId="3">
    <w:nsid w:val="FFFFFF7E"/>
    <w:multiLevelType w:val="singleLevel"/>
    <w:tmpl w:val="555ACA20"/>
    <w:lvl w:ilvl="0">
      <w:start w:val="1"/>
      <w:numFmt w:val="decimal"/>
      <w:lvlText w:val="%1."/>
      <w:lvlJc w:val="left"/>
      <w:pPr>
        <w:tabs>
          <w:tab w:val="num" w:pos="1080"/>
        </w:tabs>
        <w:ind w:left="1080" w:hanging="360"/>
      </w:pPr>
    </w:lvl>
  </w:abstractNum>
  <w:abstractNum w:abstractNumId="4">
    <w:nsid w:val="FFFFFF7F"/>
    <w:multiLevelType w:val="singleLevel"/>
    <w:tmpl w:val="1C7E8D7C"/>
    <w:lvl w:ilvl="0">
      <w:start w:val="1"/>
      <w:numFmt w:val="decimal"/>
      <w:lvlText w:val="%1."/>
      <w:lvlJc w:val="left"/>
      <w:pPr>
        <w:tabs>
          <w:tab w:val="num" w:pos="720"/>
        </w:tabs>
        <w:ind w:left="720" w:hanging="360"/>
      </w:pPr>
    </w:lvl>
  </w:abstractNum>
  <w:abstractNum w:abstractNumId="5">
    <w:nsid w:val="FFFFFF80"/>
    <w:multiLevelType w:val="singleLevel"/>
    <w:tmpl w:val="EA402C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4C9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1AC2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74651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34764E"/>
    <w:lvl w:ilvl="0">
      <w:start w:val="1"/>
      <w:numFmt w:val="decimal"/>
      <w:lvlText w:val="%1."/>
      <w:lvlJc w:val="left"/>
      <w:pPr>
        <w:tabs>
          <w:tab w:val="num" w:pos="360"/>
        </w:tabs>
        <w:ind w:left="360" w:hanging="360"/>
      </w:pPr>
    </w:lvl>
  </w:abstractNum>
  <w:abstractNum w:abstractNumId="10">
    <w:nsid w:val="FFFFFF89"/>
    <w:multiLevelType w:val="singleLevel"/>
    <w:tmpl w:val="9404F300"/>
    <w:lvl w:ilvl="0">
      <w:start w:val="1"/>
      <w:numFmt w:val="bullet"/>
      <w:lvlText w:val=""/>
      <w:lvlJc w:val="left"/>
      <w:pPr>
        <w:tabs>
          <w:tab w:val="num" w:pos="360"/>
        </w:tabs>
        <w:ind w:left="360" w:hanging="360"/>
      </w:pPr>
      <w:rPr>
        <w:rFonts w:ascii="Symbol" w:hAnsi="Symbol" w:hint="default"/>
      </w:rPr>
    </w:lvl>
  </w:abstractNum>
  <w:abstractNum w:abstractNumId="11">
    <w:nsid w:val="05F00041"/>
    <w:multiLevelType w:val="hybridMultilevel"/>
    <w:tmpl w:val="6F98B35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7323DFA"/>
    <w:multiLevelType w:val="hybridMultilevel"/>
    <w:tmpl w:val="CB3672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375624"/>
    <w:multiLevelType w:val="hybridMultilevel"/>
    <w:tmpl w:val="E82468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69D4646"/>
    <w:multiLevelType w:val="hybridMultilevel"/>
    <w:tmpl w:val="7B04E922"/>
    <w:lvl w:ilvl="0">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6"/>
  </w:num>
  <w:num w:numId="3">
    <w:abstractNumId w:val="0"/>
  </w:num>
  <w:num w:numId="4">
    <w:abstractNumId w:val="20"/>
  </w:num>
  <w:num w:numId="5">
    <w:abstractNumId w:val="13"/>
  </w:num>
  <w:num w:numId="6">
    <w:abstractNumId w:val="18"/>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21"/>
  </w:num>
  <w:num w:numId="20">
    <w:abstractNumId w:val="14"/>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7C"/>
    <w:rsid w:val="00035183"/>
    <w:rsid w:val="000454D8"/>
    <w:rsid w:val="000B016E"/>
    <w:rsid w:val="000C1695"/>
    <w:rsid w:val="000F6D95"/>
    <w:rsid w:val="0012062F"/>
    <w:rsid w:val="0012587D"/>
    <w:rsid w:val="00186830"/>
    <w:rsid w:val="001915AB"/>
    <w:rsid w:val="00195A9A"/>
    <w:rsid w:val="001B6006"/>
    <w:rsid w:val="001D74EF"/>
    <w:rsid w:val="001F00A4"/>
    <w:rsid w:val="00207B2E"/>
    <w:rsid w:val="00231BED"/>
    <w:rsid w:val="002561BB"/>
    <w:rsid w:val="002577BA"/>
    <w:rsid w:val="00261E87"/>
    <w:rsid w:val="00262978"/>
    <w:rsid w:val="00281735"/>
    <w:rsid w:val="002826E1"/>
    <w:rsid w:val="00296FEE"/>
    <w:rsid w:val="002A1C42"/>
    <w:rsid w:val="002A657D"/>
    <w:rsid w:val="002C3C9A"/>
    <w:rsid w:val="002D3E55"/>
    <w:rsid w:val="002F1144"/>
    <w:rsid w:val="002F5434"/>
    <w:rsid w:val="002F593A"/>
    <w:rsid w:val="003250B6"/>
    <w:rsid w:val="003533EB"/>
    <w:rsid w:val="00384E58"/>
    <w:rsid w:val="003E191C"/>
    <w:rsid w:val="00404B23"/>
    <w:rsid w:val="00421F2C"/>
    <w:rsid w:val="00425ED6"/>
    <w:rsid w:val="004373BD"/>
    <w:rsid w:val="00440A17"/>
    <w:rsid w:val="004574BB"/>
    <w:rsid w:val="004631F5"/>
    <w:rsid w:val="00465484"/>
    <w:rsid w:val="004861A5"/>
    <w:rsid w:val="004B5190"/>
    <w:rsid w:val="004F07CD"/>
    <w:rsid w:val="004F525A"/>
    <w:rsid w:val="004F6C96"/>
    <w:rsid w:val="005002E8"/>
    <w:rsid w:val="00546450"/>
    <w:rsid w:val="005859DB"/>
    <w:rsid w:val="00597DD7"/>
    <w:rsid w:val="005A77AC"/>
    <w:rsid w:val="005E5D3F"/>
    <w:rsid w:val="00606D5C"/>
    <w:rsid w:val="00615923"/>
    <w:rsid w:val="00641AF3"/>
    <w:rsid w:val="006622C3"/>
    <w:rsid w:val="00667F92"/>
    <w:rsid w:val="006767E5"/>
    <w:rsid w:val="006849DE"/>
    <w:rsid w:val="00693944"/>
    <w:rsid w:val="00694197"/>
    <w:rsid w:val="006D2A8B"/>
    <w:rsid w:val="006E28CF"/>
    <w:rsid w:val="007318B0"/>
    <w:rsid w:val="00735F97"/>
    <w:rsid w:val="00740C47"/>
    <w:rsid w:val="007448F7"/>
    <w:rsid w:val="007453F4"/>
    <w:rsid w:val="007479A0"/>
    <w:rsid w:val="0076792B"/>
    <w:rsid w:val="007A5DE0"/>
    <w:rsid w:val="007B376B"/>
    <w:rsid w:val="007E228C"/>
    <w:rsid w:val="0080351A"/>
    <w:rsid w:val="008143A0"/>
    <w:rsid w:val="00845667"/>
    <w:rsid w:val="00854281"/>
    <w:rsid w:val="00875C93"/>
    <w:rsid w:val="0088324A"/>
    <w:rsid w:val="00897F5E"/>
    <w:rsid w:val="008A2B55"/>
    <w:rsid w:val="008B1FB6"/>
    <w:rsid w:val="008B67ED"/>
    <w:rsid w:val="008B6B29"/>
    <w:rsid w:val="008B7B4F"/>
    <w:rsid w:val="008F5341"/>
    <w:rsid w:val="00900049"/>
    <w:rsid w:val="00911F35"/>
    <w:rsid w:val="00946F0C"/>
    <w:rsid w:val="00952A7C"/>
    <w:rsid w:val="009609C8"/>
    <w:rsid w:val="009838D1"/>
    <w:rsid w:val="00984B50"/>
    <w:rsid w:val="009E6DEC"/>
    <w:rsid w:val="00A15022"/>
    <w:rsid w:val="00A370D2"/>
    <w:rsid w:val="00A46CDB"/>
    <w:rsid w:val="00A52D51"/>
    <w:rsid w:val="00A97E4E"/>
    <w:rsid w:val="00AA5613"/>
    <w:rsid w:val="00AA7B8B"/>
    <w:rsid w:val="00AD680B"/>
    <w:rsid w:val="00AE0E70"/>
    <w:rsid w:val="00AE631E"/>
    <w:rsid w:val="00B145CE"/>
    <w:rsid w:val="00B23A3A"/>
    <w:rsid w:val="00B41C50"/>
    <w:rsid w:val="00B72A48"/>
    <w:rsid w:val="00B9374D"/>
    <w:rsid w:val="00BA0341"/>
    <w:rsid w:val="00BA0F89"/>
    <w:rsid w:val="00BB0B2B"/>
    <w:rsid w:val="00BB1479"/>
    <w:rsid w:val="00BC164A"/>
    <w:rsid w:val="00BD04FA"/>
    <w:rsid w:val="00BD7A47"/>
    <w:rsid w:val="00BE261E"/>
    <w:rsid w:val="00C06AA8"/>
    <w:rsid w:val="00C304DF"/>
    <w:rsid w:val="00C34683"/>
    <w:rsid w:val="00C37836"/>
    <w:rsid w:val="00C47E5B"/>
    <w:rsid w:val="00C60A16"/>
    <w:rsid w:val="00C9331A"/>
    <w:rsid w:val="00C97CD1"/>
    <w:rsid w:val="00CA7D96"/>
    <w:rsid w:val="00CD0671"/>
    <w:rsid w:val="00CD4C8A"/>
    <w:rsid w:val="00CF0F79"/>
    <w:rsid w:val="00CF7E19"/>
    <w:rsid w:val="00D35F74"/>
    <w:rsid w:val="00D46495"/>
    <w:rsid w:val="00D85C22"/>
    <w:rsid w:val="00D97550"/>
    <w:rsid w:val="00DC2B7B"/>
    <w:rsid w:val="00DC30F5"/>
    <w:rsid w:val="00E1160D"/>
    <w:rsid w:val="00E30AC8"/>
    <w:rsid w:val="00E471E0"/>
    <w:rsid w:val="00E5338E"/>
    <w:rsid w:val="00E64F04"/>
    <w:rsid w:val="00E666E3"/>
    <w:rsid w:val="00E7600C"/>
    <w:rsid w:val="00EA348C"/>
    <w:rsid w:val="00EA64B8"/>
    <w:rsid w:val="00EB2F75"/>
    <w:rsid w:val="00EB6CF9"/>
    <w:rsid w:val="00EC3253"/>
    <w:rsid w:val="00F07D0B"/>
    <w:rsid w:val="00F24C6C"/>
    <w:rsid w:val="00F27097"/>
    <w:rsid w:val="00F2718B"/>
    <w:rsid w:val="00F62C02"/>
    <w:rsid w:val="00F67F06"/>
    <w:rsid w:val="00F83643"/>
    <w:rsid w:val="00F96807"/>
    <w:rsid w:val="00FA01DA"/>
    <w:rsid w:val="00FA514A"/>
    <w:rsid w:val="00FA6F1F"/>
    <w:rsid w:val="00FC74B7"/>
    <w:rsid w:val="00FD0B7F"/>
    <w:rsid w:val="00FF1D40"/>
  </w:rsids>
  <m:mathPr>
    <m:mathFont m:val="Cambria Math"/>
    <m:dispDef m:val="0"/>
    <m:wrapRight/>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B7"/>
  </w:style>
  <w:style w:type="paragraph" w:styleId="Heading1">
    <w:name w:val="heading 1"/>
    <w:basedOn w:val="Normal"/>
    <w:next w:val="Normal"/>
    <w:link w:val="Heading1Char"/>
    <w:autoRedefine/>
    <w:qFormat/>
    <w:rsid w:val="00485EB5"/>
    <w:pPr>
      <w:keepNext/>
      <w:tabs>
        <w:tab w:val="decimal" w:leader="dot" w:pos="8640"/>
      </w:tabs>
      <w:spacing w:after="240"/>
      <w:ind w:left="720" w:hanging="720"/>
      <w:outlineLvl w:val="0"/>
    </w:pPr>
    <w:rPr>
      <w:b/>
      <w:bCs/>
      <w:caps/>
    </w:rPr>
  </w:style>
  <w:style w:type="paragraph" w:styleId="Heading2">
    <w:name w:val="heading 2"/>
    <w:basedOn w:val="Normal"/>
    <w:next w:val="Normal"/>
    <w:link w:val="Heading2Char"/>
    <w:autoRedefine/>
    <w:qFormat/>
    <w:rsid w:val="00FA01DA"/>
    <w:pPr>
      <w:keepNext/>
      <w:spacing w:after="240"/>
      <w:ind w:left="720"/>
      <w:outlineLvl w:val="1"/>
    </w:pPr>
    <w:rPr>
      <w:rFonts w:ascii="Times New Roman Bold" w:hAnsi="Times New Roman Bold"/>
      <w:b/>
    </w:rPr>
  </w:style>
  <w:style w:type="paragraph" w:styleId="Heading3">
    <w:name w:val="heading 3"/>
    <w:basedOn w:val="Normal"/>
    <w:next w:val="Normal"/>
    <w:autoRedefine/>
    <w:qFormat/>
    <w:rsid w:val="00FA01DA"/>
    <w:pPr>
      <w:keepNext/>
      <w:numPr>
        <w:numId w:val="2"/>
      </w:numPr>
      <w:spacing w:after="240"/>
      <w:ind w:left="2160" w:hanging="720"/>
      <w:outlineLvl w:val="2"/>
    </w:pPr>
    <w:rPr>
      <w:rFonts w:ascii="Times New Roman Bold" w:hAnsi="Times New Roman Bold"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485EB5"/>
    <w:rPr>
      <w:b/>
      <w:bCs/>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281735"/>
    <w:pPr>
      <w:framePr w:wrap="notBeside" w:vAnchor="text" w:hAnchor="text" w:y="1"/>
      <w:tabs>
        <w:tab w:val="decimal" w:leader="dot" w:pos="8640"/>
      </w:tabs>
      <w:spacing w:after="240"/>
      <w:ind w:left="720" w:hanging="720"/>
      <w:outlineLvl w:val="0"/>
    </w:pPr>
    <w:rPr>
      <w:bCs/>
      <w:caps/>
    </w:rPr>
  </w:style>
  <w:style w:type="paragraph" w:styleId="TOC2">
    <w:name w:val="toc 2"/>
    <w:basedOn w:val="Normal"/>
    <w:next w:val="Normal"/>
    <w:autoRedefine/>
    <w:uiPriority w:val="39"/>
    <w:qFormat/>
    <w:rsid w:val="00281735"/>
    <w:pPr>
      <w:tabs>
        <w:tab w:val="decimal" w:leader="dot" w:pos="8640"/>
      </w:tabs>
      <w:spacing w:after="240"/>
      <w:ind w:left="720"/>
      <w:outlineLvl w:val="1"/>
    </w:pPr>
    <w:rPr>
      <w:bCs/>
    </w:rPr>
  </w:style>
  <w:style w:type="paragraph" w:styleId="TOC3">
    <w:name w:val="toc 3"/>
    <w:basedOn w:val="Normal"/>
    <w:next w:val="Normal"/>
    <w:autoRedefine/>
    <w:uiPriority w:val="39"/>
    <w:qFormat/>
    <w:rsid w:val="00281735"/>
    <w:pPr>
      <w:tabs>
        <w:tab w:val="decimal" w:leader="dot" w:pos="8640"/>
      </w:tabs>
      <w:spacing w:after="240"/>
      <w:ind w:left="2160" w:hanging="72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uiPriority w:val="99"/>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34"/>
    <w:qFormat/>
    <w:rsid w:val="00BA0BEC"/>
    <w:pPr>
      <w:ind w:left="720"/>
      <w:contextualSpacing/>
    </w:pPr>
  </w:style>
  <w:style w:type="paragraph" w:styleId="EndnoteText">
    <w:name w:val="endnote text"/>
    <w:basedOn w:val="Normal"/>
    <w:link w:val="EndnoteTextChar"/>
    <w:semiHidden/>
    <w:unhideWhenUsed/>
    <w:rsid w:val="00A27434"/>
    <w:pPr>
      <w:widowControl w:val="0"/>
      <w:snapToGrid w:val="0"/>
    </w:pPr>
    <w:rPr>
      <w:rFonts w:ascii="Courier New" w:hAnsi="Courier New"/>
      <w:szCs w:val="20"/>
    </w:rPr>
  </w:style>
  <w:style w:type="character" w:customStyle="1" w:styleId="EndnoteTextChar">
    <w:name w:val="Endnote Text Char"/>
    <w:basedOn w:val="DefaultParagraphFont"/>
    <w:link w:val="EndnoteText"/>
    <w:semiHidden/>
    <w:rsid w:val="00A27434"/>
    <w:rPr>
      <w:rFonts w:ascii="Courier New" w:hAnsi="Courier New"/>
      <w:szCs w:val="20"/>
    </w:rPr>
  </w:style>
  <w:style w:type="paragraph" w:customStyle="1" w:styleId="ANSWER">
    <w:name w:val="ANSWER"/>
    <w:basedOn w:val="Normal"/>
    <w:rsid w:val="00A27434"/>
    <w:pPr>
      <w:spacing w:line="480" w:lineRule="auto"/>
      <w:ind w:left="1008" w:hanging="720"/>
    </w:pPr>
    <w:rPr>
      <w:szCs w:val="20"/>
    </w:rPr>
  </w:style>
  <w:style w:type="character" w:customStyle="1" w:styleId="UnresolvedMention1">
    <w:name w:val="Unresolved Mention1"/>
    <w:basedOn w:val="DefaultParagraphFont"/>
    <w:rsid w:val="00CB7BCB"/>
    <w:rPr>
      <w:color w:val="605E5C"/>
      <w:shd w:val="clear" w:color="auto" w:fill="E1DFDD"/>
    </w:rPr>
  </w:style>
  <w:style w:type="character" w:customStyle="1" w:styleId="apple-converted-space">
    <w:name w:val="apple-converted-space"/>
    <w:basedOn w:val="DefaultParagraphFont"/>
    <w:rsid w:val="00FA6F1F"/>
  </w:style>
  <w:style w:type="character" w:customStyle="1" w:styleId="ssit">
    <w:name w:val="ss_it"/>
    <w:basedOn w:val="DefaultParagraphFont"/>
    <w:rsid w:val="00D46495"/>
  </w:style>
  <w:style w:type="character" w:customStyle="1" w:styleId="sssh">
    <w:name w:val="ss_sh"/>
    <w:basedOn w:val="DefaultParagraphFont"/>
    <w:rsid w:val="00D46495"/>
  </w:style>
  <w:style w:type="character" w:customStyle="1" w:styleId="ssleftalign">
    <w:name w:val="ss_leftalign"/>
    <w:basedOn w:val="DefaultParagraphFont"/>
    <w:rsid w:val="00D46495"/>
  </w:style>
  <w:style w:type="character" w:customStyle="1" w:styleId="UnresolvedMention">
    <w:name w:val="Unresolved Mention"/>
    <w:basedOn w:val="DefaultParagraphFont"/>
    <w:rsid w:val="00035183"/>
    <w:rPr>
      <w:color w:val="605E5C"/>
      <w:shd w:val="clear" w:color="auto" w:fill="E1DFDD"/>
    </w:rPr>
  </w:style>
  <w:style w:type="character" w:customStyle="1" w:styleId="Heading2Char">
    <w:name w:val="Heading 2 Char"/>
    <w:basedOn w:val="DefaultParagraphFont"/>
    <w:link w:val="Heading2"/>
    <w:rsid w:val="00FC74B7"/>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mailto:Thomas.mcnamee@ohioattorneygeneral.gov" TargetMode="External" /><Relationship Id="rId13" Type="http://schemas.openxmlformats.org/officeDocument/2006/relationships/hyperlink" Target="mailto:dboehm@bkllawfirm.com" TargetMode="External" /><Relationship Id="rId14" Type="http://schemas.openxmlformats.org/officeDocument/2006/relationships/hyperlink" Target="mailto:mkurtz@bkllawfirm.com" TargetMode="External" /><Relationship Id="rId15" Type="http://schemas.openxmlformats.org/officeDocument/2006/relationships/hyperlink" Target="mailto:jkylercohn@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fdarr@mwncmh.com" TargetMode="External" /><Relationship Id="rId18" Type="http://schemas.openxmlformats.org/officeDocument/2006/relationships/hyperlink" Target="mailto:mpritchard@mwncmh.com" TargetMode="External" /><Relationship Id="rId19" Type="http://schemas.openxmlformats.org/officeDocument/2006/relationships/hyperlink" Target="mailto:mjsettineri@vorys.com" TargetMode="External" /><Relationship Id="rId2" Type="http://schemas.openxmlformats.org/officeDocument/2006/relationships/settings" Target="settings.xml" /><Relationship Id="rId20" Type="http://schemas.openxmlformats.org/officeDocument/2006/relationships/hyperlink" Target="mailto:glpetrucci@vorys.com" TargetMode="External" /><Relationship Id="rId21" Type="http://schemas.openxmlformats.org/officeDocument/2006/relationships/hyperlink" Target="mailto:ibatikov@vorys.com" TargetMode="External" /><Relationship Id="rId22" Type="http://schemas.openxmlformats.org/officeDocument/2006/relationships/hyperlink" Target="mailto:wasieck@vorys.com" TargetMode="External" /><Relationship Id="rId23" Type="http://schemas.openxmlformats.org/officeDocument/2006/relationships/hyperlink" Target="mailto:mleppla@theoec.org" TargetMode="External" /><Relationship Id="rId24" Type="http://schemas.openxmlformats.org/officeDocument/2006/relationships/hyperlink" Target="mailto:cmooney@ohiopartners.org" TargetMode="External" /><Relationship Id="rId25" Type="http://schemas.openxmlformats.org/officeDocument/2006/relationships/hyperlink" Target="mailto:joliker@igsenergy.com" TargetMode="External" /><Relationship Id="rId26" Type="http://schemas.openxmlformats.org/officeDocument/2006/relationships/hyperlink" Target="mailto:mswhite@igsenergy.com" TargetMode="External" /><Relationship Id="rId27" Type="http://schemas.openxmlformats.org/officeDocument/2006/relationships/hyperlink" Target="mailto:ebetterton@igsenergy.com" TargetMode="External" /><Relationship Id="rId28" Type="http://schemas.openxmlformats.org/officeDocument/2006/relationships/hyperlink" Target="mailto:Slesser@calfee.com" TargetMode="External" /><Relationship Id="rId29" Type="http://schemas.openxmlformats.org/officeDocument/2006/relationships/hyperlink" Target="mailto:jlang@calfee.com" TargetMode="External" /><Relationship Id="rId3" Type="http://schemas.openxmlformats.org/officeDocument/2006/relationships/webSettings" Target="webSettings.xml" /><Relationship Id="rId30" Type="http://schemas.openxmlformats.org/officeDocument/2006/relationships/hyperlink" Target="mailto:talexander@calfee.com" TargetMode="External" /><Relationship Id="rId31" Type="http://schemas.openxmlformats.org/officeDocument/2006/relationships/hyperlink" Target="mailto:mkeaney@calfee.com" TargetMode="External" /><Relationship Id="rId32" Type="http://schemas.openxmlformats.org/officeDocument/2006/relationships/hyperlink" Target="mailto:elizabeth.watts@duke-energy.com" TargetMode="External" /><Relationship Id="rId33" Type="http://schemas.openxmlformats.org/officeDocument/2006/relationships/hyperlink" Target="mailto:jeanne.kingery@duke-energy.com" TargetMode="External" /><Relationship Id="rId34" Type="http://schemas.openxmlformats.org/officeDocument/2006/relationships/hyperlink" Target="mailto:gthomas@gtpowergroup.com" TargetMode="External" /><Relationship Id="rId35" Type="http://schemas.openxmlformats.org/officeDocument/2006/relationships/hyperlink" Target="mailto:stheodore@epsa.org" TargetMode="External" /><Relationship Id="rId36" Type="http://schemas.openxmlformats.org/officeDocument/2006/relationships/hyperlink" Target="mailto:laurac@chappelleconsulting.net" TargetMode="External" /><Relationship Id="rId37" Type="http://schemas.openxmlformats.org/officeDocument/2006/relationships/hyperlink" Target="mailto:jdoll@djflawfirm.com" TargetMode="External" /><Relationship Id="rId38" Type="http://schemas.openxmlformats.org/officeDocument/2006/relationships/hyperlink" Target="mailto:gregory.price@puco.ohio.gov" TargetMode="External" /><Relationship Id="rId39" Type="http://schemas.openxmlformats.org/officeDocument/2006/relationships/hyperlink" Target="mailto:patricia.schabo@puco.ohio.gov" TargetMode="External" /><Relationship Id="rId4" Type="http://schemas.openxmlformats.org/officeDocument/2006/relationships/fontTable" Target="fontTable.xml" /><Relationship Id="rId40" Type="http://schemas.openxmlformats.org/officeDocument/2006/relationships/hyperlink" Target="mailto:michael.schuler@aes.com" TargetMode="External" /><Relationship Id="rId41" Type="http://schemas.openxmlformats.org/officeDocument/2006/relationships/hyperlink" Target="mailto:djireland@ficlaw.com" TargetMode="External" /><Relationship Id="rId42" Type="http://schemas.openxmlformats.org/officeDocument/2006/relationships/hyperlink" Target="mailto:jsharkey@ficlaw.com" TargetMode="External" /><Relationship Id="rId43" Type="http://schemas.openxmlformats.org/officeDocument/2006/relationships/hyperlink" Target="mailto:mfleisher@elpc.org" TargetMode="External" /><Relationship Id="rId44" Type="http://schemas.openxmlformats.org/officeDocument/2006/relationships/hyperlink" Target="mailto:kfield@elpc.org" TargetMode="External" /><Relationship Id="rId45" Type="http://schemas.openxmlformats.org/officeDocument/2006/relationships/hyperlink" Target="mailto:jeffrey.mayes@monitoringanalytics.com" TargetMode="External" /><Relationship Id="rId46" Type="http://schemas.openxmlformats.org/officeDocument/2006/relationships/hyperlink" Target="mailto:evelyn.robinson@pjm.com" TargetMode="External" /><Relationship Id="rId47" Type="http://schemas.openxmlformats.org/officeDocument/2006/relationships/hyperlink" Target="mailto:schmidt@sppgrp.com" TargetMode="External" /><Relationship Id="rId48" Type="http://schemas.openxmlformats.org/officeDocument/2006/relationships/hyperlink" Target="mailto:rsahli@columbus.rr.com" TargetMode="External" /><Relationship Id="rId49" Type="http://schemas.openxmlformats.org/officeDocument/2006/relationships/hyperlink" Target="mailto:tony.mendoza@sierraclub.org" TargetMode="External" /><Relationship Id="rId5" Type="http://schemas.openxmlformats.org/officeDocument/2006/relationships/customXml" Target="../customXml/item1.xml" /><Relationship Id="rId50" Type="http://schemas.openxmlformats.org/officeDocument/2006/relationships/hyperlink" Target="mailto:kristin.henry@sierraclub.org" TargetMode="External" /><Relationship Id="rId51" Type="http://schemas.openxmlformats.org/officeDocument/2006/relationships/hyperlink" Target="mailto:mdortch@kravitzllc.com" TargetMode="External" /><Relationship Id="rId52" Type="http://schemas.openxmlformats.org/officeDocument/2006/relationships/hyperlink" Target="mailto:rparsons@kravitzllc.com" TargetMode="External" /><Relationship Id="rId53" Type="http://schemas.openxmlformats.org/officeDocument/2006/relationships/hyperlink" Target="mailto:Bojko@carpenterlipps.com" TargetMode="External" /><Relationship Id="rId54" Type="http://schemas.openxmlformats.org/officeDocument/2006/relationships/hyperlink" Target="mailto:perko@carpenterlipps.com" TargetMode="External" /><Relationship Id="rId55" Type="http://schemas.openxmlformats.org/officeDocument/2006/relationships/hyperlink" Target="mailto:Ghiloni@carpenterlipps.com" TargetMode="External" /><Relationship Id="rId56" Type="http://schemas.openxmlformats.org/officeDocument/2006/relationships/hyperlink" Target="mailto:paul@carpenterlipps.com" TargetMode="External" /><Relationship Id="rId57" Type="http://schemas.openxmlformats.org/officeDocument/2006/relationships/hyperlink" Target="mailto:sechler@carpenterlipps.com" TargetMode="External" /><Relationship Id="rId58" Type="http://schemas.openxmlformats.org/officeDocument/2006/relationships/hyperlink" Target="mailto:mwarnock@bricker.com" TargetMode="External" /><Relationship Id="rId59" Type="http://schemas.openxmlformats.org/officeDocument/2006/relationships/hyperlink" Target="mailto:dparram@bricker.com" TargetMode="External" /><Relationship Id="rId6" Type="http://schemas.openxmlformats.org/officeDocument/2006/relationships/hyperlink" Target="mailto:william.michael@occ.ohio.gov" TargetMode="External" /><Relationship Id="rId60" Type="http://schemas.openxmlformats.org/officeDocument/2006/relationships/hyperlink" Target="mailto:dborchers@bricker.com" TargetMode="External" /><Relationship Id="rId61" Type="http://schemas.openxmlformats.org/officeDocument/2006/relationships/hyperlink" Target="mailto:lhawrot@spilmanlaw.com" TargetMode="External" /><Relationship Id="rId62" Type="http://schemas.openxmlformats.org/officeDocument/2006/relationships/hyperlink" Target="mailto:dwilliamson@spilmanlaw.com" TargetMode="External" /><Relationship Id="rId63" Type="http://schemas.openxmlformats.org/officeDocument/2006/relationships/hyperlink" Target="mailto:charris@spilmanlaw.com" TargetMode="External" /><Relationship Id="rId64" Type="http://schemas.openxmlformats.org/officeDocument/2006/relationships/hyperlink" Target="mailto:ejacobs@ablelaw.org" TargetMode="External" /><Relationship Id="rId65" Type="http://schemas.openxmlformats.org/officeDocument/2006/relationships/hyperlink" Target="mailto:rseiler@dickinsonwright.com" TargetMode="External" /><Relationship Id="rId66" Type="http://schemas.openxmlformats.org/officeDocument/2006/relationships/hyperlink" Target="mailto:cpirik@dickinsonwright.com" TargetMode="External" /><Relationship Id="rId67" Type="http://schemas.openxmlformats.org/officeDocument/2006/relationships/hyperlink" Target="mailto:wvorys@dickinsonwright.com" TargetMode="External" /><Relationship Id="rId68" Type="http://schemas.openxmlformats.org/officeDocument/2006/relationships/hyperlink" Target="mailto:todonnell@dickinsonwright.com" TargetMode="External" /><Relationship Id="rId69" Type="http://schemas.openxmlformats.org/officeDocument/2006/relationships/header" Target="header1.xml" /><Relationship Id="rId7" Type="http://schemas.openxmlformats.org/officeDocument/2006/relationships/hyperlink" Target="mailto:ambrosia.logsdon@occ.ohio.gov" TargetMode="External" /><Relationship Id="rId70" Type="http://schemas.openxmlformats.org/officeDocument/2006/relationships/footer" Target="footer5.xml" /><Relationship Id="rId71" Type="http://schemas.openxmlformats.org/officeDocument/2006/relationships/theme" Target="theme/theme1.xml" /><Relationship Id="rId72" Type="http://schemas.openxmlformats.org/officeDocument/2006/relationships/numbering" Target="numbering.xml" /><Relationship Id="rId73" Type="http://schemas.openxmlformats.org/officeDocument/2006/relationships/styles" Target="styl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C913-4D69-4A2A-B313-DAFCDCE7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4263</Words>
  <Characters>24302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16-395 AFR w/dfs  (00141429.DOCX;1)</vt:lpstr>
    </vt:vector>
  </TitlesOfParts>
  <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2020-01-17T20:17:44Z</dcterms:created>
  <dcterms:modified xsi:type="dcterms:W3CDTF">2020-01-17T20:17:44Z</dcterms:modified>
</cp:coreProperties>
</file>