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5E" w:rsidRPr="0081415E" w:rsidRDefault="0081415E" w:rsidP="00AC4529">
      <w:pPr>
        <w:spacing w:after="0"/>
        <w:jc w:val="center"/>
        <w:rPr>
          <w:rFonts w:eastAsia="Times New Roman" w:cs="Arial"/>
          <w:b/>
          <w:smallCaps/>
          <w:sz w:val="28"/>
        </w:rPr>
      </w:pPr>
      <w:bookmarkStart w:id="0" w:name="OLE_LINK1"/>
      <w:bookmarkStart w:id="1" w:name="OLE_LINK2"/>
      <w:bookmarkStart w:id="2" w:name="_Toc393878359"/>
      <w:bookmarkStart w:id="3" w:name="_Toc393524898"/>
      <w:bookmarkStart w:id="4" w:name="_Toc392930686"/>
      <w:bookmarkStart w:id="5" w:name="_Toc392930595"/>
      <w:bookmarkStart w:id="6" w:name="_Toc395521658"/>
      <w:bookmarkStart w:id="7" w:name="_Toc395706872"/>
      <w:bookmarkStart w:id="8" w:name="_Toc395791167"/>
      <w:bookmarkStart w:id="9" w:name="_Toc395868794"/>
      <w:r w:rsidRPr="0081415E">
        <w:rPr>
          <w:rFonts w:eastAsia="Times New Roman" w:cs="Arial"/>
          <w:b/>
          <w:smallCaps/>
          <w:sz w:val="28"/>
        </w:rPr>
        <w:t>Before</w:t>
      </w:r>
    </w:p>
    <w:p w:rsidR="0081415E" w:rsidRPr="0081415E" w:rsidRDefault="0081415E" w:rsidP="0081415E">
      <w:pPr>
        <w:jc w:val="center"/>
        <w:rPr>
          <w:rFonts w:eastAsia="Times New Roman" w:cs="Arial"/>
          <w:b/>
          <w:smallCaps/>
          <w:sz w:val="28"/>
        </w:rPr>
      </w:pPr>
      <w:r w:rsidRPr="0081415E">
        <w:rPr>
          <w:rFonts w:eastAsia="Times New Roman" w:cs="Arial"/>
          <w:b/>
          <w:smallCaps/>
          <w:sz w:val="28"/>
        </w:rPr>
        <w:t>The Public Utilities Commission of Ohio</w:t>
      </w:r>
    </w:p>
    <w:p w:rsidR="0081415E" w:rsidRPr="0081415E" w:rsidRDefault="0081415E" w:rsidP="0081415E">
      <w:pPr>
        <w:autoSpaceDE w:val="0"/>
        <w:autoSpaceDN w:val="0"/>
        <w:adjustRightInd w:val="0"/>
        <w:rPr>
          <w:rFonts w:eastAsia="Calibri" w:cs="Arial"/>
        </w:rPr>
      </w:pPr>
    </w:p>
    <w:tbl>
      <w:tblPr>
        <w:tblW w:w="8340" w:type="dxa"/>
        <w:jc w:val="center"/>
        <w:tblLook w:val="04A0" w:firstRow="1" w:lastRow="0" w:firstColumn="1" w:lastColumn="0" w:noHBand="0" w:noVBand="1"/>
      </w:tblPr>
      <w:tblGrid>
        <w:gridCol w:w="3990"/>
        <w:gridCol w:w="360"/>
        <w:gridCol w:w="3990"/>
      </w:tblGrid>
      <w:tr w:rsidR="0081415E" w:rsidRPr="0081415E" w:rsidTr="00EF5F57">
        <w:trPr>
          <w:jc w:val="center"/>
        </w:trPr>
        <w:tc>
          <w:tcPr>
            <w:tcW w:w="3990" w:type="dxa"/>
          </w:tcPr>
          <w:p w:rsidR="0081415E" w:rsidRPr="0081415E" w:rsidRDefault="0081415E" w:rsidP="0081415E">
            <w:pPr>
              <w:rPr>
                <w:rFonts w:eastAsia="Times New Roman" w:cs="Arial"/>
              </w:rPr>
            </w:pPr>
            <w:r w:rsidRPr="0081415E">
              <w:rPr>
                <w:rFonts w:eastAsia="Times New Roman" w:cs="Arial"/>
              </w:rPr>
              <w:t>In the Matter of the Application of Duke Energy Ohio for Authority to Establish a Standard Service Offer Pursuant to Section 4928.143, Revised Code, in the Form of an Electric Security Plan, Accounting Modifications and Tariffs for Generation Service.</w:t>
            </w:r>
          </w:p>
          <w:p w:rsidR="0081415E" w:rsidRPr="0081415E" w:rsidRDefault="0081415E" w:rsidP="0081415E">
            <w:pPr>
              <w:rPr>
                <w:rFonts w:eastAsia="Times New Roman" w:cs="Arial"/>
              </w:rPr>
            </w:pPr>
          </w:p>
        </w:tc>
        <w:tc>
          <w:tcPr>
            <w:tcW w:w="360" w:type="dxa"/>
          </w:tcPr>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tc>
        <w:tc>
          <w:tcPr>
            <w:tcW w:w="3990" w:type="dxa"/>
          </w:tcPr>
          <w:p w:rsidR="0081415E" w:rsidRPr="0081415E" w:rsidRDefault="0081415E" w:rsidP="0081415E">
            <w:pPr>
              <w:widowControl w:val="0"/>
              <w:suppressLineNumbers/>
              <w:tabs>
                <w:tab w:val="left" w:pos="4770"/>
              </w:tabs>
              <w:jc w:val="both"/>
              <w:rPr>
                <w:rFonts w:eastAsia="Times New Roman" w:cs="Arial"/>
              </w:rPr>
            </w:pPr>
          </w:p>
          <w:p w:rsidR="0081415E" w:rsidRPr="0081415E" w:rsidRDefault="0081415E" w:rsidP="0081415E">
            <w:pPr>
              <w:widowControl w:val="0"/>
              <w:suppressLineNumbers/>
              <w:tabs>
                <w:tab w:val="left" w:pos="4770"/>
              </w:tabs>
              <w:jc w:val="both"/>
              <w:rPr>
                <w:rFonts w:eastAsia="Times New Roman" w:cs="Arial"/>
              </w:rPr>
            </w:pPr>
          </w:p>
          <w:p w:rsidR="0081415E" w:rsidRPr="0081415E" w:rsidRDefault="0081415E" w:rsidP="0081415E">
            <w:pPr>
              <w:widowControl w:val="0"/>
              <w:suppressLineNumbers/>
              <w:tabs>
                <w:tab w:val="left" w:pos="4770"/>
              </w:tabs>
              <w:jc w:val="both"/>
              <w:rPr>
                <w:rFonts w:eastAsia="Times New Roman" w:cs="Arial"/>
              </w:rPr>
            </w:pP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Case No. 14-841-EL-SSO</w:t>
            </w:r>
          </w:p>
        </w:tc>
      </w:tr>
      <w:tr w:rsidR="0081415E" w:rsidRPr="0081415E" w:rsidTr="00EF5F57">
        <w:trPr>
          <w:jc w:val="center"/>
        </w:trPr>
        <w:tc>
          <w:tcPr>
            <w:tcW w:w="3990" w:type="dxa"/>
          </w:tcPr>
          <w:p w:rsidR="0081415E" w:rsidRPr="0081415E" w:rsidRDefault="0081415E" w:rsidP="0081415E">
            <w:pPr>
              <w:rPr>
                <w:rFonts w:eastAsia="Times New Roman" w:cs="Arial"/>
              </w:rPr>
            </w:pPr>
            <w:r w:rsidRPr="0081415E">
              <w:rPr>
                <w:rFonts w:eastAsia="Times New Roman" w:cs="Arial"/>
              </w:rPr>
              <w:t>In the Matter of the Application of Duke Energy Ohio for Authority to Amend its Certified Supplier Tariff, P.U.C.O. No. 20.</w:t>
            </w:r>
          </w:p>
        </w:tc>
        <w:tc>
          <w:tcPr>
            <w:tcW w:w="360" w:type="dxa"/>
          </w:tcPr>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tc>
        <w:tc>
          <w:tcPr>
            <w:tcW w:w="3990" w:type="dxa"/>
          </w:tcPr>
          <w:p w:rsidR="0081415E" w:rsidRPr="0081415E" w:rsidRDefault="0081415E" w:rsidP="0081415E">
            <w:pPr>
              <w:widowControl w:val="0"/>
              <w:suppressLineNumbers/>
              <w:tabs>
                <w:tab w:val="left" w:pos="4770"/>
              </w:tabs>
              <w:jc w:val="both"/>
              <w:rPr>
                <w:rFonts w:eastAsia="Times New Roman" w:cs="Arial"/>
              </w:rPr>
            </w:pP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Case No. 14-842-EL-ATA</w:t>
            </w:r>
          </w:p>
        </w:tc>
      </w:tr>
    </w:tbl>
    <w:p w:rsidR="0081415E" w:rsidRPr="0081415E" w:rsidRDefault="0081415E" w:rsidP="00F467A5">
      <w:pPr>
        <w:tabs>
          <w:tab w:val="left" w:pos="5040"/>
        </w:tabs>
        <w:spacing w:after="0"/>
        <w:jc w:val="both"/>
        <w:rPr>
          <w:rFonts w:eastAsia="Times New Roman" w:cs="Arial"/>
        </w:rPr>
      </w:pPr>
    </w:p>
    <w:p w:rsidR="0081415E" w:rsidRDefault="00AE5BBE" w:rsidP="00F467A5">
      <w:pPr>
        <w:spacing w:after="0"/>
        <w:rPr>
          <w:rFonts w:eastAsia="Calibri" w:cs="Arial"/>
          <w:b/>
        </w:rPr>
      </w:pPr>
      <w:r>
        <w:rPr>
          <w:rFonts w:eastAsia="Calibri" w:cs="Arial"/>
          <w:b/>
        </w:rPr>
        <w:t>______________________________________________________________________</w:t>
      </w:r>
    </w:p>
    <w:p w:rsidR="00AE5BBE" w:rsidRPr="00AE5BBE" w:rsidRDefault="00AE5BBE" w:rsidP="00F467A5">
      <w:pPr>
        <w:spacing w:after="0"/>
        <w:rPr>
          <w:rFonts w:eastAsia="Calibri" w:cs="Arial"/>
          <w:b/>
        </w:rPr>
      </w:pPr>
    </w:p>
    <w:p w:rsidR="0081415E" w:rsidRPr="0081415E" w:rsidRDefault="0081415E" w:rsidP="00F467A5">
      <w:pPr>
        <w:spacing w:after="0"/>
        <w:jc w:val="center"/>
        <w:rPr>
          <w:rFonts w:eastAsia="Calibri" w:cs="Arial"/>
          <w:b/>
          <w:caps/>
          <w:sz w:val="28"/>
          <w:szCs w:val="28"/>
        </w:rPr>
      </w:pPr>
      <w:r>
        <w:rPr>
          <w:rFonts w:eastAsia="Calibri" w:cs="Arial"/>
          <w:b/>
          <w:caps/>
          <w:sz w:val="28"/>
          <w:szCs w:val="28"/>
        </w:rPr>
        <w:t>REPLY</w:t>
      </w:r>
      <w:r w:rsidRPr="0081415E">
        <w:rPr>
          <w:rFonts w:eastAsia="Calibri" w:cs="Arial"/>
          <w:b/>
          <w:caps/>
          <w:sz w:val="28"/>
          <w:szCs w:val="28"/>
        </w:rPr>
        <w:t xml:space="preserve"> BRIEF OF Industrial Energy Users-Ohio</w:t>
      </w:r>
    </w:p>
    <w:bookmarkEnd w:id="0"/>
    <w:bookmarkEnd w:id="1"/>
    <w:p w:rsidR="0081415E" w:rsidRPr="00AE5BBE" w:rsidRDefault="00AE5BBE" w:rsidP="00F467A5">
      <w:pPr>
        <w:spacing w:after="0"/>
        <w:rPr>
          <w:rFonts w:eastAsia="Calibri" w:cs="Arial"/>
          <w:b/>
        </w:rPr>
      </w:pPr>
      <w:r>
        <w:rPr>
          <w:rFonts w:eastAsia="Calibri" w:cs="Arial"/>
          <w:b/>
        </w:rPr>
        <w:t>______________________________________________________________________</w:t>
      </w:r>
    </w:p>
    <w:p w:rsidR="0081415E" w:rsidRPr="0081415E" w:rsidRDefault="0081415E" w:rsidP="00F467A5">
      <w:pPr>
        <w:spacing w:after="0"/>
        <w:rPr>
          <w:rFonts w:eastAsia="Calibri" w:cs="Arial"/>
        </w:rPr>
      </w:pPr>
    </w:p>
    <w:p w:rsidR="0081415E" w:rsidRPr="0081415E" w:rsidRDefault="0081415E" w:rsidP="00F467A5">
      <w:pPr>
        <w:spacing w:after="0"/>
        <w:rPr>
          <w:rFonts w:eastAsia="Calibri" w:cs="Arial"/>
        </w:rPr>
      </w:pPr>
    </w:p>
    <w:p w:rsidR="0081415E" w:rsidRPr="0081415E" w:rsidRDefault="0081415E" w:rsidP="00F467A5">
      <w:pPr>
        <w:spacing w:after="0"/>
        <w:rPr>
          <w:rFonts w:eastAsia="Calibri" w:cs="Arial"/>
        </w:rPr>
      </w:pPr>
    </w:p>
    <w:p w:rsidR="0081415E" w:rsidRPr="0081415E" w:rsidRDefault="0081415E" w:rsidP="00F467A5">
      <w:pPr>
        <w:widowControl w:val="0"/>
        <w:spacing w:after="0"/>
        <w:ind w:left="4320"/>
        <w:jc w:val="both"/>
        <w:rPr>
          <w:rFonts w:eastAsia="Calibri" w:cs="Arial"/>
          <w:bCs/>
        </w:rPr>
      </w:pPr>
      <w:r w:rsidRPr="0081415E">
        <w:rPr>
          <w:rFonts w:eastAsia="Calibri" w:cs="Arial"/>
          <w:bCs/>
        </w:rPr>
        <w:t>Frank P. Darr (Counsel of Record)</w:t>
      </w:r>
    </w:p>
    <w:p w:rsidR="0081415E" w:rsidRPr="0081415E" w:rsidRDefault="0081415E" w:rsidP="00F467A5">
      <w:pPr>
        <w:widowControl w:val="0"/>
        <w:spacing w:after="0"/>
        <w:ind w:left="4320"/>
        <w:jc w:val="both"/>
        <w:rPr>
          <w:rFonts w:eastAsia="Calibri" w:cs="Arial"/>
          <w:bCs/>
        </w:rPr>
      </w:pPr>
      <w:r w:rsidRPr="0081415E">
        <w:rPr>
          <w:rFonts w:eastAsia="Calibri" w:cs="Arial"/>
          <w:bCs/>
        </w:rPr>
        <w:t>(Reg. No. 0025469)</w:t>
      </w:r>
    </w:p>
    <w:p w:rsidR="0081415E" w:rsidRPr="0081415E" w:rsidRDefault="0081415E" w:rsidP="00F467A5">
      <w:pPr>
        <w:widowControl w:val="0"/>
        <w:spacing w:after="0"/>
        <w:ind w:left="4320"/>
        <w:jc w:val="both"/>
        <w:rPr>
          <w:rFonts w:eastAsia="Calibri" w:cs="Arial"/>
          <w:b/>
          <w:bCs/>
        </w:rPr>
      </w:pPr>
      <w:r w:rsidRPr="0081415E">
        <w:rPr>
          <w:rFonts w:eastAsia="Calibri" w:cs="Arial"/>
          <w:bCs/>
        </w:rPr>
        <w:t>Matthew R. Pritchard (Reg. No. 0088070)</w:t>
      </w:r>
    </w:p>
    <w:p w:rsidR="0081415E" w:rsidRPr="0081415E" w:rsidRDefault="0081415E" w:rsidP="00F467A5">
      <w:pPr>
        <w:widowControl w:val="0"/>
        <w:spacing w:after="0"/>
        <w:ind w:left="4320"/>
        <w:jc w:val="both"/>
        <w:rPr>
          <w:rFonts w:eastAsia="Calibri" w:cs="Arial"/>
          <w:b/>
          <w:bCs/>
          <w:smallCaps/>
        </w:rPr>
      </w:pPr>
      <w:r w:rsidRPr="0081415E">
        <w:rPr>
          <w:rFonts w:eastAsia="Calibri" w:cs="Arial"/>
          <w:bCs/>
          <w:smallCaps/>
        </w:rPr>
        <w:t>McNees Wallace &amp; Nurick LLC</w:t>
      </w:r>
    </w:p>
    <w:p w:rsidR="0081415E" w:rsidRPr="0081415E" w:rsidRDefault="0081415E" w:rsidP="00F467A5">
      <w:pPr>
        <w:widowControl w:val="0"/>
        <w:spacing w:after="0"/>
        <w:ind w:left="4320"/>
        <w:jc w:val="both"/>
        <w:rPr>
          <w:rFonts w:eastAsia="Calibri" w:cs="Arial"/>
          <w:b/>
          <w:bCs/>
        </w:rPr>
      </w:pPr>
      <w:r w:rsidRPr="0081415E">
        <w:rPr>
          <w:rFonts w:eastAsia="Calibri" w:cs="Arial"/>
          <w:bCs/>
        </w:rPr>
        <w:t>21 East State Street, 17</w:t>
      </w:r>
      <w:r w:rsidRPr="0081415E">
        <w:rPr>
          <w:rFonts w:eastAsia="Calibri" w:cs="Arial"/>
          <w:bCs/>
          <w:vertAlign w:val="superscript"/>
        </w:rPr>
        <w:t>TH</w:t>
      </w:r>
      <w:r w:rsidRPr="0081415E">
        <w:rPr>
          <w:rFonts w:eastAsia="Calibri" w:cs="Arial"/>
          <w:bCs/>
        </w:rPr>
        <w:t xml:space="preserve"> Floor</w:t>
      </w:r>
    </w:p>
    <w:p w:rsidR="0081415E" w:rsidRPr="0081415E" w:rsidRDefault="0081415E" w:rsidP="00F467A5">
      <w:pPr>
        <w:tabs>
          <w:tab w:val="left" w:pos="-1440"/>
          <w:tab w:val="left" w:pos="-720"/>
          <w:tab w:val="left" w:pos="5040"/>
          <w:tab w:val="center" w:pos="7200"/>
        </w:tabs>
        <w:overflowPunct w:val="0"/>
        <w:autoSpaceDE w:val="0"/>
        <w:autoSpaceDN w:val="0"/>
        <w:adjustRightInd w:val="0"/>
        <w:spacing w:after="0"/>
        <w:ind w:left="4320"/>
        <w:jc w:val="both"/>
        <w:rPr>
          <w:rFonts w:eastAsia="Calibri" w:cs="Arial"/>
        </w:rPr>
      </w:pPr>
      <w:r w:rsidRPr="0081415E">
        <w:rPr>
          <w:rFonts w:eastAsia="Calibri" w:cs="Arial"/>
        </w:rPr>
        <w:t>Columbus, OH  43215</w:t>
      </w:r>
    </w:p>
    <w:p w:rsidR="0081415E" w:rsidRPr="0081415E" w:rsidRDefault="0081415E" w:rsidP="00F467A5">
      <w:pPr>
        <w:tabs>
          <w:tab w:val="left" w:pos="-1440"/>
          <w:tab w:val="left" w:pos="-720"/>
          <w:tab w:val="left" w:pos="5040"/>
          <w:tab w:val="center" w:pos="7200"/>
        </w:tabs>
        <w:overflowPunct w:val="0"/>
        <w:autoSpaceDE w:val="0"/>
        <w:autoSpaceDN w:val="0"/>
        <w:adjustRightInd w:val="0"/>
        <w:spacing w:after="0"/>
        <w:ind w:left="4320"/>
        <w:jc w:val="both"/>
        <w:rPr>
          <w:rFonts w:eastAsia="Calibri" w:cs="Arial"/>
        </w:rPr>
      </w:pPr>
      <w:r w:rsidRPr="0081415E">
        <w:rPr>
          <w:rFonts w:eastAsia="Calibri" w:cs="Arial"/>
        </w:rPr>
        <w:t>Telephone:  (614) 469-8000</w:t>
      </w:r>
    </w:p>
    <w:p w:rsidR="0081415E" w:rsidRPr="0081415E" w:rsidRDefault="0081415E" w:rsidP="00F467A5">
      <w:pPr>
        <w:tabs>
          <w:tab w:val="left" w:pos="-1440"/>
          <w:tab w:val="left" w:pos="-720"/>
          <w:tab w:val="left" w:pos="5040"/>
          <w:tab w:val="center" w:pos="7200"/>
        </w:tabs>
        <w:overflowPunct w:val="0"/>
        <w:autoSpaceDE w:val="0"/>
        <w:autoSpaceDN w:val="0"/>
        <w:adjustRightInd w:val="0"/>
        <w:spacing w:after="0"/>
        <w:ind w:left="4320"/>
        <w:jc w:val="both"/>
        <w:rPr>
          <w:rFonts w:eastAsia="Calibri" w:cs="Arial"/>
          <w:color w:val="000000"/>
        </w:rPr>
      </w:pPr>
      <w:r w:rsidRPr="0081415E">
        <w:rPr>
          <w:rFonts w:eastAsia="Calibri" w:cs="Arial"/>
          <w:color w:val="000000"/>
        </w:rPr>
        <w:t>Telecopier:  (614) 469-4653</w:t>
      </w:r>
    </w:p>
    <w:p w:rsidR="0081415E" w:rsidRPr="0081415E" w:rsidRDefault="0081415E" w:rsidP="00F467A5">
      <w:pPr>
        <w:tabs>
          <w:tab w:val="left" w:pos="-1440"/>
          <w:tab w:val="left" w:pos="-720"/>
          <w:tab w:val="left" w:pos="5040"/>
          <w:tab w:val="center" w:pos="7200"/>
        </w:tabs>
        <w:overflowPunct w:val="0"/>
        <w:autoSpaceDE w:val="0"/>
        <w:autoSpaceDN w:val="0"/>
        <w:adjustRightInd w:val="0"/>
        <w:spacing w:after="0"/>
        <w:ind w:left="4320"/>
        <w:jc w:val="both"/>
        <w:rPr>
          <w:rFonts w:eastAsia="Calibri" w:cs="Arial"/>
          <w:color w:val="000000"/>
        </w:rPr>
      </w:pPr>
      <w:r w:rsidRPr="0081415E">
        <w:rPr>
          <w:rFonts w:eastAsia="Calibri" w:cs="Arial"/>
        </w:rPr>
        <w:t>fdarr@mwncmh.com</w:t>
      </w:r>
    </w:p>
    <w:p w:rsidR="0081415E" w:rsidRPr="0081415E" w:rsidRDefault="0081415E" w:rsidP="00F467A5">
      <w:pPr>
        <w:tabs>
          <w:tab w:val="left" w:pos="-1440"/>
          <w:tab w:val="left" w:pos="-720"/>
          <w:tab w:val="left" w:pos="5040"/>
          <w:tab w:val="center" w:pos="7200"/>
        </w:tabs>
        <w:overflowPunct w:val="0"/>
        <w:autoSpaceDE w:val="0"/>
        <w:autoSpaceDN w:val="0"/>
        <w:adjustRightInd w:val="0"/>
        <w:spacing w:after="0"/>
        <w:ind w:left="4320"/>
        <w:jc w:val="both"/>
        <w:rPr>
          <w:rFonts w:eastAsia="Calibri" w:cs="Arial"/>
          <w:color w:val="000000"/>
        </w:rPr>
      </w:pPr>
      <w:r w:rsidRPr="0081415E">
        <w:rPr>
          <w:rFonts w:eastAsia="Calibri" w:cs="Arial"/>
          <w:color w:val="000000"/>
        </w:rPr>
        <w:t>(willing to accept service by e-mail)</w:t>
      </w:r>
    </w:p>
    <w:p w:rsidR="0081415E" w:rsidRPr="0081415E" w:rsidRDefault="0081415E" w:rsidP="00F467A5">
      <w:pPr>
        <w:tabs>
          <w:tab w:val="left" w:pos="-1440"/>
          <w:tab w:val="left" w:pos="-720"/>
          <w:tab w:val="left" w:pos="5040"/>
          <w:tab w:val="center" w:pos="7200"/>
        </w:tabs>
        <w:overflowPunct w:val="0"/>
        <w:autoSpaceDE w:val="0"/>
        <w:autoSpaceDN w:val="0"/>
        <w:adjustRightInd w:val="0"/>
        <w:spacing w:after="0"/>
        <w:ind w:left="4320"/>
        <w:jc w:val="both"/>
        <w:rPr>
          <w:rFonts w:eastAsia="Calibri" w:cs="Arial"/>
          <w:smallCaps/>
          <w:color w:val="000000"/>
        </w:rPr>
      </w:pPr>
      <w:r w:rsidRPr="0081415E">
        <w:rPr>
          <w:rFonts w:eastAsia="Calibri" w:cs="Arial"/>
          <w:color w:val="000000"/>
        </w:rPr>
        <w:t>mpritchard@mwncmh.com</w:t>
      </w:r>
    </w:p>
    <w:p w:rsidR="0081415E" w:rsidRPr="0081415E" w:rsidRDefault="0081415E" w:rsidP="00F467A5">
      <w:pPr>
        <w:tabs>
          <w:tab w:val="left" w:pos="-1440"/>
          <w:tab w:val="left" w:pos="-720"/>
          <w:tab w:val="left" w:pos="5040"/>
          <w:tab w:val="center" w:pos="7200"/>
        </w:tabs>
        <w:overflowPunct w:val="0"/>
        <w:autoSpaceDE w:val="0"/>
        <w:autoSpaceDN w:val="0"/>
        <w:adjustRightInd w:val="0"/>
        <w:spacing w:after="0"/>
        <w:ind w:left="4320"/>
        <w:jc w:val="both"/>
        <w:rPr>
          <w:rFonts w:eastAsia="Calibri" w:cs="Arial"/>
          <w:color w:val="000000"/>
        </w:rPr>
      </w:pPr>
      <w:r w:rsidRPr="0081415E">
        <w:rPr>
          <w:rFonts w:eastAsia="Calibri" w:cs="Arial"/>
          <w:color w:val="000000"/>
        </w:rPr>
        <w:t>(willing to accept service by e-mail)</w:t>
      </w:r>
    </w:p>
    <w:p w:rsidR="0081415E" w:rsidRPr="0081415E" w:rsidRDefault="0081415E" w:rsidP="0081415E">
      <w:pPr>
        <w:tabs>
          <w:tab w:val="left" w:pos="-1440"/>
          <w:tab w:val="left" w:pos="-720"/>
          <w:tab w:val="left" w:pos="5040"/>
          <w:tab w:val="center" w:pos="7200"/>
        </w:tabs>
        <w:overflowPunct w:val="0"/>
        <w:autoSpaceDE w:val="0"/>
        <w:autoSpaceDN w:val="0"/>
        <w:adjustRightInd w:val="0"/>
        <w:ind w:left="4320"/>
        <w:jc w:val="both"/>
        <w:rPr>
          <w:rFonts w:eastAsia="Calibri" w:cs="Arial"/>
          <w:b/>
          <w:smallCaps/>
        </w:rPr>
      </w:pPr>
    </w:p>
    <w:p w:rsidR="00555B0B" w:rsidRDefault="0081415E" w:rsidP="0081415E">
      <w:pPr>
        <w:ind w:left="4320" w:hanging="4320"/>
        <w:rPr>
          <w:rFonts w:eastAsia="Calibri" w:cs="Arial"/>
          <w:b/>
        </w:rPr>
      </w:pPr>
      <w:r w:rsidRPr="0081415E">
        <w:rPr>
          <w:rFonts w:eastAsia="Calibri" w:cs="Arial"/>
          <w:b/>
        </w:rPr>
        <w:t xml:space="preserve">December </w:t>
      </w:r>
      <w:r>
        <w:rPr>
          <w:rFonts w:eastAsia="Calibri" w:cs="Arial"/>
          <w:b/>
        </w:rPr>
        <w:t>29</w:t>
      </w:r>
      <w:r w:rsidRPr="0081415E">
        <w:rPr>
          <w:rFonts w:eastAsia="Calibri" w:cs="Arial"/>
          <w:b/>
        </w:rPr>
        <w:t>, 2014</w:t>
      </w:r>
      <w:r w:rsidRPr="0081415E">
        <w:rPr>
          <w:rFonts w:eastAsia="Calibri" w:cs="Arial"/>
          <w:b/>
        </w:rPr>
        <w:tab/>
        <w:t>Attorneys for Industrial Energy Users-Ohio</w:t>
      </w:r>
    </w:p>
    <w:p w:rsidR="00555B0B" w:rsidRDefault="00555B0B" w:rsidP="0081415E">
      <w:pPr>
        <w:ind w:left="4320" w:hanging="4320"/>
        <w:rPr>
          <w:rFonts w:eastAsia="Calibri" w:cs="Arial"/>
          <w:b/>
        </w:rPr>
      </w:pPr>
    </w:p>
    <w:p w:rsidR="00555B0B" w:rsidRDefault="00555B0B" w:rsidP="0081415E">
      <w:pPr>
        <w:ind w:left="4320" w:hanging="4320"/>
        <w:rPr>
          <w:rFonts w:eastAsia="Calibri" w:cs="Arial"/>
          <w:b/>
        </w:rPr>
        <w:sectPr w:rsidR="00555B0B" w:rsidSect="00555B0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fmt="lowerRoman" w:start="1"/>
          <w:cols w:space="720"/>
          <w:docGrid w:linePitch="326"/>
        </w:sectPr>
      </w:pPr>
    </w:p>
    <w:p w:rsidR="00AE5BBE" w:rsidRPr="00AE5BBE" w:rsidRDefault="00AE5BBE" w:rsidP="00555B0B">
      <w:pPr>
        <w:pStyle w:val="TOCHeading"/>
        <w:rPr>
          <w:color w:val="auto"/>
          <w:u w:val="single"/>
        </w:rPr>
      </w:pPr>
      <w:bookmarkStart w:id="10" w:name="TOCHeading"/>
      <w:r w:rsidRPr="00AE5BBE">
        <w:rPr>
          <w:color w:val="auto"/>
          <w:u w:val="single"/>
        </w:rPr>
        <w:lastRenderedPageBreak/>
        <w:t>TABLE OF CONTENTS</w:t>
      </w:r>
    </w:p>
    <w:p w:rsidR="00AE5BBE" w:rsidRDefault="00AE5BBE" w:rsidP="00AE5BBE">
      <w:pPr>
        <w:pStyle w:val="TOCPage"/>
      </w:pPr>
      <w:bookmarkStart w:id="11" w:name="TOCPage"/>
      <w:bookmarkEnd w:id="10"/>
      <w:r>
        <w:t>Page</w:t>
      </w:r>
    </w:p>
    <w:bookmarkEnd w:id="11"/>
    <w:p w:rsidR="00AA1138" w:rsidRDefault="00AA1138">
      <w:pPr>
        <w:pStyle w:val="TOC1"/>
        <w:rPr>
          <w:rFonts w:asciiTheme="minorHAnsi" w:eastAsiaTheme="minorEastAsia" w:hAnsiTheme="minorHAnsi"/>
          <w:noProof/>
          <w:sz w:val="22"/>
          <w:szCs w:val="22"/>
        </w:rPr>
      </w:pPr>
      <w:r>
        <w:rPr>
          <w:noProof/>
        </w:rPr>
        <w:fldChar w:fldCharType="begin"/>
      </w:r>
      <w:r>
        <w:rPr>
          <w:noProof/>
        </w:rPr>
        <w:instrText xml:space="preserve"> TOC \t "Heading 1,1,Heading 2,2,Heading 3,3" </w:instrText>
      </w:r>
      <w:r>
        <w:rPr>
          <w:noProof/>
        </w:rPr>
        <w:fldChar w:fldCharType="separate"/>
      </w:r>
      <w:bookmarkStart w:id="12" w:name="TOCLocation"/>
      <w:r w:rsidRPr="00313A6C">
        <w:rPr>
          <w:noProof/>
          <w:color w:val="010000"/>
        </w:rPr>
        <w:t>I.</w:t>
      </w:r>
      <w:r>
        <w:rPr>
          <w:rFonts w:asciiTheme="minorHAnsi" w:eastAsiaTheme="minorEastAsia" w:hAnsiTheme="minorHAnsi"/>
          <w:noProof/>
          <w:sz w:val="22"/>
          <w:szCs w:val="22"/>
        </w:rPr>
        <w:tab/>
      </w:r>
      <w:r>
        <w:rPr>
          <w:noProof/>
        </w:rPr>
        <w:t>INTRODUCTION</w:t>
      </w:r>
      <w:r>
        <w:rPr>
          <w:noProof/>
        </w:rPr>
        <w:tab/>
      </w:r>
      <w:r>
        <w:rPr>
          <w:noProof/>
        </w:rPr>
        <w:fldChar w:fldCharType="begin"/>
      </w:r>
      <w:r>
        <w:rPr>
          <w:noProof/>
        </w:rPr>
        <w:instrText xml:space="preserve"> PAGEREF _Toc407625422 \h </w:instrText>
      </w:r>
      <w:r>
        <w:rPr>
          <w:noProof/>
        </w:rPr>
      </w:r>
      <w:r>
        <w:rPr>
          <w:noProof/>
        </w:rPr>
        <w:fldChar w:fldCharType="separate"/>
      </w:r>
      <w:r>
        <w:rPr>
          <w:noProof/>
        </w:rPr>
        <w:t>1</w:t>
      </w:r>
      <w:r>
        <w:rPr>
          <w:noProof/>
        </w:rPr>
        <w:fldChar w:fldCharType="end"/>
      </w:r>
    </w:p>
    <w:p w:rsidR="00AA1138" w:rsidRDefault="00AA1138">
      <w:pPr>
        <w:pStyle w:val="TOC1"/>
        <w:rPr>
          <w:rFonts w:asciiTheme="minorHAnsi" w:eastAsiaTheme="minorEastAsia" w:hAnsiTheme="minorHAnsi"/>
          <w:noProof/>
          <w:sz w:val="22"/>
          <w:szCs w:val="22"/>
        </w:rPr>
      </w:pPr>
      <w:r w:rsidRPr="00313A6C">
        <w:rPr>
          <w:noProof/>
          <w:color w:val="010000"/>
        </w:rPr>
        <w:t>II.</w:t>
      </w:r>
      <w:r>
        <w:rPr>
          <w:rFonts w:asciiTheme="minorHAnsi" w:eastAsiaTheme="minorEastAsia" w:hAnsiTheme="minorHAnsi"/>
          <w:noProof/>
          <w:sz w:val="22"/>
          <w:szCs w:val="22"/>
        </w:rPr>
        <w:tab/>
      </w:r>
      <w:r>
        <w:rPr>
          <w:noProof/>
        </w:rPr>
        <w:t>THE COMMISSION SHOULD NOT AUTHORIZE THE PSR</w:t>
      </w:r>
      <w:r>
        <w:rPr>
          <w:noProof/>
        </w:rPr>
        <w:tab/>
      </w:r>
      <w:r>
        <w:rPr>
          <w:noProof/>
        </w:rPr>
        <w:fldChar w:fldCharType="begin"/>
      </w:r>
      <w:r>
        <w:rPr>
          <w:noProof/>
        </w:rPr>
        <w:instrText xml:space="preserve"> PAGEREF _Toc407625423 \h </w:instrText>
      </w:r>
      <w:r>
        <w:rPr>
          <w:noProof/>
        </w:rPr>
      </w:r>
      <w:r>
        <w:rPr>
          <w:noProof/>
        </w:rPr>
        <w:fldChar w:fldCharType="separate"/>
      </w:r>
      <w:r>
        <w:rPr>
          <w:noProof/>
        </w:rPr>
        <w:t>2</w:t>
      </w:r>
      <w:r>
        <w:rPr>
          <w:noProof/>
        </w:rPr>
        <w:fldChar w:fldCharType="end"/>
      </w:r>
    </w:p>
    <w:p w:rsidR="00AA1138" w:rsidRDefault="00AA1138" w:rsidP="00AA1138">
      <w:pPr>
        <w:pStyle w:val="TOC2"/>
        <w:ind w:left="1440" w:hanging="720"/>
        <w:rPr>
          <w:rFonts w:asciiTheme="minorHAnsi" w:eastAsiaTheme="minorEastAsia" w:hAnsiTheme="minorHAnsi"/>
          <w:noProof/>
          <w:sz w:val="22"/>
          <w:szCs w:val="22"/>
        </w:rPr>
      </w:pPr>
      <w:r w:rsidRPr="00313A6C">
        <w:rPr>
          <w:noProof/>
          <w:color w:val="010000"/>
        </w:rPr>
        <w:t>A.</w:t>
      </w:r>
      <w:r>
        <w:rPr>
          <w:rFonts w:asciiTheme="minorHAnsi" w:eastAsiaTheme="minorEastAsia" w:hAnsiTheme="minorHAnsi"/>
          <w:noProof/>
          <w:sz w:val="22"/>
          <w:szCs w:val="22"/>
        </w:rPr>
        <w:tab/>
      </w:r>
      <w:r>
        <w:rPr>
          <w:noProof/>
        </w:rPr>
        <w:t>The PSR is not related to an item listed in R.C. 4928.143(B)(2)(d) and therefore cannot be a term of an ESP</w:t>
      </w:r>
      <w:r>
        <w:rPr>
          <w:noProof/>
        </w:rPr>
        <w:tab/>
      </w:r>
      <w:r>
        <w:rPr>
          <w:noProof/>
        </w:rPr>
        <w:fldChar w:fldCharType="begin"/>
      </w:r>
      <w:r>
        <w:rPr>
          <w:noProof/>
        </w:rPr>
        <w:instrText xml:space="preserve"> PAGEREF _Toc407625424 \h </w:instrText>
      </w:r>
      <w:r>
        <w:rPr>
          <w:noProof/>
        </w:rPr>
      </w:r>
      <w:r>
        <w:rPr>
          <w:noProof/>
        </w:rPr>
        <w:fldChar w:fldCharType="separate"/>
      </w:r>
      <w:r>
        <w:rPr>
          <w:noProof/>
        </w:rPr>
        <w:t>3</w:t>
      </w:r>
      <w:r>
        <w:rPr>
          <w:noProof/>
        </w:rPr>
        <w:fldChar w:fldCharType="end"/>
      </w:r>
    </w:p>
    <w:p w:rsidR="00AA1138" w:rsidRDefault="00AA1138" w:rsidP="00AA1138">
      <w:pPr>
        <w:pStyle w:val="TOC2"/>
        <w:ind w:left="1440" w:hanging="720"/>
        <w:rPr>
          <w:rFonts w:asciiTheme="minorHAnsi" w:eastAsiaTheme="minorEastAsia" w:hAnsiTheme="minorHAnsi"/>
          <w:noProof/>
          <w:sz w:val="22"/>
          <w:szCs w:val="22"/>
        </w:rPr>
      </w:pPr>
      <w:r w:rsidRPr="00313A6C">
        <w:rPr>
          <w:noProof/>
          <w:color w:val="010000"/>
        </w:rPr>
        <w:t>B.</w:t>
      </w:r>
      <w:r>
        <w:rPr>
          <w:rFonts w:asciiTheme="minorHAnsi" w:eastAsiaTheme="minorEastAsia" w:hAnsiTheme="minorHAnsi"/>
          <w:noProof/>
          <w:sz w:val="22"/>
          <w:szCs w:val="22"/>
        </w:rPr>
        <w:tab/>
      </w:r>
      <w:r>
        <w:rPr>
          <w:noProof/>
        </w:rPr>
        <w:t>The PSR would not provide “certainty” or “stability” regarding retail electric service</w:t>
      </w:r>
      <w:r>
        <w:rPr>
          <w:noProof/>
        </w:rPr>
        <w:tab/>
      </w:r>
      <w:r>
        <w:rPr>
          <w:noProof/>
        </w:rPr>
        <w:fldChar w:fldCharType="begin"/>
      </w:r>
      <w:r>
        <w:rPr>
          <w:noProof/>
        </w:rPr>
        <w:instrText xml:space="preserve"> PAGEREF _Toc407625425 \h </w:instrText>
      </w:r>
      <w:r>
        <w:rPr>
          <w:noProof/>
        </w:rPr>
      </w:r>
      <w:r>
        <w:rPr>
          <w:noProof/>
        </w:rPr>
        <w:fldChar w:fldCharType="separate"/>
      </w:r>
      <w:r>
        <w:rPr>
          <w:noProof/>
        </w:rPr>
        <w:t>6</w:t>
      </w:r>
      <w:r>
        <w:rPr>
          <w:noProof/>
        </w:rPr>
        <w:fldChar w:fldCharType="end"/>
      </w:r>
    </w:p>
    <w:p w:rsidR="00AA1138" w:rsidRDefault="00AA1138">
      <w:pPr>
        <w:pStyle w:val="TOC3"/>
        <w:rPr>
          <w:rFonts w:asciiTheme="minorHAnsi" w:eastAsiaTheme="minorEastAsia" w:hAnsiTheme="minorHAnsi"/>
          <w:noProof/>
          <w:sz w:val="22"/>
          <w:szCs w:val="22"/>
        </w:rPr>
      </w:pPr>
      <w:r w:rsidRPr="00313A6C">
        <w:rPr>
          <w:noProof/>
          <w:color w:val="010000"/>
        </w:rPr>
        <w:t>1.</w:t>
      </w:r>
      <w:r>
        <w:rPr>
          <w:rFonts w:asciiTheme="minorHAnsi" w:eastAsiaTheme="minorEastAsia" w:hAnsiTheme="minorHAnsi"/>
          <w:noProof/>
          <w:sz w:val="22"/>
          <w:szCs w:val="22"/>
        </w:rPr>
        <w:tab/>
      </w:r>
      <w:r>
        <w:rPr>
          <w:noProof/>
        </w:rPr>
        <w:t>The PSR would inject additional volatility into customer bills</w:t>
      </w:r>
      <w:r>
        <w:rPr>
          <w:noProof/>
        </w:rPr>
        <w:tab/>
      </w:r>
      <w:r>
        <w:rPr>
          <w:noProof/>
        </w:rPr>
        <w:fldChar w:fldCharType="begin"/>
      </w:r>
      <w:r>
        <w:rPr>
          <w:noProof/>
        </w:rPr>
        <w:instrText xml:space="preserve"> PAGEREF _Toc407625426 \h </w:instrText>
      </w:r>
      <w:r>
        <w:rPr>
          <w:noProof/>
        </w:rPr>
      </w:r>
      <w:r>
        <w:rPr>
          <w:noProof/>
        </w:rPr>
        <w:fldChar w:fldCharType="separate"/>
      </w:r>
      <w:r>
        <w:rPr>
          <w:noProof/>
        </w:rPr>
        <w:t>7</w:t>
      </w:r>
      <w:r>
        <w:rPr>
          <w:noProof/>
        </w:rPr>
        <w:fldChar w:fldCharType="end"/>
      </w:r>
    </w:p>
    <w:p w:rsidR="00AA1138" w:rsidRDefault="00AA1138">
      <w:pPr>
        <w:pStyle w:val="TOC3"/>
        <w:rPr>
          <w:rFonts w:asciiTheme="minorHAnsi" w:eastAsiaTheme="minorEastAsia" w:hAnsiTheme="minorHAnsi"/>
          <w:noProof/>
          <w:sz w:val="22"/>
          <w:szCs w:val="22"/>
        </w:rPr>
      </w:pPr>
      <w:r w:rsidRPr="00313A6C">
        <w:rPr>
          <w:noProof/>
          <w:color w:val="010000"/>
        </w:rPr>
        <w:t>2.</w:t>
      </w:r>
      <w:r>
        <w:rPr>
          <w:rFonts w:asciiTheme="minorHAnsi" w:eastAsiaTheme="minorEastAsia" w:hAnsiTheme="minorHAnsi"/>
          <w:noProof/>
          <w:sz w:val="22"/>
          <w:szCs w:val="22"/>
        </w:rPr>
        <w:tab/>
      </w:r>
      <w:r>
        <w:rPr>
          <w:noProof/>
        </w:rPr>
        <w:t>The PSR will impose a cost on customers</w:t>
      </w:r>
      <w:r>
        <w:rPr>
          <w:noProof/>
        </w:rPr>
        <w:tab/>
      </w:r>
      <w:r>
        <w:rPr>
          <w:noProof/>
        </w:rPr>
        <w:fldChar w:fldCharType="begin"/>
      </w:r>
      <w:r>
        <w:rPr>
          <w:noProof/>
        </w:rPr>
        <w:instrText xml:space="preserve"> PAGEREF _Toc407625427 \h </w:instrText>
      </w:r>
      <w:r>
        <w:rPr>
          <w:noProof/>
        </w:rPr>
      </w:r>
      <w:r>
        <w:rPr>
          <w:noProof/>
        </w:rPr>
        <w:fldChar w:fldCharType="separate"/>
      </w:r>
      <w:r>
        <w:rPr>
          <w:noProof/>
        </w:rPr>
        <w:t>7</w:t>
      </w:r>
      <w:r>
        <w:rPr>
          <w:noProof/>
        </w:rPr>
        <w:fldChar w:fldCharType="end"/>
      </w:r>
    </w:p>
    <w:p w:rsidR="00AA1138" w:rsidRDefault="00AA1138" w:rsidP="00AA1138">
      <w:pPr>
        <w:pStyle w:val="TOC3"/>
        <w:ind w:left="2160" w:hanging="720"/>
        <w:rPr>
          <w:rFonts w:asciiTheme="minorHAnsi" w:eastAsiaTheme="minorEastAsia" w:hAnsiTheme="minorHAnsi"/>
          <w:noProof/>
          <w:sz w:val="22"/>
          <w:szCs w:val="22"/>
        </w:rPr>
      </w:pPr>
      <w:r w:rsidRPr="00313A6C">
        <w:rPr>
          <w:noProof/>
          <w:color w:val="010000"/>
        </w:rPr>
        <w:t>3.</w:t>
      </w:r>
      <w:r>
        <w:rPr>
          <w:rFonts w:asciiTheme="minorHAnsi" w:eastAsiaTheme="minorEastAsia" w:hAnsiTheme="minorHAnsi"/>
          <w:noProof/>
          <w:sz w:val="22"/>
          <w:szCs w:val="22"/>
        </w:rPr>
        <w:tab/>
      </w:r>
      <w:r>
        <w:rPr>
          <w:noProof/>
        </w:rPr>
        <w:t>Duke’s digression on problems of the wholesale energy and capacity markets is incomplete and irrelevant</w:t>
      </w:r>
      <w:r>
        <w:rPr>
          <w:noProof/>
        </w:rPr>
        <w:tab/>
      </w:r>
      <w:r>
        <w:rPr>
          <w:noProof/>
        </w:rPr>
        <w:fldChar w:fldCharType="begin"/>
      </w:r>
      <w:r>
        <w:rPr>
          <w:noProof/>
        </w:rPr>
        <w:instrText xml:space="preserve"> PAGEREF _Toc407625428 \h </w:instrText>
      </w:r>
      <w:r>
        <w:rPr>
          <w:noProof/>
        </w:rPr>
      </w:r>
      <w:r>
        <w:rPr>
          <w:noProof/>
        </w:rPr>
        <w:fldChar w:fldCharType="separate"/>
      </w:r>
      <w:r>
        <w:rPr>
          <w:noProof/>
        </w:rPr>
        <w:t>8</w:t>
      </w:r>
      <w:r>
        <w:rPr>
          <w:noProof/>
        </w:rPr>
        <w:fldChar w:fldCharType="end"/>
      </w:r>
    </w:p>
    <w:p w:rsidR="00AA1138" w:rsidRDefault="00AA1138">
      <w:pPr>
        <w:pStyle w:val="TOC3"/>
        <w:rPr>
          <w:rFonts w:asciiTheme="minorHAnsi" w:eastAsiaTheme="minorEastAsia" w:hAnsiTheme="minorHAnsi"/>
          <w:noProof/>
          <w:sz w:val="22"/>
          <w:szCs w:val="22"/>
        </w:rPr>
      </w:pPr>
      <w:r w:rsidRPr="00313A6C">
        <w:rPr>
          <w:noProof/>
          <w:color w:val="010000"/>
        </w:rPr>
        <w:t>4.</w:t>
      </w:r>
      <w:r>
        <w:rPr>
          <w:rFonts w:asciiTheme="minorHAnsi" w:eastAsiaTheme="minorEastAsia" w:hAnsiTheme="minorHAnsi"/>
          <w:noProof/>
          <w:sz w:val="22"/>
          <w:szCs w:val="22"/>
        </w:rPr>
        <w:tab/>
      </w:r>
      <w:r>
        <w:rPr>
          <w:noProof/>
        </w:rPr>
        <w:t>The PSR will adversely affect competitive markets in Ohio</w:t>
      </w:r>
      <w:r>
        <w:rPr>
          <w:noProof/>
        </w:rPr>
        <w:tab/>
      </w:r>
      <w:r>
        <w:rPr>
          <w:noProof/>
        </w:rPr>
        <w:fldChar w:fldCharType="begin"/>
      </w:r>
      <w:r>
        <w:rPr>
          <w:noProof/>
        </w:rPr>
        <w:instrText xml:space="preserve"> PAGEREF _Toc407625429 \h </w:instrText>
      </w:r>
      <w:r>
        <w:rPr>
          <w:noProof/>
        </w:rPr>
      </w:r>
      <w:r>
        <w:rPr>
          <w:noProof/>
        </w:rPr>
        <w:fldChar w:fldCharType="separate"/>
      </w:r>
      <w:r>
        <w:rPr>
          <w:noProof/>
        </w:rPr>
        <w:t>12</w:t>
      </w:r>
      <w:r>
        <w:rPr>
          <w:noProof/>
        </w:rPr>
        <w:fldChar w:fldCharType="end"/>
      </w:r>
    </w:p>
    <w:p w:rsidR="00AA1138" w:rsidRDefault="00AA1138" w:rsidP="00AA1138">
      <w:pPr>
        <w:pStyle w:val="TOC2"/>
        <w:ind w:left="1440" w:hanging="720"/>
        <w:rPr>
          <w:rFonts w:asciiTheme="minorHAnsi" w:eastAsiaTheme="minorEastAsia" w:hAnsiTheme="minorHAnsi"/>
          <w:noProof/>
          <w:sz w:val="22"/>
          <w:szCs w:val="22"/>
        </w:rPr>
      </w:pPr>
      <w:r w:rsidRPr="00313A6C">
        <w:rPr>
          <w:noProof/>
          <w:color w:val="010000"/>
        </w:rPr>
        <w:t>C.</w:t>
      </w:r>
      <w:r>
        <w:rPr>
          <w:rFonts w:asciiTheme="minorHAnsi" w:eastAsiaTheme="minorEastAsia" w:hAnsiTheme="minorHAnsi"/>
          <w:noProof/>
          <w:sz w:val="22"/>
          <w:szCs w:val="22"/>
        </w:rPr>
        <w:tab/>
      </w:r>
      <w:r>
        <w:rPr>
          <w:noProof/>
        </w:rPr>
        <w:t>The Commission should reject the PSR because it violates state energy policy</w:t>
      </w:r>
      <w:r>
        <w:rPr>
          <w:noProof/>
        </w:rPr>
        <w:tab/>
      </w:r>
      <w:r>
        <w:rPr>
          <w:noProof/>
        </w:rPr>
        <w:fldChar w:fldCharType="begin"/>
      </w:r>
      <w:r>
        <w:rPr>
          <w:noProof/>
        </w:rPr>
        <w:instrText xml:space="preserve"> PAGEREF _Toc407625430 \h </w:instrText>
      </w:r>
      <w:r>
        <w:rPr>
          <w:noProof/>
        </w:rPr>
      </w:r>
      <w:r>
        <w:rPr>
          <w:noProof/>
        </w:rPr>
        <w:fldChar w:fldCharType="separate"/>
      </w:r>
      <w:r>
        <w:rPr>
          <w:noProof/>
        </w:rPr>
        <w:t>13</w:t>
      </w:r>
      <w:r>
        <w:rPr>
          <w:noProof/>
        </w:rPr>
        <w:fldChar w:fldCharType="end"/>
      </w:r>
    </w:p>
    <w:p w:rsidR="00AA1138" w:rsidRDefault="00AA1138">
      <w:pPr>
        <w:pStyle w:val="TOC2"/>
        <w:rPr>
          <w:rFonts w:asciiTheme="minorHAnsi" w:eastAsiaTheme="minorEastAsia" w:hAnsiTheme="minorHAnsi"/>
          <w:noProof/>
          <w:sz w:val="22"/>
          <w:szCs w:val="22"/>
        </w:rPr>
      </w:pPr>
      <w:r w:rsidRPr="00313A6C">
        <w:rPr>
          <w:noProof/>
          <w:color w:val="010000"/>
        </w:rPr>
        <w:t>D.</w:t>
      </w:r>
      <w:r>
        <w:rPr>
          <w:rFonts w:asciiTheme="minorHAnsi" w:eastAsiaTheme="minorEastAsia" w:hAnsiTheme="minorHAnsi"/>
          <w:noProof/>
          <w:sz w:val="22"/>
          <w:szCs w:val="22"/>
        </w:rPr>
        <w:tab/>
      </w:r>
      <w:r>
        <w:rPr>
          <w:noProof/>
        </w:rPr>
        <w:t>Authorization of the PSR is preempted by the FPA</w:t>
      </w:r>
      <w:r>
        <w:rPr>
          <w:noProof/>
        </w:rPr>
        <w:tab/>
      </w:r>
      <w:r>
        <w:rPr>
          <w:noProof/>
        </w:rPr>
        <w:fldChar w:fldCharType="begin"/>
      </w:r>
      <w:r>
        <w:rPr>
          <w:noProof/>
        </w:rPr>
        <w:instrText xml:space="preserve"> PAGEREF _Toc407625431 \h </w:instrText>
      </w:r>
      <w:r>
        <w:rPr>
          <w:noProof/>
        </w:rPr>
      </w:r>
      <w:r>
        <w:rPr>
          <w:noProof/>
        </w:rPr>
        <w:fldChar w:fldCharType="separate"/>
      </w:r>
      <w:r>
        <w:rPr>
          <w:noProof/>
        </w:rPr>
        <w:t>15</w:t>
      </w:r>
      <w:r>
        <w:rPr>
          <w:noProof/>
        </w:rPr>
        <w:fldChar w:fldCharType="end"/>
      </w:r>
    </w:p>
    <w:p w:rsidR="00AA1138" w:rsidRDefault="00AA1138" w:rsidP="00AA1138">
      <w:pPr>
        <w:pStyle w:val="TOC2"/>
        <w:ind w:left="1440" w:hanging="720"/>
        <w:rPr>
          <w:rFonts w:asciiTheme="minorHAnsi" w:eastAsiaTheme="minorEastAsia" w:hAnsiTheme="minorHAnsi"/>
          <w:noProof/>
          <w:sz w:val="22"/>
          <w:szCs w:val="22"/>
        </w:rPr>
      </w:pPr>
      <w:r w:rsidRPr="00313A6C">
        <w:rPr>
          <w:noProof/>
          <w:color w:val="010000"/>
        </w:rPr>
        <w:t>E.</w:t>
      </w:r>
      <w:r>
        <w:rPr>
          <w:rFonts w:asciiTheme="minorHAnsi" w:eastAsiaTheme="minorEastAsia" w:hAnsiTheme="minorHAnsi"/>
          <w:noProof/>
          <w:sz w:val="22"/>
          <w:szCs w:val="22"/>
        </w:rPr>
        <w:tab/>
      </w:r>
      <w:r>
        <w:rPr>
          <w:noProof/>
        </w:rPr>
        <w:t>Duke has failed to comply with the requirement of R.C. 4928.20(K) to demonstrate the effect of the PSR on large-scale governmental aggregation</w:t>
      </w:r>
      <w:r>
        <w:rPr>
          <w:noProof/>
        </w:rPr>
        <w:tab/>
      </w:r>
      <w:r>
        <w:rPr>
          <w:noProof/>
        </w:rPr>
        <w:fldChar w:fldCharType="begin"/>
      </w:r>
      <w:r>
        <w:rPr>
          <w:noProof/>
        </w:rPr>
        <w:instrText xml:space="preserve"> PAGEREF _Toc407625432 \h </w:instrText>
      </w:r>
      <w:r>
        <w:rPr>
          <w:noProof/>
        </w:rPr>
      </w:r>
      <w:r>
        <w:rPr>
          <w:noProof/>
        </w:rPr>
        <w:fldChar w:fldCharType="separate"/>
      </w:r>
      <w:r>
        <w:rPr>
          <w:noProof/>
        </w:rPr>
        <w:t>18</w:t>
      </w:r>
      <w:r>
        <w:rPr>
          <w:noProof/>
        </w:rPr>
        <w:fldChar w:fldCharType="end"/>
      </w:r>
    </w:p>
    <w:p w:rsidR="00AA1138" w:rsidRDefault="00AA1138" w:rsidP="00AA1138">
      <w:pPr>
        <w:pStyle w:val="TOC2"/>
        <w:ind w:left="1440" w:hanging="720"/>
        <w:rPr>
          <w:rFonts w:asciiTheme="minorHAnsi" w:eastAsiaTheme="minorEastAsia" w:hAnsiTheme="minorHAnsi"/>
          <w:noProof/>
          <w:sz w:val="22"/>
          <w:szCs w:val="22"/>
        </w:rPr>
      </w:pPr>
      <w:r w:rsidRPr="00313A6C">
        <w:rPr>
          <w:noProof/>
          <w:color w:val="010000"/>
        </w:rPr>
        <w:t>F.</w:t>
      </w:r>
      <w:r>
        <w:rPr>
          <w:rFonts w:asciiTheme="minorHAnsi" w:eastAsiaTheme="minorEastAsia" w:hAnsiTheme="minorHAnsi"/>
          <w:noProof/>
          <w:sz w:val="22"/>
          <w:szCs w:val="22"/>
        </w:rPr>
        <w:tab/>
      </w:r>
      <w:r>
        <w:rPr>
          <w:noProof/>
        </w:rPr>
        <w:t>The Commission should not authorize the modified PSR proposed by OEG</w:t>
      </w:r>
      <w:r>
        <w:rPr>
          <w:noProof/>
        </w:rPr>
        <w:tab/>
      </w:r>
      <w:r>
        <w:rPr>
          <w:noProof/>
        </w:rPr>
        <w:fldChar w:fldCharType="begin"/>
      </w:r>
      <w:r>
        <w:rPr>
          <w:noProof/>
        </w:rPr>
        <w:instrText xml:space="preserve"> PAGEREF _Toc407625433 \h </w:instrText>
      </w:r>
      <w:r>
        <w:rPr>
          <w:noProof/>
        </w:rPr>
      </w:r>
      <w:r>
        <w:rPr>
          <w:noProof/>
        </w:rPr>
        <w:fldChar w:fldCharType="separate"/>
      </w:r>
      <w:r>
        <w:rPr>
          <w:noProof/>
        </w:rPr>
        <w:t>19</w:t>
      </w:r>
      <w:r>
        <w:rPr>
          <w:noProof/>
        </w:rPr>
        <w:fldChar w:fldCharType="end"/>
      </w:r>
    </w:p>
    <w:p w:rsidR="00AA1138" w:rsidRDefault="00AA1138" w:rsidP="00AA1138">
      <w:pPr>
        <w:pStyle w:val="TOC1"/>
        <w:ind w:left="720" w:hanging="720"/>
        <w:rPr>
          <w:rFonts w:asciiTheme="minorHAnsi" w:eastAsiaTheme="minorEastAsia" w:hAnsiTheme="minorHAnsi"/>
          <w:noProof/>
          <w:sz w:val="22"/>
          <w:szCs w:val="22"/>
        </w:rPr>
      </w:pPr>
      <w:r w:rsidRPr="00313A6C">
        <w:rPr>
          <w:noProof/>
          <w:color w:val="010000"/>
        </w:rPr>
        <w:t>III.</w:t>
      </w:r>
      <w:r>
        <w:rPr>
          <w:rFonts w:asciiTheme="minorHAnsi" w:eastAsiaTheme="minorEastAsia" w:hAnsiTheme="minorHAnsi"/>
          <w:noProof/>
          <w:sz w:val="22"/>
          <w:szCs w:val="22"/>
        </w:rPr>
        <w:tab/>
      </w:r>
      <w:r>
        <w:rPr>
          <w:noProof/>
        </w:rPr>
        <w:t>THE PROPOSED ESP IS NOT MORE FAVORABLE IN THE AGGREGATE THAN AN MRO</w:t>
      </w:r>
      <w:r>
        <w:rPr>
          <w:noProof/>
        </w:rPr>
        <w:tab/>
      </w:r>
      <w:r>
        <w:rPr>
          <w:noProof/>
        </w:rPr>
        <w:fldChar w:fldCharType="begin"/>
      </w:r>
      <w:r>
        <w:rPr>
          <w:noProof/>
        </w:rPr>
        <w:instrText xml:space="preserve"> PAGEREF _Toc407625434 \h </w:instrText>
      </w:r>
      <w:r>
        <w:rPr>
          <w:noProof/>
        </w:rPr>
      </w:r>
      <w:r>
        <w:rPr>
          <w:noProof/>
        </w:rPr>
        <w:fldChar w:fldCharType="separate"/>
      </w:r>
      <w:r>
        <w:rPr>
          <w:noProof/>
        </w:rPr>
        <w:t>22</w:t>
      </w:r>
      <w:r>
        <w:rPr>
          <w:noProof/>
        </w:rPr>
        <w:fldChar w:fldCharType="end"/>
      </w:r>
    </w:p>
    <w:p w:rsidR="00AA1138" w:rsidRDefault="00AA1138">
      <w:pPr>
        <w:pStyle w:val="TOC2"/>
        <w:rPr>
          <w:rFonts w:asciiTheme="minorHAnsi" w:eastAsiaTheme="minorEastAsia" w:hAnsiTheme="minorHAnsi"/>
          <w:noProof/>
          <w:sz w:val="22"/>
          <w:szCs w:val="22"/>
        </w:rPr>
      </w:pPr>
      <w:r w:rsidRPr="00313A6C">
        <w:rPr>
          <w:noProof/>
          <w:color w:val="010000"/>
        </w:rPr>
        <w:t>A.</w:t>
      </w:r>
      <w:r>
        <w:rPr>
          <w:rFonts w:asciiTheme="minorHAnsi" w:eastAsiaTheme="minorEastAsia" w:hAnsiTheme="minorHAnsi"/>
          <w:noProof/>
          <w:sz w:val="22"/>
          <w:szCs w:val="22"/>
        </w:rPr>
        <w:tab/>
      </w:r>
      <w:r>
        <w:rPr>
          <w:noProof/>
        </w:rPr>
        <w:t>Duke fails to account for the costs of the PSR in its analysis</w:t>
      </w:r>
      <w:r>
        <w:rPr>
          <w:noProof/>
        </w:rPr>
        <w:tab/>
      </w:r>
      <w:r>
        <w:rPr>
          <w:noProof/>
        </w:rPr>
        <w:fldChar w:fldCharType="begin"/>
      </w:r>
      <w:r>
        <w:rPr>
          <w:noProof/>
        </w:rPr>
        <w:instrText xml:space="preserve"> PAGEREF _Toc407625435 \h </w:instrText>
      </w:r>
      <w:r>
        <w:rPr>
          <w:noProof/>
        </w:rPr>
      </w:r>
      <w:r>
        <w:rPr>
          <w:noProof/>
        </w:rPr>
        <w:fldChar w:fldCharType="separate"/>
      </w:r>
      <w:r>
        <w:rPr>
          <w:noProof/>
        </w:rPr>
        <w:t>23</w:t>
      </w:r>
      <w:r>
        <w:rPr>
          <w:noProof/>
        </w:rPr>
        <w:fldChar w:fldCharType="end"/>
      </w:r>
    </w:p>
    <w:p w:rsidR="00AA1138" w:rsidRDefault="00AA1138" w:rsidP="00AA1138">
      <w:pPr>
        <w:pStyle w:val="TOC2"/>
        <w:ind w:left="1440" w:hanging="720"/>
        <w:rPr>
          <w:rFonts w:asciiTheme="minorHAnsi" w:eastAsiaTheme="minorEastAsia" w:hAnsiTheme="minorHAnsi"/>
          <w:noProof/>
          <w:sz w:val="22"/>
          <w:szCs w:val="22"/>
        </w:rPr>
      </w:pPr>
      <w:r w:rsidRPr="00313A6C">
        <w:rPr>
          <w:noProof/>
          <w:color w:val="010000"/>
        </w:rPr>
        <w:t>B.</w:t>
      </w:r>
      <w:r>
        <w:rPr>
          <w:rFonts w:asciiTheme="minorHAnsi" w:eastAsiaTheme="minorEastAsia" w:hAnsiTheme="minorHAnsi"/>
          <w:noProof/>
          <w:sz w:val="22"/>
          <w:szCs w:val="22"/>
        </w:rPr>
        <w:tab/>
      </w:r>
      <w:r>
        <w:rPr>
          <w:noProof/>
        </w:rPr>
        <w:t>The Commission cannot approve the ESP based on alleged non-quantitative benefits</w:t>
      </w:r>
      <w:r>
        <w:rPr>
          <w:noProof/>
        </w:rPr>
        <w:tab/>
      </w:r>
      <w:r>
        <w:rPr>
          <w:noProof/>
        </w:rPr>
        <w:fldChar w:fldCharType="begin"/>
      </w:r>
      <w:r>
        <w:rPr>
          <w:noProof/>
        </w:rPr>
        <w:instrText xml:space="preserve"> PAGEREF _Toc407625436 \h </w:instrText>
      </w:r>
      <w:r>
        <w:rPr>
          <w:noProof/>
        </w:rPr>
      </w:r>
      <w:r>
        <w:rPr>
          <w:noProof/>
        </w:rPr>
        <w:fldChar w:fldCharType="separate"/>
      </w:r>
      <w:r>
        <w:rPr>
          <w:noProof/>
        </w:rPr>
        <w:t>24</w:t>
      </w:r>
      <w:r>
        <w:rPr>
          <w:noProof/>
        </w:rPr>
        <w:fldChar w:fldCharType="end"/>
      </w:r>
    </w:p>
    <w:p w:rsidR="00AA1138" w:rsidRDefault="00AA1138">
      <w:pPr>
        <w:pStyle w:val="TOC1"/>
        <w:rPr>
          <w:rFonts w:asciiTheme="minorHAnsi" w:eastAsiaTheme="minorEastAsia" w:hAnsiTheme="minorHAnsi"/>
          <w:noProof/>
          <w:sz w:val="22"/>
          <w:szCs w:val="22"/>
        </w:rPr>
      </w:pPr>
      <w:r w:rsidRPr="00313A6C">
        <w:rPr>
          <w:noProof/>
          <w:color w:val="010000"/>
        </w:rPr>
        <w:t>IV.</w:t>
      </w:r>
      <w:r>
        <w:rPr>
          <w:rFonts w:asciiTheme="minorHAnsi" w:eastAsiaTheme="minorEastAsia" w:hAnsiTheme="minorHAnsi"/>
          <w:noProof/>
          <w:sz w:val="22"/>
          <w:szCs w:val="22"/>
        </w:rPr>
        <w:tab/>
      </w:r>
      <w:r>
        <w:rPr>
          <w:noProof/>
        </w:rPr>
        <w:t>CONCLUSION</w:t>
      </w:r>
      <w:r>
        <w:rPr>
          <w:noProof/>
        </w:rPr>
        <w:tab/>
      </w:r>
      <w:r>
        <w:rPr>
          <w:noProof/>
        </w:rPr>
        <w:fldChar w:fldCharType="begin"/>
      </w:r>
      <w:r>
        <w:rPr>
          <w:noProof/>
        </w:rPr>
        <w:instrText xml:space="preserve"> PAGEREF _Toc407625437 \h </w:instrText>
      </w:r>
      <w:r>
        <w:rPr>
          <w:noProof/>
        </w:rPr>
      </w:r>
      <w:r>
        <w:rPr>
          <w:noProof/>
        </w:rPr>
        <w:fldChar w:fldCharType="separate"/>
      </w:r>
      <w:r>
        <w:rPr>
          <w:noProof/>
        </w:rPr>
        <w:t>26</w:t>
      </w:r>
      <w:r>
        <w:rPr>
          <w:noProof/>
        </w:rPr>
        <w:fldChar w:fldCharType="end"/>
      </w:r>
    </w:p>
    <w:bookmarkEnd w:id="12"/>
    <w:p w:rsidR="008D48AB" w:rsidRDefault="00AA1138" w:rsidP="00AA1138">
      <w:pPr>
        <w:rPr>
          <w:noProof/>
        </w:rPr>
      </w:pPr>
      <w:r>
        <w:rPr>
          <w:noProof/>
        </w:rPr>
        <w:fldChar w:fldCharType="end"/>
      </w:r>
    </w:p>
    <w:p w:rsidR="008D48AB" w:rsidRDefault="008D48AB">
      <w:pPr>
        <w:rPr>
          <w:noProof/>
        </w:rPr>
      </w:pPr>
    </w:p>
    <w:p w:rsidR="00AE5BBE" w:rsidRDefault="00AE5BBE" w:rsidP="00AE5BBE">
      <w:pPr>
        <w:sectPr w:rsidR="00AE5BBE" w:rsidSect="00555B0B">
          <w:footerReference w:type="default" r:id="rId15"/>
          <w:pgSz w:w="12240" w:h="15840" w:code="1"/>
          <w:pgMar w:top="1440" w:right="1440" w:bottom="1141" w:left="1440" w:header="720" w:footer="720" w:gutter="0"/>
          <w:pgNumType w:fmt="lowerRoman" w:start="1"/>
          <w:cols w:space="720"/>
          <w:docGrid w:linePitch="326"/>
        </w:sectPr>
      </w:pPr>
    </w:p>
    <w:p w:rsidR="0081415E" w:rsidRPr="0081415E" w:rsidRDefault="0081415E" w:rsidP="00AC4529">
      <w:pPr>
        <w:spacing w:after="0"/>
        <w:jc w:val="center"/>
        <w:rPr>
          <w:rFonts w:eastAsia="Times New Roman" w:cs="Arial"/>
          <w:b/>
          <w:smallCaps/>
          <w:sz w:val="28"/>
        </w:rPr>
      </w:pPr>
      <w:r w:rsidRPr="0081415E">
        <w:rPr>
          <w:rFonts w:eastAsia="Times New Roman" w:cs="Arial"/>
          <w:b/>
          <w:smallCaps/>
          <w:sz w:val="28"/>
        </w:rPr>
        <w:lastRenderedPageBreak/>
        <w:t>Before</w:t>
      </w:r>
    </w:p>
    <w:p w:rsidR="0081415E" w:rsidRPr="0081415E" w:rsidRDefault="0081415E" w:rsidP="0081415E">
      <w:pPr>
        <w:jc w:val="center"/>
        <w:rPr>
          <w:rFonts w:eastAsia="Times New Roman" w:cs="Arial"/>
          <w:b/>
          <w:smallCaps/>
          <w:sz w:val="28"/>
        </w:rPr>
      </w:pPr>
      <w:r w:rsidRPr="0081415E">
        <w:rPr>
          <w:rFonts w:eastAsia="Times New Roman" w:cs="Arial"/>
          <w:b/>
          <w:smallCaps/>
          <w:sz w:val="28"/>
        </w:rPr>
        <w:t>The Public Utilities Commission of Ohio</w:t>
      </w:r>
    </w:p>
    <w:p w:rsidR="0081415E" w:rsidRPr="0081415E" w:rsidRDefault="0081415E" w:rsidP="0081415E">
      <w:pPr>
        <w:autoSpaceDE w:val="0"/>
        <w:autoSpaceDN w:val="0"/>
        <w:adjustRightInd w:val="0"/>
        <w:rPr>
          <w:rFonts w:eastAsia="Calibri" w:cs="Arial"/>
        </w:rPr>
      </w:pPr>
    </w:p>
    <w:tbl>
      <w:tblPr>
        <w:tblW w:w="8340" w:type="dxa"/>
        <w:jc w:val="center"/>
        <w:tblLook w:val="04A0" w:firstRow="1" w:lastRow="0" w:firstColumn="1" w:lastColumn="0" w:noHBand="0" w:noVBand="1"/>
      </w:tblPr>
      <w:tblGrid>
        <w:gridCol w:w="3990"/>
        <w:gridCol w:w="360"/>
        <w:gridCol w:w="3990"/>
      </w:tblGrid>
      <w:tr w:rsidR="0081415E" w:rsidRPr="0081415E" w:rsidTr="00EF5F57">
        <w:trPr>
          <w:jc w:val="center"/>
        </w:trPr>
        <w:tc>
          <w:tcPr>
            <w:tcW w:w="3990" w:type="dxa"/>
          </w:tcPr>
          <w:p w:rsidR="0081415E" w:rsidRPr="0081415E" w:rsidRDefault="0081415E" w:rsidP="0081415E">
            <w:pPr>
              <w:rPr>
                <w:rFonts w:eastAsia="Times New Roman" w:cs="Arial"/>
              </w:rPr>
            </w:pPr>
            <w:r w:rsidRPr="0081415E">
              <w:rPr>
                <w:rFonts w:eastAsia="Times New Roman" w:cs="Arial"/>
              </w:rPr>
              <w:t>In the Matter of the Application of Duke Energy Ohio for Authority to Establish a Standard Service Offer Pursuant to Section 4928.143, Revised Code, in the Form of an Electric Security Plan, Accounting Modifications and Tariffs for Generation Service.</w:t>
            </w:r>
          </w:p>
          <w:p w:rsidR="0081415E" w:rsidRPr="0081415E" w:rsidRDefault="0081415E" w:rsidP="0081415E">
            <w:pPr>
              <w:rPr>
                <w:rFonts w:eastAsia="Times New Roman" w:cs="Arial"/>
              </w:rPr>
            </w:pPr>
          </w:p>
        </w:tc>
        <w:tc>
          <w:tcPr>
            <w:tcW w:w="360" w:type="dxa"/>
          </w:tcPr>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tc>
        <w:tc>
          <w:tcPr>
            <w:tcW w:w="3990" w:type="dxa"/>
          </w:tcPr>
          <w:p w:rsidR="0081415E" w:rsidRPr="0081415E" w:rsidRDefault="0081415E" w:rsidP="0081415E">
            <w:pPr>
              <w:widowControl w:val="0"/>
              <w:suppressLineNumbers/>
              <w:tabs>
                <w:tab w:val="left" w:pos="4770"/>
              </w:tabs>
              <w:jc w:val="both"/>
              <w:rPr>
                <w:rFonts w:eastAsia="Times New Roman" w:cs="Arial"/>
              </w:rPr>
            </w:pPr>
          </w:p>
          <w:p w:rsidR="0081415E" w:rsidRPr="0081415E" w:rsidRDefault="0081415E" w:rsidP="0081415E">
            <w:pPr>
              <w:widowControl w:val="0"/>
              <w:suppressLineNumbers/>
              <w:tabs>
                <w:tab w:val="left" w:pos="4770"/>
              </w:tabs>
              <w:jc w:val="both"/>
              <w:rPr>
                <w:rFonts w:eastAsia="Times New Roman" w:cs="Arial"/>
              </w:rPr>
            </w:pPr>
          </w:p>
          <w:p w:rsidR="0081415E" w:rsidRPr="0081415E" w:rsidRDefault="0081415E" w:rsidP="0081415E">
            <w:pPr>
              <w:widowControl w:val="0"/>
              <w:suppressLineNumbers/>
              <w:tabs>
                <w:tab w:val="left" w:pos="4770"/>
              </w:tabs>
              <w:jc w:val="both"/>
              <w:rPr>
                <w:rFonts w:eastAsia="Times New Roman" w:cs="Arial"/>
              </w:rPr>
            </w:pP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Case No. 14-841-EL-SSO</w:t>
            </w:r>
          </w:p>
        </w:tc>
      </w:tr>
      <w:tr w:rsidR="0081415E" w:rsidRPr="0081415E" w:rsidTr="00EF5F57">
        <w:trPr>
          <w:jc w:val="center"/>
        </w:trPr>
        <w:tc>
          <w:tcPr>
            <w:tcW w:w="3990" w:type="dxa"/>
          </w:tcPr>
          <w:p w:rsidR="0081415E" w:rsidRPr="0081415E" w:rsidRDefault="0081415E" w:rsidP="0081415E">
            <w:pPr>
              <w:rPr>
                <w:rFonts w:eastAsia="Times New Roman" w:cs="Arial"/>
              </w:rPr>
            </w:pPr>
            <w:r w:rsidRPr="0081415E">
              <w:rPr>
                <w:rFonts w:eastAsia="Times New Roman" w:cs="Arial"/>
              </w:rPr>
              <w:t>In the Matter of the Application of Duke Energy Ohio for Authority to Amend its Certified Supplier Tariff, P.U.C.O. No. 20.</w:t>
            </w:r>
          </w:p>
        </w:tc>
        <w:tc>
          <w:tcPr>
            <w:tcW w:w="360" w:type="dxa"/>
          </w:tcPr>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w:t>
            </w:r>
          </w:p>
        </w:tc>
        <w:tc>
          <w:tcPr>
            <w:tcW w:w="3990" w:type="dxa"/>
          </w:tcPr>
          <w:p w:rsidR="0081415E" w:rsidRPr="0081415E" w:rsidRDefault="0081415E" w:rsidP="0081415E">
            <w:pPr>
              <w:widowControl w:val="0"/>
              <w:suppressLineNumbers/>
              <w:tabs>
                <w:tab w:val="left" w:pos="4770"/>
              </w:tabs>
              <w:jc w:val="both"/>
              <w:rPr>
                <w:rFonts w:eastAsia="Times New Roman" w:cs="Arial"/>
              </w:rPr>
            </w:pPr>
          </w:p>
          <w:p w:rsidR="0081415E" w:rsidRPr="0081415E" w:rsidRDefault="0081415E" w:rsidP="0081415E">
            <w:pPr>
              <w:widowControl w:val="0"/>
              <w:suppressLineNumbers/>
              <w:tabs>
                <w:tab w:val="left" w:pos="4770"/>
              </w:tabs>
              <w:jc w:val="both"/>
              <w:rPr>
                <w:rFonts w:eastAsia="Times New Roman" w:cs="Arial"/>
              </w:rPr>
            </w:pPr>
            <w:r w:rsidRPr="0081415E">
              <w:rPr>
                <w:rFonts w:eastAsia="Times New Roman" w:cs="Arial"/>
              </w:rPr>
              <w:t>Case No. 14-842-EL-ATA</w:t>
            </w:r>
          </w:p>
        </w:tc>
      </w:tr>
    </w:tbl>
    <w:p w:rsidR="0081415E" w:rsidRDefault="0081415E" w:rsidP="00AC4529">
      <w:pPr>
        <w:tabs>
          <w:tab w:val="left" w:pos="5040"/>
        </w:tabs>
        <w:spacing w:after="0"/>
        <w:jc w:val="both"/>
        <w:rPr>
          <w:rFonts w:eastAsia="Times New Roman" w:cs="Arial"/>
        </w:rPr>
      </w:pPr>
    </w:p>
    <w:p w:rsidR="006D13F0" w:rsidRDefault="006D13F0" w:rsidP="00AC4529">
      <w:pPr>
        <w:tabs>
          <w:tab w:val="left" w:pos="5040"/>
        </w:tabs>
        <w:spacing w:after="0"/>
        <w:jc w:val="both"/>
        <w:rPr>
          <w:rFonts w:eastAsia="Times New Roman" w:cs="Arial"/>
          <w:b/>
        </w:rPr>
      </w:pPr>
      <w:r>
        <w:rPr>
          <w:rFonts w:eastAsia="Times New Roman" w:cs="Arial"/>
          <w:b/>
        </w:rPr>
        <w:t>______________________________________________________________________</w:t>
      </w:r>
    </w:p>
    <w:p w:rsidR="006D13F0" w:rsidRPr="00AC4529" w:rsidRDefault="006D13F0" w:rsidP="00AC4529">
      <w:pPr>
        <w:tabs>
          <w:tab w:val="left" w:pos="5040"/>
        </w:tabs>
        <w:spacing w:after="0"/>
        <w:jc w:val="both"/>
        <w:rPr>
          <w:rFonts w:eastAsia="Times New Roman" w:cs="Arial"/>
          <w:b/>
        </w:rPr>
      </w:pPr>
    </w:p>
    <w:p w:rsidR="0081415E" w:rsidRDefault="0081415E" w:rsidP="001B5681">
      <w:pPr>
        <w:spacing w:after="0"/>
        <w:jc w:val="center"/>
        <w:rPr>
          <w:rFonts w:eastAsia="Calibri" w:cs="Arial"/>
          <w:b/>
          <w:caps/>
          <w:sz w:val="28"/>
          <w:szCs w:val="28"/>
        </w:rPr>
      </w:pPr>
      <w:r>
        <w:rPr>
          <w:rFonts w:eastAsia="Calibri" w:cs="Arial"/>
          <w:b/>
          <w:caps/>
          <w:sz w:val="28"/>
          <w:szCs w:val="28"/>
        </w:rPr>
        <w:t>Reply</w:t>
      </w:r>
      <w:r w:rsidRPr="0081415E">
        <w:rPr>
          <w:rFonts w:eastAsia="Calibri" w:cs="Arial"/>
          <w:b/>
          <w:caps/>
          <w:sz w:val="28"/>
          <w:szCs w:val="28"/>
        </w:rPr>
        <w:t xml:space="preserve"> BRIEF OF Industrial Energy Users-Ohio</w:t>
      </w:r>
    </w:p>
    <w:p w:rsidR="006D13F0" w:rsidRPr="00AC4529" w:rsidRDefault="006D13F0" w:rsidP="001B5681">
      <w:pPr>
        <w:spacing w:after="0"/>
        <w:jc w:val="center"/>
        <w:rPr>
          <w:rFonts w:eastAsia="Calibri" w:cs="Arial"/>
          <w:b/>
          <w:caps/>
        </w:rPr>
      </w:pPr>
      <w:r>
        <w:rPr>
          <w:rFonts w:eastAsia="Calibri" w:cs="Arial"/>
          <w:b/>
          <w:caps/>
        </w:rPr>
        <w:t>______________________________________________________________________</w:t>
      </w:r>
    </w:p>
    <w:p w:rsidR="0081415E" w:rsidRPr="0081415E" w:rsidRDefault="0081415E" w:rsidP="00F467A5">
      <w:pPr>
        <w:spacing w:after="0" w:line="480" w:lineRule="auto"/>
        <w:rPr>
          <w:rFonts w:eastAsia="Calibri" w:cs="Arial"/>
          <w:b/>
        </w:rPr>
      </w:pPr>
    </w:p>
    <w:p w:rsidR="00DA68E1" w:rsidRDefault="00DA68E1" w:rsidP="004A0C27">
      <w:pPr>
        <w:pStyle w:val="Heading1"/>
      </w:pPr>
      <w:bookmarkStart w:id="13" w:name="_Toc406928579"/>
      <w:bookmarkStart w:id="14" w:name="_Toc407005659"/>
      <w:bookmarkStart w:id="15" w:name="_Toc407005785"/>
      <w:bookmarkStart w:id="16" w:name="_Toc407005841"/>
      <w:bookmarkStart w:id="17" w:name="_Toc407028849"/>
      <w:bookmarkStart w:id="18" w:name="_Toc407185306"/>
      <w:bookmarkStart w:id="19" w:name="_Toc407617125"/>
      <w:bookmarkStart w:id="20" w:name="_Toc407625422"/>
      <w:r>
        <w:t>Introduction</w:t>
      </w:r>
      <w:bookmarkEnd w:id="13"/>
      <w:bookmarkEnd w:id="14"/>
      <w:bookmarkEnd w:id="15"/>
      <w:bookmarkEnd w:id="16"/>
      <w:bookmarkEnd w:id="17"/>
      <w:bookmarkEnd w:id="18"/>
      <w:bookmarkEnd w:id="19"/>
      <w:bookmarkEnd w:id="20"/>
    </w:p>
    <w:p w:rsidR="00D403B6" w:rsidRDefault="00D403B6" w:rsidP="00AC4529">
      <w:pPr>
        <w:spacing w:after="0" w:line="480" w:lineRule="auto"/>
        <w:jc w:val="both"/>
      </w:pPr>
      <w:r w:rsidRPr="00876A53">
        <w:tab/>
        <w:t>In</w:t>
      </w:r>
      <w:r>
        <w:t xml:space="preserve"> this proceeding</w:t>
      </w:r>
      <w:r w:rsidRPr="00876A53">
        <w:t xml:space="preserve">, </w:t>
      </w:r>
      <w:r>
        <w:t>Duke Energy Ohio</w:t>
      </w:r>
      <w:r w:rsidR="0072537E">
        <w:t>, Inc.</w:t>
      </w:r>
      <w:r w:rsidRPr="00876A53">
        <w:t xml:space="preserve"> (“</w:t>
      </w:r>
      <w:r>
        <w:t>Duke</w:t>
      </w:r>
      <w:r w:rsidRPr="00876A53">
        <w:t>”) seeks authorization of an Electric Security Plan (“ESP” or “proposed ESP” as appropriate) for the period of June 1, 2015 to May 31, 2018.</w:t>
      </w:r>
      <w:r w:rsidRPr="00876A53">
        <w:rPr>
          <w:rStyle w:val="FootnoteReference"/>
        </w:rPr>
        <w:footnoteReference w:id="1"/>
      </w:r>
      <w:r w:rsidRPr="00876A53">
        <w:t xml:space="preserve">  </w:t>
      </w:r>
      <w:r>
        <w:t>As the initial briefs of the parties demonstrate, t</w:t>
      </w:r>
      <w:r w:rsidRPr="00876A53">
        <w:t xml:space="preserve">he most significant </w:t>
      </w:r>
      <w:r>
        <w:t>contested issue in this proceeding is Duke’s request that the Public Utilities Commission of Ohio (“Commission”) authorize the proposed</w:t>
      </w:r>
      <w:r w:rsidRPr="00876A53">
        <w:t xml:space="preserve"> </w:t>
      </w:r>
      <w:r>
        <w:t xml:space="preserve">and misnamed Price </w:t>
      </w:r>
      <w:r w:rsidR="0081415E">
        <w:t>Stability</w:t>
      </w:r>
      <w:r w:rsidRPr="00876A53">
        <w:t xml:space="preserve"> Rider (“</w:t>
      </w:r>
      <w:r>
        <w:t>PSR”).</w:t>
      </w:r>
      <w:r w:rsidRPr="00876A53">
        <w:t xml:space="preserve">  </w:t>
      </w:r>
    </w:p>
    <w:p w:rsidR="00D403B6" w:rsidRDefault="00D403B6" w:rsidP="00AC4529">
      <w:pPr>
        <w:spacing w:after="0" w:line="480" w:lineRule="auto"/>
        <w:ind w:firstLine="720"/>
        <w:jc w:val="both"/>
      </w:pPr>
      <w:r>
        <w:lastRenderedPageBreak/>
        <w:t xml:space="preserve">In its initial brief, Duke argues the PSR as proposed is lawful and reasonable.  No other party supports </w:t>
      </w:r>
      <w:r w:rsidR="002247C9">
        <w:t xml:space="preserve">authorization of </w:t>
      </w:r>
      <w:r>
        <w:t>the PSR as proposed, and all but one recommend that the Commission refuse to authorize it in any form</w:t>
      </w:r>
      <w:r w:rsidR="00040B24">
        <w:t xml:space="preserve"> b</w:t>
      </w:r>
      <w:r>
        <w:t xml:space="preserve">ecause authorization of the </w:t>
      </w:r>
      <w:r w:rsidR="0072537E">
        <w:t xml:space="preserve">PSR </w:t>
      </w:r>
      <w:r>
        <w:t>would violate Ohio and federal law</w:t>
      </w:r>
      <w:r w:rsidR="00040B24">
        <w:t>.  Because the PSR is unlawful and unreasonable,</w:t>
      </w:r>
      <w:r>
        <w:t xml:space="preserve"> the Commission should not authorize it. </w:t>
      </w:r>
    </w:p>
    <w:p w:rsidR="0081415E" w:rsidRDefault="00195613" w:rsidP="00AC4529">
      <w:pPr>
        <w:spacing w:after="240" w:line="480" w:lineRule="auto"/>
        <w:ind w:firstLine="720"/>
        <w:jc w:val="both"/>
      </w:pPr>
      <w:r>
        <w:t>Duke</w:t>
      </w:r>
      <w:r w:rsidR="0081415E" w:rsidRPr="0081415E">
        <w:t xml:space="preserve"> also claims that the proposed ESP, including its pricing and all other terms and conditions, including any deferrals and any future recovery of deferrals, is more favorable in the aggregate as compared to the expected results that would otherwise apply under R.C. 4928.142 (“ESP v. MRO Test”).  </w:t>
      </w:r>
      <w:r w:rsidR="00C47F44">
        <w:t xml:space="preserve">Duke, however, fails to account for the cost of the PSR in its application of the ESP v. MRO Test and unreasonably argues that non-quantitative benefits tip the benefits of the ESP in favor of approval.  When the costs of the </w:t>
      </w:r>
      <w:r w:rsidR="009C2E0B">
        <w:t>PSR</w:t>
      </w:r>
      <w:r w:rsidR="00C47F44">
        <w:t xml:space="preserve"> are properly assigned</w:t>
      </w:r>
      <w:r w:rsidR="009C2E0B">
        <w:t>,</w:t>
      </w:r>
      <w:r w:rsidR="00C47F44">
        <w:t xml:space="preserve"> the proposed ESP fails the ESP v. MRO Test.  Accordingly, the Commission must reject or modify the proposed ESP.</w:t>
      </w:r>
    </w:p>
    <w:p w:rsidR="002B08A8" w:rsidRPr="002B08A8" w:rsidRDefault="002B08A8" w:rsidP="00D403B6">
      <w:pPr>
        <w:pStyle w:val="Heading1"/>
      </w:pPr>
      <w:bookmarkStart w:id="21" w:name="_Toc406928580"/>
      <w:bookmarkStart w:id="22" w:name="_Toc407005660"/>
      <w:bookmarkStart w:id="23" w:name="_Toc407005786"/>
      <w:bookmarkStart w:id="24" w:name="_Toc407005842"/>
      <w:bookmarkStart w:id="25" w:name="_Toc407028850"/>
      <w:bookmarkStart w:id="26" w:name="_Toc407185307"/>
      <w:bookmarkStart w:id="27" w:name="_Toc407617126"/>
      <w:bookmarkStart w:id="28" w:name="_Toc407625423"/>
      <w:r w:rsidRPr="002B08A8">
        <w:t xml:space="preserve">The Commission should not authorize the </w:t>
      </w:r>
      <w:bookmarkEnd w:id="2"/>
      <w:bookmarkEnd w:id="3"/>
      <w:bookmarkEnd w:id="4"/>
      <w:bookmarkEnd w:id="5"/>
      <w:bookmarkEnd w:id="6"/>
      <w:bookmarkEnd w:id="7"/>
      <w:bookmarkEnd w:id="8"/>
      <w:bookmarkEnd w:id="9"/>
      <w:r>
        <w:t>PSR</w:t>
      </w:r>
      <w:bookmarkEnd w:id="21"/>
      <w:bookmarkEnd w:id="22"/>
      <w:bookmarkEnd w:id="23"/>
      <w:bookmarkEnd w:id="24"/>
      <w:bookmarkEnd w:id="25"/>
      <w:bookmarkEnd w:id="26"/>
      <w:bookmarkEnd w:id="27"/>
      <w:bookmarkEnd w:id="28"/>
    </w:p>
    <w:p w:rsidR="002B08A8" w:rsidRPr="002B08A8" w:rsidRDefault="002B08A8" w:rsidP="00AC4529">
      <w:pPr>
        <w:spacing w:after="0" w:line="480" w:lineRule="auto"/>
        <w:ind w:firstLine="720"/>
        <w:jc w:val="both"/>
      </w:pPr>
      <w:r w:rsidRPr="002B08A8">
        <w:t xml:space="preserve">Through the </w:t>
      </w:r>
      <w:r>
        <w:t>PSR</w:t>
      </w:r>
      <w:r w:rsidRPr="002B08A8">
        <w:t xml:space="preserve">, </w:t>
      </w:r>
      <w:r>
        <w:t>Duke</w:t>
      </w:r>
      <w:r w:rsidRPr="002B08A8">
        <w:t xml:space="preserve"> seeks to guarantee that it will recover the cost of its contractual obligations to the Ohio Valley Electric Corporation (“OVEC”) under the Inter-Company Purchase Agreement (“ICPA”).</w:t>
      </w:r>
      <w:r w:rsidRPr="002B08A8">
        <w:rPr>
          <w:vertAlign w:val="superscript"/>
        </w:rPr>
        <w:footnoteReference w:id="2"/>
      </w:r>
      <w:r w:rsidRPr="002B08A8">
        <w:t xml:space="preserve">  Many pages of the </w:t>
      </w:r>
      <w:r w:rsidR="00301FC7">
        <w:t xml:space="preserve">initial </w:t>
      </w:r>
      <w:r w:rsidRPr="002B08A8">
        <w:t xml:space="preserve">briefs of </w:t>
      </w:r>
      <w:r>
        <w:t>Duke</w:t>
      </w:r>
      <w:r w:rsidRPr="002B08A8">
        <w:t xml:space="preserve"> and the intervenors are devoted to the expected cost of the </w:t>
      </w:r>
      <w:r>
        <w:t>PSR</w:t>
      </w:r>
      <w:r w:rsidRPr="002B08A8">
        <w:t>, but the Commission need not place itself in the intractable position of guessing whether the</w:t>
      </w:r>
      <w:r>
        <w:t xml:space="preserve"> PSR </w:t>
      </w:r>
      <w:r w:rsidRPr="002B08A8">
        <w:t xml:space="preserve">would result in a charge or credit to retail customers because </w:t>
      </w:r>
      <w:r w:rsidR="00B438F2">
        <w:t>Ohio law precludes the Commission from authorizing</w:t>
      </w:r>
      <w:r w:rsidRPr="002B08A8">
        <w:t xml:space="preserve"> the</w:t>
      </w:r>
      <w:r w:rsidR="00B438F2">
        <w:t xml:space="preserve"> proposed</w:t>
      </w:r>
      <w:r w:rsidRPr="002B08A8">
        <w:t xml:space="preserve"> </w:t>
      </w:r>
      <w:r w:rsidR="00C47F44">
        <w:t xml:space="preserve">rider.  Even if the Commission could authorize a nonbypassable wholesale generation-related service rider, Duke has failed to </w:t>
      </w:r>
      <w:r w:rsidR="00C47F44">
        <w:lastRenderedPageBreak/>
        <w:t xml:space="preserve">demonstrate that authorization of its PSR would be reasonable.  </w:t>
      </w:r>
      <w:r w:rsidRPr="002B08A8">
        <w:t>Further, a Commission order approving the</w:t>
      </w:r>
      <w:r>
        <w:t xml:space="preserve"> PSR </w:t>
      </w:r>
      <w:r w:rsidRPr="002B08A8">
        <w:t>would be preempted by the Federal Power Act (“FPA”).</w:t>
      </w:r>
      <w:r w:rsidR="00A83296">
        <w:t xml:space="preserve">  Additionally, Duke has not complied with the requirement of R.C. 4928.20(K) to show the effect of the PSR </w:t>
      </w:r>
      <w:r w:rsidR="003A45A7">
        <w:t>on</w:t>
      </w:r>
      <w:r w:rsidR="00A83296">
        <w:t xml:space="preserve"> large-scale governmental aggregation.  Therefore, the Commission should not authorize the PSR.</w:t>
      </w:r>
    </w:p>
    <w:p w:rsidR="002B08A8" w:rsidRPr="002B08A8" w:rsidRDefault="00C47F44" w:rsidP="001B5681">
      <w:pPr>
        <w:pStyle w:val="Heading2"/>
      </w:pPr>
      <w:bookmarkStart w:id="29" w:name="_Toc395521660"/>
      <w:bookmarkStart w:id="30" w:name="_Toc395706874"/>
      <w:bookmarkStart w:id="31" w:name="_Toc395791169"/>
      <w:bookmarkStart w:id="32" w:name="_Toc395868796"/>
      <w:bookmarkStart w:id="33" w:name="_Toc406928581"/>
      <w:bookmarkStart w:id="34" w:name="_Toc407005661"/>
      <w:bookmarkStart w:id="35" w:name="_Toc407005787"/>
      <w:bookmarkStart w:id="36" w:name="_Toc407005843"/>
      <w:bookmarkStart w:id="37" w:name="_Toc407028851"/>
      <w:bookmarkStart w:id="38" w:name="_Toc407185308"/>
      <w:bookmarkStart w:id="39" w:name="_Toc407617127"/>
      <w:bookmarkStart w:id="40" w:name="_Toc407625424"/>
      <w:r>
        <w:t>The</w:t>
      </w:r>
      <w:r w:rsidR="00ED020B">
        <w:t xml:space="preserve"> PSR is </w:t>
      </w:r>
      <w:r>
        <w:t xml:space="preserve">not </w:t>
      </w:r>
      <w:r w:rsidR="00ED020B">
        <w:t xml:space="preserve">related to an item listed in </w:t>
      </w:r>
      <w:r w:rsidR="002B08A8" w:rsidRPr="002B08A8">
        <w:t>R.C. 4928.143(B)(2)(d)</w:t>
      </w:r>
      <w:bookmarkEnd w:id="29"/>
      <w:bookmarkEnd w:id="30"/>
      <w:bookmarkEnd w:id="31"/>
      <w:bookmarkEnd w:id="32"/>
      <w:r>
        <w:t xml:space="preserve"> and therefore cannot be a term of an ESP</w:t>
      </w:r>
      <w:bookmarkEnd w:id="33"/>
      <w:bookmarkEnd w:id="34"/>
      <w:bookmarkEnd w:id="35"/>
      <w:bookmarkEnd w:id="36"/>
      <w:bookmarkEnd w:id="37"/>
      <w:bookmarkEnd w:id="38"/>
      <w:bookmarkEnd w:id="39"/>
      <w:bookmarkEnd w:id="40"/>
    </w:p>
    <w:p w:rsidR="002B08A8" w:rsidRPr="002B08A8" w:rsidRDefault="00ED020B" w:rsidP="00AC4529">
      <w:pPr>
        <w:spacing w:after="0" w:line="480" w:lineRule="auto"/>
        <w:ind w:firstLine="720"/>
        <w:jc w:val="both"/>
      </w:pPr>
      <w:r>
        <w:t xml:space="preserve">An ESP may include only those provisions </w:t>
      </w:r>
      <w:r w:rsidR="00C47F44">
        <w:t xml:space="preserve">authorized </w:t>
      </w:r>
      <w:r>
        <w:t>by R.C. 4928.143(B).</w:t>
      </w:r>
      <w:r>
        <w:rPr>
          <w:rStyle w:val="FootnoteReference"/>
        </w:rPr>
        <w:footnoteReference w:id="3"/>
      </w:r>
      <w:r>
        <w:t xml:space="preserve">  Division </w:t>
      </w:r>
      <w:r w:rsidR="002B08A8" w:rsidRPr="002B08A8">
        <w:t xml:space="preserve">(B)(2)(d) </w:t>
      </w:r>
      <w:r>
        <w:t xml:space="preserve">of that section </w:t>
      </w:r>
      <w:r w:rsidR="002B08A8" w:rsidRPr="002B08A8">
        <w:t xml:space="preserve">provides that an ESP may include terms, conditions, or charges </w:t>
      </w:r>
      <w:r w:rsidR="00C47F44">
        <w:t>“relating to limitations on customer shopping for retail electric generation service, bypassability, standby, back-up, or supplemental power service, default service, carrying costs, amortization periods, and accounting or deferrals, including future recovery of such deferrals, as would have the effect of stabilizing or providing certainty regarding retail electric service</w:t>
      </w:r>
      <w:r w:rsidR="002B08A8" w:rsidRPr="002B08A8">
        <w:t>.</w:t>
      </w:r>
      <w:r w:rsidR="00C47F44">
        <w:t>”</w:t>
      </w:r>
      <w:r w:rsidR="002B08A8" w:rsidRPr="002B08A8">
        <w:t xml:space="preserve">  </w:t>
      </w:r>
      <w:r>
        <w:t xml:space="preserve">In support of its claim that the Commission may authorize the PSR under that division, </w:t>
      </w:r>
      <w:r w:rsidR="002B08A8">
        <w:t>Duke</w:t>
      </w:r>
      <w:r>
        <w:t xml:space="preserve"> </w:t>
      </w:r>
      <w:r w:rsidR="00B52F5C">
        <w:t xml:space="preserve">argues that </w:t>
      </w:r>
      <w:r>
        <w:t xml:space="preserve">the division’s reference to “bypassability” is </w:t>
      </w:r>
      <w:r w:rsidR="009C2E0B">
        <w:t xml:space="preserve">a </w:t>
      </w:r>
      <w:r>
        <w:t>sufficient</w:t>
      </w:r>
      <w:r w:rsidR="00C16D40">
        <w:t xml:space="preserve"> basis</w:t>
      </w:r>
      <w:r w:rsidR="002B08A8" w:rsidRPr="002B08A8">
        <w:t>.</w:t>
      </w:r>
      <w:r w:rsidR="002B08A8">
        <w:rPr>
          <w:rStyle w:val="FootnoteReference"/>
        </w:rPr>
        <w:footnoteReference w:id="4"/>
      </w:r>
      <w:r w:rsidR="002B08A8" w:rsidRPr="002B08A8">
        <w:t xml:space="preserve">  </w:t>
      </w:r>
      <w:r>
        <w:t>Duke’s</w:t>
      </w:r>
      <w:r w:rsidR="008060BC">
        <w:t xml:space="preserve"> interpretation </w:t>
      </w:r>
      <w:r>
        <w:t xml:space="preserve">of this </w:t>
      </w:r>
      <w:r w:rsidR="00040B24">
        <w:t>division</w:t>
      </w:r>
      <w:r>
        <w:t xml:space="preserve">, however, </w:t>
      </w:r>
      <w:r w:rsidR="008060BC">
        <w:t xml:space="preserve">would lead to </w:t>
      </w:r>
      <w:r>
        <w:t>an absurd result</w:t>
      </w:r>
      <w:r w:rsidR="008060BC">
        <w:t xml:space="preserve"> </w:t>
      </w:r>
      <w:r w:rsidR="00040B24">
        <w:t>and conflict</w:t>
      </w:r>
      <w:r w:rsidR="008060BC">
        <w:t xml:space="preserve"> with other provisions of Ohio law.</w:t>
      </w:r>
    </w:p>
    <w:p w:rsidR="009C2E0B" w:rsidRDefault="00B65958" w:rsidP="00AC4529">
      <w:pPr>
        <w:spacing w:after="0" w:line="480" w:lineRule="auto"/>
        <w:ind w:firstLine="720"/>
        <w:jc w:val="both"/>
      </w:pPr>
      <w:r>
        <w:t xml:space="preserve">If </w:t>
      </w:r>
      <w:r w:rsidR="002B08A8">
        <w:t>Duke</w:t>
      </w:r>
      <w:r>
        <w:t xml:space="preserve"> is correct</w:t>
      </w:r>
      <w:r w:rsidR="008060BC">
        <w:t>,</w:t>
      </w:r>
      <w:r w:rsidR="00C16D40">
        <w:t xml:space="preserve"> there is no limit on the charges that could be authorized under R.C. 4928.143(B)(2)(d). </w:t>
      </w:r>
      <w:r w:rsidR="008060BC">
        <w:t xml:space="preserve"> </w:t>
      </w:r>
      <w:r w:rsidR="00C16D40">
        <w:t>A</w:t>
      </w:r>
      <w:r w:rsidR="002B08A8" w:rsidRPr="002B08A8">
        <w:t xml:space="preserve">ny </w:t>
      </w:r>
      <w:r w:rsidR="00C16D40">
        <w:t xml:space="preserve">bypassable or nonbypassable </w:t>
      </w:r>
      <w:r w:rsidR="002B08A8" w:rsidRPr="002B08A8">
        <w:t xml:space="preserve">charge </w:t>
      </w:r>
      <w:r>
        <w:t>could be authorized</w:t>
      </w:r>
      <w:r w:rsidR="00A83296">
        <w:t>.</w:t>
      </w:r>
      <w:r>
        <w:t xml:space="preserve"> </w:t>
      </w:r>
      <w:r w:rsidR="00A83296">
        <w:t xml:space="preserve"> </w:t>
      </w:r>
      <w:r w:rsidR="009C2E0B">
        <w:t>That result is absurd, and the Commission must reject it be</w:t>
      </w:r>
      <w:r w:rsidR="00B1435C">
        <w:t>c</w:t>
      </w:r>
      <w:r w:rsidR="009C2E0B">
        <w:t>ause “[i]</w:t>
      </w:r>
      <w:r w:rsidR="009C2E0B" w:rsidRPr="00B65958">
        <w:t>t is a cardinal rule of statutory interpretation that a statute should not be interpreted to yield an absurd result.”</w:t>
      </w:r>
      <w:r w:rsidR="009C2E0B" w:rsidRPr="00B65958">
        <w:rPr>
          <w:vertAlign w:val="superscript"/>
        </w:rPr>
        <w:footnoteReference w:id="5"/>
      </w:r>
      <w:r w:rsidR="009C2E0B" w:rsidRPr="00B65958">
        <w:t xml:space="preserve">  </w:t>
      </w:r>
    </w:p>
    <w:p w:rsidR="00B65958" w:rsidRPr="00B65958" w:rsidRDefault="009C2E0B" w:rsidP="00AC4529">
      <w:pPr>
        <w:spacing w:after="0" w:line="480" w:lineRule="auto"/>
        <w:ind w:firstLine="720"/>
        <w:jc w:val="both"/>
      </w:pPr>
      <w:r>
        <w:lastRenderedPageBreak/>
        <w:t xml:space="preserve">Further, “[i]n enacting a statute, it is presumed that … [t]he entire statute is intended to </w:t>
      </w:r>
      <w:r w:rsidR="001B5681">
        <w:t xml:space="preserve">be </w:t>
      </w:r>
      <w:r>
        <w:t>effective.”</w:t>
      </w:r>
      <w:r>
        <w:rPr>
          <w:rStyle w:val="FootnoteReference"/>
        </w:rPr>
        <w:footnoteReference w:id="6"/>
      </w:r>
      <w:r>
        <w:t xml:space="preserve">  </w:t>
      </w:r>
      <w:r w:rsidR="00B52F5C">
        <w:t xml:space="preserve">Additionally, “[i]f a general provision conflicts with a special or local </w:t>
      </w:r>
      <w:r w:rsidR="00040B24">
        <w:t>provision</w:t>
      </w:r>
      <w:r w:rsidR="00B52F5C">
        <w:t>, they shall be construed, if possible, so effect is given to both.”</w:t>
      </w:r>
      <w:r w:rsidR="00B52F5C">
        <w:rPr>
          <w:rStyle w:val="FootnoteReference"/>
        </w:rPr>
        <w:footnoteReference w:id="7"/>
      </w:r>
      <w:r w:rsidR="00B52F5C">
        <w:t xml:space="preserve">  </w:t>
      </w:r>
      <w:r w:rsidR="00A83296">
        <w:t xml:space="preserve">Authorization </w:t>
      </w:r>
      <w:r>
        <w:t>of the PSR</w:t>
      </w:r>
      <w:r w:rsidR="00A83296">
        <w:t xml:space="preserve"> under R.C. 4928.143(</w:t>
      </w:r>
      <w:r w:rsidR="00562A99">
        <w:t>B</w:t>
      </w:r>
      <w:r w:rsidR="00A83296">
        <w:t>)(2)(d)</w:t>
      </w:r>
      <w:r>
        <w:t xml:space="preserve">, however, would </w:t>
      </w:r>
      <w:r w:rsidR="00A83296">
        <w:t xml:space="preserve">result in violations of </w:t>
      </w:r>
      <w:r>
        <w:t xml:space="preserve">several other provisions of Ohio law restricting the Commission’s authority to authorize generation-related nonbypassable charges.  </w:t>
      </w:r>
      <w:r w:rsidR="00B65958">
        <w:t>For example, R.C. 4928.02(H</w:t>
      </w:r>
      <w:r w:rsidR="00C16D40">
        <w:t>)</w:t>
      </w:r>
      <w:r w:rsidR="008060BC">
        <w:t xml:space="preserve"> preclude</w:t>
      </w:r>
      <w:r w:rsidR="00C16D40">
        <w:t>s</w:t>
      </w:r>
      <w:r w:rsidR="008060BC">
        <w:t xml:space="preserve"> </w:t>
      </w:r>
      <w:r w:rsidR="00B65958">
        <w:t>the</w:t>
      </w:r>
      <w:r w:rsidR="008060BC">
        <w:t xml:space="preserve"> authorization </w:t>
      </w:r>
      <w:r w:rsidR="00B65958">
        <w:t>of</w:t>
      </w:r>
      <w:r w:rsidR="008060BC">
        <w:t xml:space="preserve"> a nonbypassable charge for existing generation-related resources.  </w:t>
      </w:r>
      <w:r>
        <w:t xml:space="preserve">R.C. 4928.39 </w:t>
      </w:r>
      <w:r w:rsidR="002247C9">
        <w:t>also</w:t>
      </w:r>
      <w:r>
        <w:t xml:space="preserve"> prohibits the Commission from authorizing an electric utility from receiving transition revenue or its equivalent except as authorized by R.C. 4928.31 to R.C. 4928.40.  </w:t>
      </w:r>
      <w:r w:rsidR="00A83296">
        <w:t>Thus, Duke’s interpretation of R.C. 4928.143(B)(2)(d) would render other sections ineffective</w:t>
      </w:r>
      <w:r w:rsidR="00B52F5C">
        <w:t>, a result the Commission should reject.</w:t>
      </w:r>
      <w:r w:rsidR="00405361">
        <w:t xml:space="preserve">  </w:t>
      </w:r>
    </w:p>
    <w:p w:rsidR="00405361" w:rsidRPr="00405361" w:rsidRDefault="00B65958" w:rsidP="00AC4529">
      <w:pPr>
        <w:spacing w:after="0" w:line="480" w:lineRule="auto"/>
        <w:ind w:firstLine="720"/>
        <w:jc w:val="both"/>
      </w:pPr>
      <w:r>
        <w:t>Moreover,</w:t>
      </w:r>
      <w:r w:rsidR="00405361">
        <w:t xml:space="preserve"> the Commission </w:t>
      </w:r>
      <w:r w:rsidR="00C16D40">
        <w:t xml:space="preserve">already </w:t>
      </w:r>
      <w:r w:rsidR="00405361">
        <w:t xml:space="preserve">has rejected an interpretation </w:t>
      </w:r>
      <w:r w:rsidR="004F6061">
        <w:t>of R.C. 4928.143(B)(2)(d) similar to that urged by Duke</w:t>
      </w:r>
      <w:r w:rsidR="00405361">
        <w:t xml:space="preserve">. </w:t>
      </w:r>
      <w:r>
        <w:t xml:space="preserve"> </w:t>
      </w:r>
      <w:r w:rsidR="00405361">
        <w:t xml:space="preserve">In support of a claim to recover closure costs </w:t>
      </w:r>
      <w:r w:rsidR="004F6061">
        <w:t>through a nonbypassable charge</w:t>
      </w:r>
      <w:r w:rsidR="00405361">
        <w:t xml:space="preserve">, </w:t>
      </w:r>
      <w:r w:rsidR="0027059E">
        <w:t>Ohio Power Company (“</w:t>
      </w:r>
      <w:r w:rsidR="00405361">
        <w:t>AEP-Ohio</w:t>
      </w:r>
      <w:r w:rsidR="0027059E">
        <w:t>”)</w:t>
      </w:r>
      <w:r w:rsidR="00405361">
        <w:t xml:space="preserve"> </w:t>
      </w:r>
      <w:r w:rsidR="00405361" w:rsidRPr="00405361">
        <w:t>advanced multiple claims, including one that relied on R.C. 4928.143(B)(2)(d)’s reference to “carrying costs” and “deferrals.”</w:t>
      </w:r>
      <w:r w:rsidR="00405361" w:rsidRPr="00405361">
        <w:rPr>
          <w:vertAlign w:val="superscript"/>
        </w:rPr>
        <w:footnoteReference w:id="8"/>
      </w:r>
      <w:r w:rsidR="00405361" w:rsidRPr="00405361">
        <w:t xml:space="preserve">  After noting that Section 4928.143(B)(2)(c) did not authorize the recovery of costs of plant</w:t>
      </w:r>
      <w:r w:rsidR="00810258">
        <w:t>s</w:t>
      </w:r>
      <w:r w:rsidR="00405361" w:rsidRPr="00405361">
        <w:t xml:space="preserve"> placed in service prior to 2009, the </w:t>
      </w:r>
      <w:r w:rsidR="00405361">
        <w:t>Commission</w:t>
      </w:r>
      <w:r w:rsidR="00405361" w:rsidRPr="00405361">
        <w:t xml:space="preserve"> went on to state:</w:t>
      </w:r>
    </w:p>
    <w:p w:rsidR="00405361" w:rsidRDefault="00405361" w:rsidP="00AC4529">
      <w:pPr>
        <w:spacing w:after="0"/>
        <w:ind w:left="720" w:right="720" w:firstLine="720"/>
        <w:jc w:val="both"/>
      </w:pPr>
      <w:r w:rsidRPr="00405361">
        <w:t xml:space="preserve">We cannot agree … that any provision of Section 4928.143, Revised Code, authorizes recovery of </w:t>
      </w:r>
      <w:r w:rsidR="00810258">
        <w:t xml:space="preserve">the </w:t>
      </w:r>
      <w:r w:rsidRPr="00405361">
        <w:t xml:space="preserve">closure costs for Sporn Unit 5, or that the only determination for the Commission to make with respect to </w:t>
      </w:r>
      <w:r w:rsidR="00810258">
        <w:lastRenderedPageBreak/>
        <w:t>a proposed</w:t>
      </w:r>
      <w:r w:rsidRPr="00405361">
        <w:t xml:space="preserve"> ESP is whether it is more favorable in the aggregate than the expected results of a market rate offer.  The Commission must also determine whether the costs to be recovered under the ESP are authorized by statute.  </w:t>
      </w:r>
      <w:r w:rsidRPr="00405361">
        <w:rPr>
          <w:i/>
        </w:rPr>
        <w:t>With respect to the closure costs for Sporn Unit 5, we find no statutory basis within Section 4928.143, Revised Code, or anywhere else in the Revised Code</w:t>
      </w:r>
      <w:r w:rsidRPr="00405361">
        <w:t>.</w:t>
      </w:r>
      <w:r w:rsidRPr="00405361">
        <w:rPr>
          <w:vertAlign w:val="superscript"/>
        </w:rPr>
        <w:footnoteReference w:id="9"/>
      </w:r>
    </w:p>
    <w:p w:rsidR="00405361" w:rsidRDefault="00405361" w:rsidP="00AC4529">
      <w:pPr>
        <w:spacing w:after="0"/>
        <w:ind w:right="720"/>
        <w:jc w:val="both"/>
      </w:pPr>
    </w:p>
    <w:p w:rsidR="00405361" w:rsidRPr="00405361" w:rsidRDefault="00405361" w:rsidP="00AC4529">
      <w:pPr>
        <w:spacing w:after="0" w:line="480" w:lineRule="auto"/>
        <w:jc w:val="both"/>
      </w:pPr>
      <w:r>
        <w:t>The Commission went on to note that the authorization would also violate the prohibition of the recovery of generation-related costs through a distribution or transmission rate contained in R.C. 4928.02(H).</w:t>
      </w:r>
      <w:r w:rsidR="00F10136">
        <w:rPr>
          <w:rStyle w:val="FootnoteReference"/>
        </w:rPr>
        <w:footnoteReference w:id="10"/>
      </w:r>
      <w:r>
        <w:t xml:space="preserve">  Thus, the Commission </w:t>
      </w:r>
      <w:r w:rsidR="00A83296">
        <w:t xml:space="preserve">in </w:t>
      </w:r>
      <w:r w:rsidR="00A83296">
        <w:rPr>
          <w:i/>
        </w:rPr>
        <w:t>Sporn</w:t>
      </w:r>
      <w:r>
        <w:t xml:space="preserve"> determined that the provisions of R.C. 4928.14</w:t>
      </w:r>
      <w:r w:rsidR="00233176">
        <w:t>3</w:t>
      </w:r>
      <w:r>
        <w:t xml:space="preserve">(B)(2)(d) cannot be </w:t>
      </w:r>
      <w:r w:rsidR="00C16D40">
        <w:t>interpreted</w:t>
      </w:r>
      <w:r>
        <w:t xml:space="preserve"> to </w:t>
      </w:r>
      <w:r w:rsidR="009C2E0B">
        <w:t xml:space="preserve">override the prohibition of </w:t>
      </w:r>
      <w:r>
        <w:t xml:space="preserve">the recovery of </w:t>
      </w:r>
      <w:r w:rsidR="00195613">
        <w:t>generation-</w:t>
      </w:r>
      <w:r>
        <w:t xml:space="preserve">related costs through a nonbypassable rider </w:t>
      </w:r>
      <w:r w:rsidR="009C2E0B">
        <w:t>set out in</w:t>
      </w:r>
      <w:r>
        <w:t xml:space="preserve"> R.C. 4928.02(H).</w:t>
      </w:r>
    </w:p>
    <w:p w:rsidR="002B08A8" w:rsidRDefault="00405361" w:rsidP="00AC4529">
      <w:pPr>
        <w:spacing w:after="0" w:line="480" w:lineRule="auto"/>
        <w:ind w:firstLine="720"/>
        <w:jc w:val="both"/>
      </w:pPr>
      <w:r>
        <w:t>Further</w:t>
      </w:r>
      <w:r w:rsidR="002B08A8" w:rsidRPr="002B08A8">
        <w:t xml:space="preserve">, </w:t>
      </w:r>
      <w:r w:rsidR="00C16D40">
        <w:t>R.C. 4928.143(B)(2)(d)</w:t>
      </w:r>
      <w:r w:rsidR="002B08A8" w:rsidRPr="002B08A8">
        <w:t xml:space="preserve"> must be read in light of the fact that </w:t>
      </w:r>
      <w:r w:rsidR="00F10136">
        <w:t xml:space="preserve">the division specifies the </w:t>
      </w:r>
      <w:r w:rsidR="00195613">
        <w:t>generation</w:t>
      </w:r>
      <w:r w:rsidR="00F10136">
        <w:t xml:space="preserve">-related </w:t>
      </w:r>
      <w:r w:rsidR="004F6061">
        <w:t>costs</w:t>
      </w:r>
      <w:r w:rsidR="00F10136">
        <w:t xml:space="preserve"> that are covered.</w:t>
      </w:r>
      <w:r w:rsidR="00C16D40">
        <w:rPr>
          <w:rStyle w:val="FootnoteReference"/>
        </w:rPr>
        <w:footnoteReference w:id="11"/>
      </w:r>
      <w:r w:rsidR="00C16D40">
        <w:t xml:space="preserve">  </w:t>
      </w:r>
      <w:r w:rsidR="00F10136">
        <w:t xml:space="preserve">R.C. 4928.143(B)(2)(d) permits the Commission to </w:t>
      </w:r>
      <w:r w:rsidR="00195613">
        <w:t>approve</w:t>
      </w:r>
      <w:r w:rsidR="00F10136">
        <w:t xml:space="preserve"> a provision that relates </w:t>
      </w:r>
      <w:r>
        <w:t>to</w:t>
      </w:r>
      <w:r w:rsidR="002B08A8" w:rsidRPr="002B08A8">
        <w:t xml:space="preserve"> restrictions on shopping,</w:t>
      </w:r>
      <w:r w:rsidR="00830DF6">
        <w:t xml:space="preserve"> or standby, back-up, supplemental power</w:t>
      </w:r>
      <w:r w:rsidR="004F6061">
        <w:t>,</w:t>
      </w:r>
      <w:r w:rsidR="00830DF6">
        <w:t xml:space="preserve"> or default service</w:t>
      </w:r>
      <w:r w:rsidR="002B08A8" w:rsidRPr="002B08A8">
        <w:t>.  As the record demonstrates, the</w:t>
      </w:r>
      <w:r w:rsidR="002B08A8">
        <w:t xml:space="preserve"> PSR </w:t>
      </w:r>
      <w:r w:rsidR="002B08A8" w:rsidRPr="002B08A8">
        <w:t xml:space="preserve">has no relationship to the provision of retail electric </w:t>
      </w:r>
      <w:r w:rsidR="009C2E0B">
        <w:t xml:space="preserve">generation </w:t>
      </w:r>
      <w:r w:rsidR="002B08A8" w:rsidRPr="002B08A8">
        <w:t>services provided to customers (other than it would likely increase their bills for electricity).</w:t>
      </w:r>
      <w:r w:rsidR="00C16D40">
        <w:rPr>
          <w:rStyle w:val="FootnoteReference"/>
        </w:rPr>
        <w:footnoteReference w:id="12"/>
      </w:r>
      <w:r w:rsidR="002B08A8" w:rsidRPr="002B08A8">
        <w:t xml:space="preserve"> </w:t>
      </w:r>
      <w:r w:rsidR="00830DF6">
        <w:t xml:space="preserve"> In particular, Duke states that it will not affect default service since the power will be offered into </w:t>
      </w:r>
      <w:r w:rsidR="008A54A8">
        <w:t xml:space="preserve">PJM Interconnection, </w:t>
      </w:r>
      <w:r w:rsidR="00851FB8">
        <w:t>LLC</w:t>
      </w:r>
      <w:r w:rsidR="008A54A8">
        <w:t xml:space="preserve"> (“</w:t>
      </w:r>
      <w:r w:rsidR="00830DF6">
        <w:t>PJM</w:t>
      </w:r>
      <w:r w:rsidR="008A54A8">
        <w:t>”)</w:t>
      </w:r>
      <w:r w:rsidR="00830DF6">
        <w:t xml:space="preserve"> markets and will not be bid into the </w:t>
      </w:r>
      <w:r w:rsidR="008A54A8">
        <w:t>Competitive Bidding Process (“</w:t>
      </w:r>
      <w:r w:rsidR="00830DF6">
        <w:t>CBP</w:t>
      </w:r>
      <w:r w:rsidR="008A54A8">
        <w:t>”)</w:t>
      </w:r>
      <w:r w:rsidR="00830DF6">
        <w:t>.</w:t>
      </w:r>
      <w:r w:rsidR="00830DF6">
        <w:rPr>
          <w:rStyle w:val="FootnoteReference"/>
        </w:rPr>
        <w:footnoteReference w:id="13"/>
      </w:r>
      <w:r w:rsidR="00830DF6">
        <w:t xml:space="preserve">  </w:t>
      </w:r>
      <w:r w:rsidR="004F6061">
        <w:t xml:space="preserve">Because the PSR is unrelated to any </w:t>
      </w:r>
      <w:r w:rsidR="004F6061">
        <w:lastRenderedPageBreak/>
        <w:t xml:space="preserve">of the generation-related items listed in the </w:t>
      </w:r>
      <w:r w:rsidR="00830DF6">
        <w:t>division</w:t>
      </w:r>
      <w:r w:rsidR="004F6061">
        <w:t>, R.C. 4928.143(B)(2)(d) does not provide authorization for the rider</w:t>
      </w:r>
      <w:r w:rsidR="00830DF6">
        <w:t>.</w:t>
      </w:r>
    </w:p>
    <w:p w:rsidR="00830DF6" w:rsidRDefault="00830DF6" w:rsidP="00851FB8">
      <w:pPr>
        <w:pStyle w:val="Heading2"/>
      </w:pPr>
      <w:bookmarkStart w:id="41" w:name="_Toc406928582"/>
      <w:bookmarkStart w:id="42" w:name="_Toc407005662"/>
      <w:bookmarkStart w:id="43" w:name="_Toc407005788"/>
      <w:bookmarkStart w:id="44" w:name="_Toc407005844"/>
      <w:bookmarkStart w:id="45" w:name="_Toc407028852"/>
      <w:bookmarkStart w:id="46" w:name="_Toc407185309"/>
      <w:bookmarkStart w:id="47" w:name="_Toc407617128"/>
      <w:bookmarkStart w:id="48" w:name="_Toc407625425"/>
      <w:r>
        <w:t>The PSR would not provide “certainty” or “stability” regarding retail electric service</w:t>
      </w:r>
      <w:bookmarkEnd w:id="41"/>
      <w:bookmarkEnd w:id="42"/>
      <w:bookmarkEnd w:id="43"/>
      <w:bookmarkEnd w:id="44"/>
      <w:bookmarkEnd w:id="45"/>
      <w:bookmarkEnd w:id="46"/>
      <w:bookmarkEnd w:id="47"/>
      <w:bookmarkEnd w:id="48"/>
    </w:p>
    <w:p w:rsidR="006A3A9E" w:rsidRDefault="001E7D93" w:rsidP="00AC4529">
      <w:pPr>
        <w:spacing w:after="0" w:line="480" w:lineRule="auto"/>
        <w:jc w:val="both"/>
      </w:pPr>
      <w:r>
        <w:tab/>
      </w:r>
      <w:r w:rsidR="002B08A8" w:rsidRPr="002B08A8">
        <w:t xml:space="preserve">Even if the Commission wrongly concluded </w:t>
      </w:r>
      <w:r w:rsidR="00C16D40">
        <w:t>that the PSR related to a listed item</w:t>
      </w:r>
      <w:r w:rsidR="005D71B8">
        <w:t xml:space="preserve"> in R.C. 4928</w:t>
      </w:r>
      <w:r w:rsidR="008A54A8">
        <w:t>.</w:t>
      </w:r>
      <w:r w:rsidR="005D71B8">
        <w:t>143(B)(2)(d),</w:t>
      </w:r>
      <w:r w:rsidR="002B08A8" w:rsidRPr="002B08A8">
        <w:t xml:space="preserve"> </w:t>
      </w:r>
      <w:r w:rsidR="004F6061">
        <w:t>that division also requires Duke to demonstrate that the charge</w:t>
      </w:r>
      <w:r w:rsidR="002B08A8" w:rsidRPr="002B08A8">
        <w:t xml:space="preserve"> has the effect of providing certainty or stability in the provisi</w:t>
      </w:r>
      <w:r w:rsidR="009F5D6F">
        <w:t xml:space="preserve">on of retail electric service.  </w:t>
      </w:r>
      <w:r w:rsidR="004F6061">
        <w:t xml:space="preserve">Rather than </w:t>
      </w:r>
      <w:r w:rsidR="006A3A9E">
        <w:t>providing</w:t>
      </w:r>
      <w:r w:rsidR="004F6061">
        <w:t xml:space="preserve"> evidence supporting a finding that the rider will </w:t>
      </w:r>
      <w:r w:rsidR="006A3A9E">
        <w:t xml:space="preserve">have the effect of providing certainty or stability in the provision of electric service, </w:t>
      </w:r>
      <w:r w:rsidR="00C16D40">
        <w:t xml:space="preserve">however, </w:t>
      </w:r>
      <w:r w:rsidR="006A3A9E">
        <w:t>Duke chose to offer an opinion that the PSR would operate in that way because OVEC’s operational costs were relatively stable.</w:t>
      </w:r>
      <w:r w:rsidR="00C16D40">
        <w:rPr>
          <w:rStyle w:val="FootnoteReference"/>
        </w:rPr>
        <w:footnoteReference w:id="14"/>
      </w:r>
      <w:r w:rsidR="006A3A9E">
        <w:t xml:space="preserve">  It offered nothing in the way of cost or revenue information in its Application, and its responses to discovery demonstrated that the PSR would be a cost to customers throughout the term of the ESP.  Thus, </w:t>
      </w:r>
      <w:r w:rsidR="009C2E0B">
        <w:t xml:space="preserve">Duke’s “proof” that the PSR would have the effect of stabilizing or providing certainty </w:t>
      </w:r>
      <w:r w:rsidR="0066273B">
        <w:t xml:space="preserve">is </w:t>
      </w:r>
      <w:r w:rsidR="00904840">
        <w:t>instead</w:t>
      </w:r>
      <w:r w:rsidR="0066273B">
        <w:t xml:space="preserve"> </w:t>
      </w:r>
      <w:r w:rsidR="009C2E0B">
        <w:t>a demonstration</w:t>
      </w:r>
      <w:r w:rsidR="0066273B">
        <w:t xml:space="preserve"> that Duke’s wholesale price risk associated with the OVEC Entitlement would be shifted to Duke’s retail customers.</w:t>
      </w:r>
      <w:r w:rsidR="006A3A9E">
        <w:rPr>
          <w:rStyle w:val="FootnoteReference"/>
        </w:rPr>
        <w:footnoteReference w:id="15"/>
      </w:r>
      <w:r w:rsidR="006A3A9E">
        <w:t xml:space="preserve">  </w:t>
      </w:r>
    </w:p>
    <w:p w:rsidR="002B08A8" w:rsidRDefault="006A3A9E" w:rsidP="00AC4529">
      <w:pPr>
        <w:spacing w:after="0" w:line="480" w:lineRule="auto"/>
        <w:ind w:firstLine="720"/>
        <w:jc w:val="both"/>
      </w:pPr>
      <w:r>
        <w:t xml:space="preserve">Duke’s initial brief </w:t>
      </w:r>
      <w:r w:rsidR="0066273B">
        <w:t>adds nothing to demonstrate that the PSR will have the effect of stabilizing or providing certainty regarding retail electric service</w:t>
      </w:r>
      <w:r>
        <w:t xml:space="preserve">.  </w:t>
      </w:r>
      <w:r w:rsidR="00B206B6">
        <w:t>After a digression</w:t>
      </w:r>
      <w:r>
        <w:t xml:space="preserve"> in which Duke provides its </w:t>
      </w:r>
      <w:r w:rsidR="00B206B6">
        <w:t xml:space="preserve">view of the </w:t>
      </w:r>
      <w:r w:rsidR="0066273B">
        <w:t>state of</w:t>
      </w:r>
      <w:r w:rsidR="00B206B6">
        <w:t xml:space="preserve"> </w:t>
      </w:r>
      <w:r w:rsidR="009C2E0B">
        <w:t xml:space="preserve">PJM’s </w:t>
      </w:r>
      <w:r w:rsidR="00B206B6">
        <w:t xml:space="preserve">wholesale generation </w:t>
      </w:r>
      <w:r w:rsidR="0066273B">
        <w:t xml:space="preserve">resources </w:t>
      </w:r>
      <w:r w:rsidR="00B206B6">
        <w:t xml:space="preserve">with references to coal plant retirements and PJM’s actions in response to </w:t>
      </w:r>
      <w:r w:rsidR="0066273B">
        <w:t>the January 2014 weather events</w:t>
      </w:r>
      <w:r w:rsidR="009C2E0B">
        <w:t>,</w:t>
      </w:r>
      <w:r w:rsidR="00B206B6">
        <w:rPr>
          <w:rStyle w:val="FootnoteReference"/>
        </w:rPr>
        <w:footnoteReference w:id="16"/>
      </w:r>
      <w:r w:rsidR="00B206B6">
        <w:t xml:space="preserve"> </w:t>
      </w:r>
      <w:r w:rsidR="0066273B">
        <w:t xml:space="preserve">the likelihood of wholesale price spikes, and </w:t>
      </w:r>
      <w:r w:rsidR="009F5D6F">
        <w:t xml:space="preserve">a plea to the </w:t>
      </w:r>
      <w:r w:rsidR="009F5D6F">
        <w:lastRenderedPageBreak/>
        <w:t>Commission’s “stewardship” of retail customers,</w:t>
      </w:r>
      <w:r w:rsidR="009F5D6F">
        <w:rPr>
          <w:rStyle w:val="FootnoteReference"/>
        </w:rPr>
        <w:footnoteReference w:id="17"/>
      </w:r>
      <w:r w:rsidR="009F5D6F">
        <w:t xml:space="preserve"> </w:t>
      </w:r>
      <w:r w:rsidR="00B206B6">
        <w:t xml:space="preserve">Duke </w:t>
      </w:r>
      <w:r>
        <w:t>at last</w:t>
      </w:r>
      <w:r w:rsidR="00B206B6">
        <w:t xml:space="preserve"> offers that the PSR “will function as a counter-cyclical hedge</w:t>
      </w:r>
      <w:r w:rsidR="008F621E">
        <w:t>,</w:t>
      </w:r>
      <w:r w:rsidR="00B206B6">
        <w:t xml:space="preserve">” </w:t>
      </w:r>
      <w:r w:rsidR="008F621E">
        <w:t>but fails to address</w:t>
      </w:r>
      <w:r>
        <w:t xml:space="preserve"> the substantial record </w:t>
      </w:r>
      <w:r w:rsidR="008F621E">
        <w:t xml:space="preserve">showing </w:t>
      </w:r>
      <w:r>
        <w:t xml:space="preserve">that the PSR </w:t>
      </w:r>
      <w:r w:rsidR="008F621E">
        <w:t>would inject</w:t>
      </w:r>
      <w:r>
        <w:t xml:space="preserve"> added volatility into customers’ bills</w:t>
      </w:r>
      <w:r w:rsidR="00B206B6">
        <w:t>.</w:t>
      </w:r>
      <w:r w:rsidR="00EF5F57">
        <w:rPr>
          <w:rStyle w:val="FootnoteReference"/>
        </w:rPr>
        <w:footnoteReference w:id="18"/>
      </w:r>
      <w:r>
        <w:t xml:space="preserve">  Accordingly, Duke fails to demonstrate </w:t>
      </w:r>
      <w:r w:rsidR="009D6370">
        <w:t>that the</w:t>
      </w:r>
      <w:r>
        <w:t xml:space="preserve"> PSR will have the effect of providing stability or certainty in the provision of retail electric service.</w:t>
      </w:r>
    </w:p>
    <w:p w:rsidR="00BC3EA6" w:rsidRPr="00BC3EA6" w:rsidRDefault="00BC3EA6" w:rsidP="00984538">
      <w:pPr>
        <w:pStyle w:val="Heading3"/>
      </w:pPr>
      <w:bookmarkStart w:id="49" w:name="_Toc395521665"/>
      <w:bookmarkStart w:id="50" w:name="_Toc395706879"/>
      <w:bookmarkStart w:id="51" w:name="_Toc395791174"/>
      <w:bookmarkStart w:id="52" w:name="_Toc395868801"/>
      <w:bookmarkStart w:id="53" w:name="_Toc406928583"/>
      <w:bookmarkStart w:id="54" w:name="_Toc407005663"/>
      <w:bookmarkStart w:id="55" w:name="_Toc407005789"/>
      <w:bookmarkStart w:id="56" w:name="_Toc407005845"/>
      <w:bookmarkStart w:id="57" w:name="_Toc407028853"/>
      <w:bookmarkStart w:id="58" w:name="_Toc407185310"/>
      <w:bookmarkStart w:id="59" w:name="_Toc407617129"/>
      <w:bookmarkStart w:id="60" w:name="_Toc407625426"/>
      <w:r w:rsidRPr="00BC3EA6">
        <w:t xml:space="preserve">The </w:t>
      </w:r>
      <w:r>
        <w:t>PSR</w:t>
      </w:r>
      <w:r w:rsidRPr="00BC3EA6">
        <w:t xml:space="preserve"> </w:t>
      </w:r>
      <w:r w:rsidR="008F621E">
        <w:t>would inject</w:t>
      </w:r>
      <w:r w:rsidRPr="00BC3EA6">
        <w:t xml:space="preserve"> additional volatility </w:t>
      </w:r>
      <w:bookmarkEnd w:id="49"/>
      <w:r w:rsidRPr="00BC3EA6">
        <w:t>in</w:t>
      </w:r>
      <w:r w:rsidR="00233176">
        <w:t>to</w:t>
      </w:r>
      <w:r w:rsidRPr="00BC3EA6">
        <w:t xml:space="preserve"> customer bills</w:t>
      </w:r>
      <w:bookmarkEnd w:id="50"/>
      <w:bookmarkEnd w:id="51"/>
      <w:bookmarkEnd w:id="52"/>
      <w:bookmarkEnd w:id="53"/>
      <w:bookmarkEnd w:id="54"/>
      <w:bookmarkEnd w:id="55"/>
      <w:bookmarkEnd w:id="56"/>
      <w:bookmarkEnd w:id="57"/>
      <w:bookmarkEnd w:id="58"/>
      <w:bookmarkEnd w:id="59"/>
      <w:bookmarkEnd w:id="60"/>
    </w:p>
    <w:p w:rsidR="00BC3EA6" w:rsidRPr="00BC3EA6" w:rsidRDefault="00BC3EA6" w:rsidP="00AC4529">
      <w:pPr>
        <w:spacing w:after="0" w:line="480" w:lineRule="auto"/>
        <w:jc w:val="both"/>
      </w:pPr>
      <w:r w:rsidRPr="00BC3EA6">
        <w:tab/>
        <w:t xml:space="preserve">According to </w:t>
      </w:r>
      <w:r>
        <w:t>Duke</w:t>
      </w:r>
      <w:r w:rsidRPr="00BC3EA6">
        <w:t xml:space="preserve">, the </w:t>
      </w:r>
      <w:r>
        <w:t>PSR</w:t>
      </w:r>
      <w:r w:rsidRPr="00BC3EA6">
        <w:t xml:space="preserve"> will </w:t>
      </w:r>
      <w:r w:rsidR="00B206B6">
        <w:t>“mitigate retail rate volatility.</w:t>
      </w:r>
      <w:r>
        <w:t>”</w:t>
      </w:r>
      <w:r w:rsidRPr="00BC3EA6">
        <w:rPr>
          <w:vertAlign w:val="superscript"/>
        </w:rPr>
        <w:footnoteReference w:id="19"/>
      </w:r>
      <w:r w:rsidRPr="00BC3EA6">
        <w:t xml:space="preserve">  That claim is not correct. </w:t>
      </w:r>
    </w:p>
    <w:p w:rsidR="00BC3EA6" w:rsidRPr="00BC3EA6" w:rsidRDefault="00BC3EA6" w:rsidP="00AC4529">
      <w:pPr>
        <w:spacing w:after="0" w:line="480" w:lineRule="auto"/>
        <w:ind w:firstLine="720"/>
        <w:jc w:val="both"/>
      </w:pPr>
      <w:r w:rsidRPr="00BC3EA6">
        <w:t xml:space="preserve">Regardless of whether the </w:t>
      </w:r>
      <w:r>
        <w:t>PSR</w:t>
      </w:r>
      <w:r w:rsidRPr="00BC3EA6">
        <w:t xml:space="preserve"> results in a charge or credit, it would increase the volatility of </w:t>
      </w:r>
      <w:r w:rsidR="00233176">
        <w:t>customer bills</w:t>
      </w:r>
      <w:r w:rsidR="00233176" w:rsidRPr="00BC3EA6">
        <w:t xml:space="preserve"> </w:t>
      </w:r>
      <w:r w:rsidRPr="00BC3EA6">
        <w:t>of both shopping and nonshopping customers</w:t>
      </w:r>
      <w:r w:rsidR="00B438F2">
        <w:t xml:space="preserve">.  </w:t>
      </w:r>
      <w:r w:rsidRPr="00BC3EA6">
        <w:t>Shopping customers, including residential customers, can secure long-term contracts of up to three years at a fixed rate.</w:t>
      </w:r>
      <w:r w:rsidRPr="00BC3EA6">
        <w:rPr>
          <w:vertAlign w:val="superscript"/>
        </w:rPr>
        <w:footnoteReference w:id="20"/>
      </w:r>
      <w:r w:rsidRPr="00BC3EA6">
        <w:t xml:space="preserve">  Nonshopping customers would benefit from the stability provided by the laddering and staggering of the CBP.</w:t>
      </w:r>
      <w:r w:rsidRPr="00BC3EA6">
        <w:rPr>
          <w:vertAlign w:val="superscript"/>
        </w:rPr>
        <w:footnoteReference w:id="21"/>
      </w:r>
      <w:r w:rsidRPr="00BC3EA6">
        <w:t xml:space="preserve">  Authorization of the </w:t>
      </w:r>
      <w:r w:rsidR="00233176">
        <w:t xml:space="preserve">nonbypassable </w:t>
      </w:r>
      <w:r w:rsidR="00195613">
        <w:t>PSR</w:t>
      </w:r>
      <w:r w:rsidRPr="00BC3EA6">
        <w:t xml:space="preserve">, however, would increase price risk for both shopping and nonshopping customers by adding </w:t>
      </w:r>
      <w:r w:rsidR="00B438F2">
        <w:t>Duke’s</w:t>
      </w:r>
      <w:r w:rsidRPr="00BC3EA6">
        <w:t xml:space="preserve"> wholesale price risk </w:t>
      </w:r>
      <w:r w:rsidR="00B438F2">
        <w:t xml:space="preserve">associated with </w:t>
      </w:r>
      <w:r w:rsidRPr="00BC3EA6">
        <w:t xml:space="preserve">the OVEC Entitlement to </w:t>
      </w:r>
      <w:r w:rsidR="00B438F2">
        <w:t>customers’</w:t>
      </w:r>
      <w:r w:rsidRPr="00BC3EA6">
        <w:t xml:space="preserve"> bills.  </w:t>
      </w:r>
      <w:r w:rsidR="00B206B6">
        <w:t>Regardless of whether the PSR results in a charge or credit, the rider will increase the volatility of customer</w:t>
      </w:r>
      <w:r w:rsidR="00984538">
        <w:t>s’</w:t>
      </w:r>
      <w:r w:rsidR="00B206B6">
        <w:t xml:space="preserve"> bills because it shifts the risk of the OVEC Entitlement to customers, a risk they would not otherwise incur.</w:t>
      </w:r>
    </w:p>
    <w:p w:rsidR="00BC3EA6" w:rsidRDefault="008F621E" w:rsidP="009D6370">
      <w:pPr>
        <w:pStyle w:val="Heading3"/>
      </w:pPr>
      <w:bookmarkStart w:id="61" w:name="_Toc406928584"/>
      <w:bookmarkStart w:id="62" w:name="_Toc407005664"/>
      <w:bookmarkStart w:id="63" w:name="_Toc407005790"/>
      <w:bookmarkStart w:id="64" w:name="_Toc407005846"/>
      <w:bookmarkStart w:id="65" w:name="_Toc407028854"/>
      <w:bookmarkStart w:id="66" w:name="_Toc407185311"/>
      <w:bookmarkStart w:id="67" w:name="_Toc407617130"/>
      <w:bookmarkStart w:id="68" w:name="_Toc407625427"/>
      <w:r>
        <w:t>The PSR</w:t>
      </w:r>
      <w:r w:rsidR="00BC3EA6">
        <w:t xml:space="preserve"> will impose a cost on customers</w:t>
      </w:r>
      <w:bookmarkEnd w:id="61"/>
      <w:bookmarkEnd w:id="62"/>
      <w:bookmarkEnd w:id="63"/>
      <w:bookmarkEnd w:id="64"/>
      <w:bookmarkEnd w:id="65"/>
      <w:bookmarkEnd w:id="66"/>
      <w:bookmarkEnd w:id="67"/>
      <w:bookmarkEnd w:id="68"/>
    </w:p>
    <w:p w:rsidR="00BC3EA6" w:rsidRPr="002B08A8" w:rsidRDefault="00B206B6" w:rsidP="00AC4529">
      <w:pPr>
        <w:spacing w:after="0" w:line="480" w:lineRule="auto"/>
        <w:ind w:firstLine="720"/>
        <w:jc w:val="both"/>
      </w:pPr>
      <w:r>
        <w:lastRenderedPageBreak/>
        <w:t xml:space="preserve">Further, the PSR will be detrimental to customers because it will increase their cost of service through a </w:t>
      </w:r>
      <w:r w:rsidR="009C2E0B">
        <w:t>nonbypassable</w:t>
      </w:r>
      <w:r>
        <w:t xml:space="preserve"> charge.  </w:t>
      </w:r>
      <w:r w:rsidR="00F05865">
        <w:t xml:space="preserve">Although </w:t>
      </w:r>
      <w:r w:rsidR="00BC3EA6">
        <w:t>Duke chose to ignore the costs associated with the PSR</w:t>
      </w:r>
      <w:r w:rsidR="00F05865">
        <w:t xml:space="preserve"> in both its description of the rider</w:t>
      </w:r>
      <w:r w:rsidR="00F05865">
        <w:rPr>
          <w:rStyle w:val="FootnoteReference"/>
        </w:rPr>
        <w:footnoteReference w:id="22"/>
      </w:r>
      <w:r w:rsidR="00F05865">
        <w:t xml:space="preserve"> and its analysis of cost impacts</w:t>
      </w:r>
      <w:r w:rsidR="00BC3EA6">
        <w:t>,</w:t>
      </w:r>
      <w:r w:rsidR="00F05865">
        <w:rPr>
          <w:rStyle w:val="FootnoteReference"/>
        </w:rPr>
        <w:footnoteReference w:id="23"/>
      </w:r>
      <w:r w:rsidR="00BC3EA6">
        <w:t xml:space="preserve"> </w:t>
      </w:r>
      <w:r w:rsidR="00B438F2">
        <w:t xml:space="preserve">estimates of the cost of the PSR </w:t>
      </w:r>
      <w:r w:rsidR="00F05865">
        <w:t xml:space="preserve">offered by customers </w:t>
      </w:r>
      <w:r w:rsidR="00BC3EA6">
        <w:t xml:space="preserve">demonstrated </w:t>
      </w:r>
      <w:r w:rsidR="00F05865">
        <w:t>that the rider will impose a $22 million cost (at least) during the term of the ESP</w:t>
      </w:r>
      <w:r w:rsidR="00BC3EA6">
        <w:t>.</w:t>
      </w:r>
      <w:r w:rsidR="00F05865">
        <w:rPr>
          <w:rStyle w:val="FootnoteReference"/>
        </w:rPr>
        <w:footnoteReference w:id="24"/>
      </w:r>
      <w:r w:rsidR="00BC3EA6">
        <w:t xml:space="preserve">  Th</w:t>
      </w:r>
      <w:r w:rsidR="009C2E0B">
        <w:t>us, th</w:t>
      </w:r>
      <w:r w:rsidR="00BC3EA6">
        <w:t>e so-called benefits of the hedge run exclusively to Duke during the t</w:t>
      </w:r>
      <w:r w:rsidR="00F05865">
        <w:t>erm of the ESP</w:t>
      </w:r>
      <w:r w:rsidR="00BC3EA6">
        <w:t>.</w:t>
      </w:r>
    </w:p>
    <w:p w:rsidR="00D31DE7" w:rsidRPr="00D31DE7" w:rsidRDefault="000337B5" w:rsidP="00984538">
      <w:pPr>
        <w:pStyle w:val="Heading3"/>
      </w:pPr>
      <w:bookmarkStart w:id="69" w:name="_Toc406928585"/>
      <w:bookmarkStart w:id="70" w:name="_Toc407005665"/>
      <w:bookmarkStart w:id="71" w:name="_Toc407005791"/>
      <w:bookmarkStart w:id="72" w:name="_Toc407005847"/>
      <w:bookmarkStart w:id="73" w:name="_Toc407028855"/>
      <w:bookmarkStart w:id="74" w:name="_Toc407185312"/>
      <w:bookmarkStart w:id="75" w:name="_Toc407617131"/>
      <w:bookmarkStart w:id="76" w:name="_Toc407625428"/>
      <w:r>
        <w:t xml:space="preserve">Duke’s digression on </w:t>
      </w:r>
      <w:r w:rsidR="009D6370">
        <w:t xml:space="preserve">problems of the </w:t>
      </w:r>
      <w:r>
        <w:t xml:space="preserve">wholesale </w:t>
      </w:r>
      <w:r w:rsidR="009D6370">
        <w:t xml:space="preserve">energy and capacity </w:t>
      </w:r>
      <w:r>
        <w:t>market</w:t>
      </w:r>
      <w:r w:rsidR="009D6370">
        <w:t>s</w:t>
      </w:r>
      <w:r>
        <w:t xml:space="preserve"> </w:t>
      </w:r>
      <w:r w:rsidR="008F621E">
        <w:t>is</w:t>
      </w:r>
      <w:r>
        <w:t xml:space="preserve"> </w:t>
      </w:r>
      <w:r w:rsidR="009D6370">
        <w:t>incomplete</w:t>
      </w:r>
      <w:r>
        <w:t xml:space="preserve"> </w:t>
      </w:r>
      <w:r w:rsidR="009D6370">
        <w:t>and irrelevant</w:t>
      </w:r>
      <w:bookmarkEnd w:id="69"/>
      <w:bookmarkEnd w:id="70"/>
      <w:bookmarkEnd w:id="71"/>
      <w:bookmarkEnd w:id="72"/>
      <w:bookmarkEnd w:id="73"/>
      <w:bookmarkEnd w:id="74"/>
      <w:bookmarkEnd w:id="75"/>
      <w:bookmarkEnd w:id="76"/>
      <w:r w:rsidR="009D6370">
        <w:t xml:space="preserve"> </w:t>
      </w:r>
    </w:p>
    <w:p w:rsidR="00D31DE7" w:rsidRDefault="000337B5" w:rsidP="00AC4529">
      <w:pPr>
        <w:spacing w:after="0" w:line="480" w:lineRule="auto"/>
        <w:ind w:firstLine="720"/>
        <w:jc w:val="both"/>
      </w:pPr>
      <w:r>
        <w:t xml:space="preserve">In support of its proposed rider, Duke also constructs </w:t>
      </w:r>
      <w:r w:rsidR="008F621E">
        <w:t>an argument</w:t>
      </w:r>
      <w:r>
        <w:t xml:space="preserve"> that the Commission </w:t>
      </w:r>
      <w:r w:rsidR="009D6370">
        <w:t>should act</w:t>
      </w:r>
      <w:r>
        <w:t xml:space="preserve"> as a steward for Duke’s ratepayers </w:t>
      </w:r>
      <w:r w:rsidR="009C2E0B">
        <w:t>because of</w:t>
      </w:r>
      <w:r>
        <w:t xml:space="preserve"> changes in the </w:t>
      </w:r>
      <w:r w:rsidR="009C2E0B">
        <w:t xml:space="preserve">PJM </w:t>
      </w:r>
      <w:r>
        <w:t>wholesale capacity and energy markets</w:t>
      </w:r>
      <w:r w:rsidRPr="00D31DE7">
        <w:t>.</w:t>
      </w:r>
      <w:r>
        <w:rPr>
          <w:rStyle w:val="FootnoteReference"/>
        </w:rPr>
        <w:footnoteReference w:id="25"/>
      </w:r>
      <w:r w:rsidRPr="00D31DE7">
        <w:t xml:space="preserve">  </w:t>
      </w:r>
      <w:r w:rsidR="00F05865">
        <w:t>Duke’s digression</w:t>
      </w:r>
      <w:r>
        <w:t xml:space="preserve">, however, does not provide a full picture of the changes that are </w:t>
      </w:r>
      <w:r w:rsidR="00C016FD">
        <w:t>occurring</w:t>
      </w:r>
      <w:r>
        <w:t xml:space="preserve"> and </w:t>
      </w:r>
      <w:r w:rsidR="009C2E0B">
        <w:t xml:space="preserve">is </w:t>
      </w:r>
      <w:r w:rsidR="008F621E">
        <w:t xml:space="preserve">irrelevant because it </w:t>
      </w:r>
      <w:r>
        <w:t xml:space="preserve">rests on </w:t>
      </w:r>
      <w:r w:rsidR="008F621E">
        <w:t>a false assumption</w:t>
      </w:r>
      <w:r>
        <w:t xml:space="preserve"> that the Commission can expand its authority to approve the PSR</w:t>
      </w:r>
      <w:r w:rsidR="00F05865">
        <w:t xml:space="preserve">.  </w:t>
      </w:r>
    </w:p>
    <w:p w:rsidR="00F05865" w:rsidRDefault="00CF7269" w:rsidP="00AC4529">
      <w:pPr>
        <w:spacing w:after="0" w:line="480" w:lineRule="auto"/>
        <w:ind w:firstLine="720"/>
        <w:jc w:val="both"/>
      </w:pPr>
      <w:r>
        <w:t xml:space="preserve">Even if </w:t>
      </w:r>
      <w:r w:rsidR="009C2E0B">
        <w:t>the factual claims Duke makes about the state of PJM’s generation resources</w:t>
      </w:r>
      <w:r>
        <w:t xml:space="preserve"> were relevant to the findings that the Commission must make to authorize the PSR</w:t>
      </w:r>
      <w:r w:rsidR="009D6370">
        <w:t xml:space="preserve">, the claims are </w:t>
      </w:r>
      <w:r w:rsidR="009C2E0B">
        <w:t xml:space="preserve">so </w:t>
      </w:r>
      <w:r w:rsidR="009D6370">
        <w:t>incomplete</w:t>
      </w:r>
      <w:r w:rsidR="009C2E0B">
        <w:t xml:space="preserve"> as to be misleading</w:t>
      </w:r>
      <w:r w:rsidR="009D6370">
        <w:t xml:space="preserve">. </w:t>
      </w:r>
      <w:r>
        <w:t xml:space="preserve"> </w:t>
      </w:r>
      <w:r w:rsidR="009D6370">
        <w:t>For example</w:t>
      </w:r>
      <w:r w:rsidR="007C47F1">
        <w:t xml:space="preserve">, </w:t>
      </w:r>
      <w:r>
        <w:t>Duke</w:t>
      </w:r>
      <w:r w:rsidR="007C47F1">
        <w:t xml:space="preserve"> points out that a substantial amount of generation is </w:t>
      </w:r>
      <w:r w:rsidR="00E674BA">
        <w:t>scheduled</w:t>
      </w:r>
      <w:r w:rsidR="007C47F1">
        <w:t xml:space="preserve"> to retire by 2019.</w:t>
      </w:r>
      <w:r w:rsidR="000337B5">
        <w:rPr>
          <w:rStyle w:val="FootnoteReference"/>
        </w:rPr>
        <w:footnoteReference w:id="26"/>
      </w:r>
      <w:r w:rsidR="007C47F1">
        <w:t xml:space="preserve">  Duke, however, ignores that </w:t>
      </w:r>
      <w:r>
        <w:t>(1)</w:t>
      </w:r>
      <w:r w:rsidR="008F621E">
        <w:t xml:space="preserve"> </w:t>
      </w:r>
      <w:r>
        <w:t xml:space="preserve">PJM is responsible for maintaining reliability of the PJM region and has adopted procedures such as the capacity and energy markets to accomplish </w:t>
      </w:r>
      <w:r>
        <w:lastRenderedPageBreak/>
        <w:t xml:space="preserve">that result; (2) </w:t>
      </w:r>
      <w:r w:rsidR="007C47F1">
        <w:t xml:space="preserve">net additions </w:t>
      </w:r>
      <w:r>
        <w:t>to</w:t>
      </w:r>
      <w:r w:rsidR="002247C9">
        <w:t xml:space="preserve"> generation</w:t>
      </w:r>
      <w:r w:rsidR="007C47F1">
        <w:t xml:space="preserve"> resources </w:t>
      </w:r>
      <w:r w:rsidR="009D6370">
        <w:t xml:space="preserve">in the PJM construction queue </w:t>
      </w:r>
      <w:r w:rsidR="007C47F1">
        <w:t>exceed retirements</w:t>
      </w:r>
      <w:r>
        <w:t>;</w:t>
      </w:r>
      <w:r w:rsidR="000337B5">
        <w:rPr>
          <w:rStyle w:val="FootnoteReference"/>
        </w:rPr>
        <w:footnoteReference w:id="27"/>
      </w:r>
      <w:r>
        <w:t xml:space="preserve"> (3) </w:t>
      </w:r>
      <w:r w:rsidR="007C47F1">
        <w:t xml:space="preserve">the </w:t>
      </w:r>
      <w:r w:rsidR="00C016FD">
        <w:t>reliability</w:t>
      </w:r>
      <w:r w:rsidR="007C47F1">
        <w:t xml:space="preserve"> needs of PJM have already </w:t>
      </w:r>
      <w:r w:rsidR="00C016FD">
        <w:t>been</w:t>
      </w:r>
      <w:r w:rsidR="007C47F1">
        <w:t xml:space="preserve"> satisfied by the capacity auctions which now extend for th</w:t>
      </w:r>
      <w:r>
        <w:t>e full term of the proposed ESP;</w:t>
      </w:r>
      <w:r w:rsidR="000337B5">
        <w:rPr>
          <w:rStyle w:val="FootnoteReference"/>
        </w:rPr>
        <w:footnoteReference w:id="28"/>
      </w:r>
      <w:r>
        <w:t xml:space="preserve"> and (4)</w:t>
      </w:r>
      <w:r w:rsidRPr="00CF7269">
        <w:t xml:space="preserve"> the OVEC units will continue operation with or without the PSR.</w:t>
      </w:r>
      <w:r w:rsidR="009C2E0B">
        <w:t xml:space="preserve"> </w:t>
      </w:r>
      <w:r>
        <w:t xml:space="preserve"> </w:t>
      </w:r>
      <w:r w:rsidR="00C016FD">
        <w:t>By leaving out these key facts, Duke</w:t>
      </w:r>
      <w:r w:rsidR="007C47F1">
        <w:t xml:space="preserve"> </w:t>
      </w:r>
      <w:r>
        <w:t xml:space="preserve">seeks to create the </w:t>
      </w:r>
      <w:r w:rsidR="00C016FD">
        <w:t>false impression that reliability of electric generation to serve its customers is at risk</w:t>
      </w:r>
      <w:r>
        <w:t xml:space="preserve"> if the PSR is not authorized</w:t>
      </w:r>
      <w:r w:rsidR="007C47F1">
        <w:t>.</w:t>
      </w:r>
      <w:r>
        <w:t xml:space="preserve">  The Commission woul</w:t>
      </w:r>
      <w:r w:rsidR="009C2E0B">
        <w:t xml:space="preserve">d be misguided if it accepted </w:t>
      </w:r>
      <w:r>
        <w:t>Duke’s incomplete view of wholesale markets</w:t>
      </w:r>
      <w:r w:rsidR="009C2E0B">
        <w:t xml:space="preserve"> as a reason to authorize the PSR</w:t>
      </w:r>
      <w:r>
        <w:t>.</w:t>
      </w:r>
    </w:p>
    <w:p w:rsidR="007C47F1" w:rsidRDefault="009C2E0B" w:rsidP="00AC4529">
      <w:pPr>
        <w:spacing w:after="0" w:line="480" w:lineRule="auto"/>
        <w:ind w:firstLine="720"/>
        <w:jc w:val="both"/>
      </w:pPr>
      <w:r>
        <w:t>Duke’s reliance on an in</w:t>
      </w:r>
      <w:r w:rsidR="008F621E">
        <w:t xml:space="preserve">complete picture of the </w:t>
      </w:r>
      <w:r>
        <w:t xml:space="preserve">wholesale </w:t>
      </w:r>
      <w:r w:rsidR="008F621E">
        <w:t>generation market</w:t>
      </w:r>
      <w:r>
        <w:t>s, however,</w:t>
      </w:r>
      <w:r w:rsidR="008F621E">
        <w:t xml:space="preserve"> does not end with its description of the generation resources that are and will be available to maintain reliability.  </w:t>
      </w:r>
      <w:r w:rsidR="000337B5">
        <w:t xml:space="preserve">Duke also points to “price spikes” that </w:t>
      </w:r>
      <w:r w:rsidR="002C094E">
        <w:t xml:space="preserve">may occur </w:t>
      </w:r>
      <w:r w:rsidR="000337B5">
        <w:t xml:space="preserve">due to </w:t>
      </w:r>
      <w:r w:rsidR="005C39BD">
        <w:t>decreased fuel diversity</w:t>
      </w:r>
      <w:r w:rsidR="002C094E">
        <w:t xml:space="preserve"> and changes in PJM and FERC </w:t>
      </w:r>
      <w:r w:rsidR="00C016FD">
        <w:t>regulations</w:t>
      </w:r>
      <w:r w:rsidR="008F621E">
        <w:t>.</w:t>
      </w:r>
      <w:r>
        <w:rPr>
          <w:rStyle w:val="FootnoteReference"/>
        </w:rPr>
        <w:footnoteReference w:id="29"/>
      </w:r>
      <w:r w:rsidR="008F621E">
        <w:t xml:space="preserve"> </w:t>
      </w:r>
      <w:r w:rsidR="00C169FA">
        <w:t xml:space="preserve"> </w:t>
      </w:r>
      <w:r w:rsidR="008F621E">
        <w:t>T</w:t>
      </w:r>
      <w:r w:rsidR="00C169FA">
        <w:t>hese spikes</w:t>
      </w:r>
      <w:r w:rsidR="008F621E">
        <w:t>, however,</w:t>
      </w:r>
      <w:r w:rsidR="00C169FA">
        <w:t xml:space="preserve"> are </w:t>
      </w:r>
      <w:r w:rsidR="008F621E">
        <w:t xml:space="preserve">largely </w:t>
      </w:r>
      <w:r w:rsidR="00C169FA">
        <w:t xml:space="preserve">irrelevant to </w:t>
      </w:r>
      <w:r w:rsidR="008F621E">
        <w:t xml:space="preserve">retail </w:t>
      </w:r>
      <w:r w:rsidR="00C169FA">
        <w:t>customer</w:t>
      </w:r>
      <w:r w:rsidR="008F621E">
        <w:t>s</w:t>
      </w:r>
      <w:r w:rsidR="005C39BD">
        <w:t>.</w:t>
      </w:r>
      <w:r w:rsidR="002C094E">
        <w:rPr>
          <w:rStyle w:val="FootnoteReference"/>
        </w:rPr>
        <w:footnoteReference w:id="30"/>
      </w:r>
      <w:r w:rsidR="005C39BD">
        <w:t xml:space="preserve">  </w:t>
      </w:r>
      <w:r w:rsidR="00C169FA">
        <w:t xml:space="preserve">End users, </w:t>
      </w:r>
      <w:r w:rsidR="00C169FA" w:rsidRPr="00C169FA">
        <w:rPr>
          <w:i/>
        </w:rPr>
        <w:t>i.e.</w:t>
      </w:r>
      <w:r w:rsidR="00C169FA">
        <w:t xml:space="preserve"> the retail customers of Duke,</w:t>
      </w:r>
      <w:r w:rsidR="005C39BD">
        <w:t xml:space="preserve"> purchase powe</w:t>
      </w:r>
      <w:r w:rsidR="008F621E">
        <w:t>r</w:t>
      </w:r>
      <w:r w:rsidR="005C39BD">
        <w:t xml:space="preserve"> either thr</w:t>
      </w:r>
      <w:r w:rsidR="00C169FA">
        <w:t xml:space="preserve">ough the </w:t>
      </w:r>
      <w:r w:rsidR="00D2420C">
        <w:t>standard service offer (“</w:t>
      </w:r>
      <w:r w:rsidR="00C169FA">
        <w:t>SSO</w:t>
      </w:r>
      <w:r w:rsidR="00D2420C">
        <w:t>”)</w:t>
      </w:r>
      <w:r w:rsidR="00C169FA">
        <w:t xml:space="preserve"> or a </w:t>
      </w:r>
      <w:r w:rsidR="00D2420C">
        <w:t>competitive retail electric service (“</w:t>
      </w:r>
      <w:r w:rsidR="00C169FA">
        <w:t>CRES</w:t>
      </w:r>
      <w:r w:rsidR="00D2420C">
        <w:t>”)</w:t>
      </w:r>
      <w:r w:rsidR="00C169FA">
        <w:t xml:space="preserve"> contract.</w:t>
      </w:r>
      <w:r w:rsidR="00B1435C">
        <w:t xml:space="preserve"> </w:t>
      </w:r>
      <w:r w:rsidR="005C39BD">
        <w:t xml:space="preserve"> </w:t>
      </w:r>
      <w:r w:rsidR="00C169FA">
        <w:t xml:space="preserve">Generation rates of </w:t>
      </w:r>
      <w:r w:rsidR="008F621E">
        <w:t>SSO</w:t>
      </w:r>
      <w:r w:rsidR="00C169FA">
        <w:t xml:space="preserve"> customers would be</w:t>
      </w:r>
      <w:r w:rsidR="005C39BD">
        <w:t xml:space="preserve"> hedged through the laddering and staggering built into the auction process used to secure power for the SSO</w:t>
      </w:r>
      <w:r w:rsidR="00C169FA">
        <w:t>.</w:t>
      </w:r>
      <w:r w:rsidR="00C169FA">
        <w:rPr>
          <w:rStyle w:val="FootnoteReference"/>
        </w:rPr>
        <w:footnoteReference w:id="31"/>
      </w:r>
      <w:r w:rsidR="00C169FA">
        <w:t xml:space="preserve">  Customers that shop</w:t>
      </w:r>
      <w:r w:rsidR="005C39BD">
        <w:t xml:space="preserve"> may elect </w:t>
      </w:r>
      <w:r w:rsidR="00B1435C">
        <w:t>long-</w:t>
      </w:r>
      <w:r w:rsidR="005C39BD">
        <w:t>term fixed contracts.</w:t>
      </w:r>
      <w:r w:rsidR="005C39BD">
        <w:rPr>
          <w:rStyle w:val="FootnoteReference"/>
        </w:rPr>
        <w:footnoteReference w:id="32"/>
      </w:r>
      <w:r w:rsidR="005C39BD">
        <w:t xml:space="preserve">  </w:t>
      </w:r>
      <w:r w:rsidR="00C016FD">
        <w:t>Th</w:t>
      </w:r>
      <w:r w:rsidR="00C169FA">
        <w:t xml:space="preserve">us, </w:t>
      </w:r>
      <w:r w:rsidR="008F621E">
        <w:t>Duke’s reliance on wholesale price volatility</w:t>
      </w:r>
      <w:r w:rsidR="00C169FA">
        <w:t xml:space="preserve"> </w:t>
      </w:r>
      <w:r w:rsidR="00C016FD">
        <w:t>is misleading</w:t>
      </w:r>
      <w:r w:rsidR="00C169FA">
        <w:t xml:space="preserve"> since </w:t>
      </w:r>
      <w:r w:rsidR="00C169FA">
        <w:lastRenderedPageBreak/>
        <w:t>customers are not directly exposed to the volatile wholesale markets and can hedge their exposure through retail choices guaranteed by Ohio law</w:t>
      </w:r>
      <w:r w:rsidR="00C016FD">
        <w:t>.</w:t>
      </w:r>
    </w:p>
    <w:p w:rsidR="002C094E" w:rsidRDefault="008F621E" w:rsidP="00AC4529">
      <w:pPr>
        <w:spacing w:after="0" w:line="480" w:lineRule="auto"/>
        <w:ind w:firstLine="720"/>
        <w:jc w:val="both"/>
      </w:pPr>
      <w:r>
        <w:t xml:space="preserve">Although </w:t>
      </w:r>
      <w:r w:rsidR="00484A75">
        <w:t xml:space="preserve">Duke’s incomplete rendition of the wholesale market does not </w:t>
      </w:r>
      <w:r>
        <w:t>provide</w:t>
      </w:r>
      <w:r w:rsidR="00484A75">
        <w:t xml:space="preserve"> a justification for authorizing the PSR, </w:t>
      </w:r>
      <w:r w:rsidR="002C094E">
        <w:t xml:space="preserve">Duke apparently offers </w:t>
      </w:r>
      <w:r w:rsidR="00C016FD">
        <w:t>its</w:t>
      </w:r>
      <w:r w:rsidR="002C094E">
        <w:t xml:space="preserve"> </w:t>
      </w:r>
      <w:r>
        <w:t xml:space="preserve">faulty </w:t>
      </w:r>
      <w:r w:rsidR="002C094E">
        <w:t xml:space="preserve">account to </w:t>
      </w:r>
      <w:r w:rsidR="00484A75">
        <w:t>encour</w:t>
      </w:r>
      <w:r>
        <w:t>a</w:t>
      </w:r>
      <w:r w:rsidR="00484A75">
        <w:t>ge</w:t>
      </w:r>
      <w:r w:rsidR="00F05865">
        <w:t xml:space="preserve"> the Commission </w:t>
      </w:r>
      <w:r>
        <w:t xml:space="preserve">to </w:t>
      </w:r>
      <w:r w:rsidR="00484A75">
        <w:t>authorize the rider because the Commission is a</w:t>
      </w:r>
      <w:r w:rsidR="00EB3566">
        <w:t xml:space="preserve"> </w:t>
      </w:r>
      <w:r w:rsidR="002C094E">
        <w:t>“steward for ratepayers</w:t>
      </w:r>
      <w:r w:rsidR="00484A75">
        <w:t>.</w:t>
      </w:r>
      <w:r w:rsidR="002C094E">
        <w:t>”</w:t>
      </w:r>
      <w:r w:rsidR="002C094E">
        <w:rPr>
          <w:rStyle w:val="FootnoteReference"/>
        </w:rPr>
        <w:footnoteReference w:id="33"/>
      </w:r>
      <w:r w:rsidR="007C47F1">
        <w:t xml:space="preserve">  </w:t>
      </w:r>
      <w:r w:rsidR="00484A75">
        <w:t xml:space="preserve">The notion </w:t>
      </w:r>
      <w:r>
        <w:t>that ordering customers to pay Duke a subsidy of</w:t>
      </w:r>
      <w:r w:rsidR="00484A75">
        <w:t xml:space="preserve"> </w:t>
      </w:r>
      <w:r w:rsidR="00D2420C">
        <w:t xml:space="preserve">at </w:t>
      </w:r>
      <w:r w:rsidR="00484A75">
        <w:t xml:space="preserve">least $22 million </w:t>
      </w:r>
      <w:r w:rsidR="00562A99">
        <w:t xml:space="preserve">is </w:t>
      </w:r>
      <w:r w:rsidR="00484A75">
        <w:t xml:space="preserve">an act of “stewardship” is </w:t>
      </w:r>
      <w:r w:rsidR="009C2E0B">
        <w:t xml:space="preserve">itself </w:t>
      </w:r>
      <w:r w:rsidR="00484A75">
        <w:t xml:space="preserve">an absurdity.  </w:t>
      </w:r>
      <w:r w:rsidR="009C2E0B">
        <w:t>Moreover, e</w:t>
      </w:r>
      <w:r w:rsidR="00484A75">
        <w:t xml:space="preserve">ven if the Commission were inclined to “help” customers by approving the PSR, </w:t>
      </w:r>
      <w:r w:rsidR="00D31DE7">
        <w:t xml:space="preserve">the Commission </w:t>
      </w:r>
      <w:r w:rsidR="00484A75">
        <w:t>is without authority to do so</w:t>
      </w:r>
      <w:r w:rsidR="00D31DE7">
        <w:t>.</w:t>
      </w:r>
      <w:r w:rsidR="00D31DE7" w:rsidRPr="00D31DE7">
        <w:t xml:space="preserve">  </w:t>
      </w:r>
    </w:p>
    <w:p w:rsidR="00D31DE7" w:rsidRPr="00D31DE7" w:rsidRDefault="00B438F2" w:rsidP="00D403B6">
      <w:pPr>
        <w:spacing w:line="480" w:lineRule="auto"/>
        <w:ind w:firstLine="720"/>
        <w:jc w:val="both"/>
      </w:pPr>
      <w:r w:rsidRPr="00B438F2">
        <w:t>“It is axiomatic that the PUCO, as a creature of statute, may exercise only that jurisdiction conferred upon it by the General Assembly.”</w:t>
      </w:r>
      <w:r w:rsidRPr="00B438F2">
        <w:rPr>
          <w:vertAlign w:val="superscript"/>
        </w:rPr>
        <w:footnoteReference w:id="34"/>
      </w:r>
      <w:r w:rsidRPr="00B438F2">
        <w:t xml:space="preserve">  </w:t>
      </w:r>
      <w:r w:rsidR="001235FC" w:rsidRPr="00D31DE7">
        <w:t>Retail generation service has been declared a competitive service in Ohio as a matter of law.</w:t>
      </w:r>
      <w:r w:rsidR="001235FC" w:rsidRPr="00D31DE7">
        <w:rPr>
          <w:vertAlign w:val="superscript"/>
        </w:rPr>
        <w:footnoteReference w:id="35"/>
      </w:r>
      <w:r w:rsidR="001235FC" w:rsidRPr="00D31DE7">
        <w:t xml:space="preserve">  </w:t>
      </w:r>
      <w:r w:rsidR="001235FC">
        <w:t xml:space="preserve">As to </w:t>
      </w:r>
      <w:r w:rsidR="007B62F8">
        <w:t>generation</w:t>
      </w:r>
      <w:r w:rsidR="001235FC">
        <w:t>-related charges, the Commission is authorized to approve a</w:t>
      </w:r>
      <w:r w:rsidR="00D2420C">
        <w:t>n</w:t>
      </w:r>
      <w:r w:rsidR="001235FC">
        <w:t xml:space="preserve"> </w:t>
      </w:r>
      <w:r w:rsidR="00D2420C">
        <w:t>SSO</w:t>
      </w:r>
      <w:r w:rsidR="001235FC">
        <w:t xml:space="preserve"> in the form of either an MRO or an ESP.</w:t>
      </w:r>
      <w:r w:rsidR="001235FC">
        <w:rPr>
          <w:rStyle w:val="FootnoteReference"/>
        </w:rPr>
        <w:footnoteReference w:id="36"/>
      </w:r>
      <w:r w:rsidR="001235FC">
        <w:t xml:space="preserve">  With regard to an ESP, </w:t>
      </w:r>
      <w:r w:rsidR="007B62F8">
        <w:t>t</w:t>
      </w:r>
      <w:r w:rsidR="00D31DE7" w:rsidRPr="00D31DE7">
        <w:t>he Commissio</w:t>
      </w:r>
      <w:r w:rsidR="001235FC">
        <w:t xml:space="preserve">n’s authority to </w:t>
      </w:r>
      <w:r w:rsidR="00233176">
        <w:t xml:space="preserve">authorize a price for </w:t>
      </w:r>
      <w:r w:rsidR="001235FC">
        <w:t>the generation-related services</w:t>
      </w:r>
      <w:r w:rsidR="00D31DE7" w:rsidRPr="00D31DE7">
        <w:t xml:space="preserve"> is limited </w:t>
      </w:r>
      <w:r w:rsidR="007B62F8">
        <w:t xml:space="preserve">to those provisions listed in </w:t>
      </w:r>
      <w:r w:rsidR="00D31DE7" w:rsidRPr="00D31DE7">
        <w:t>R.C. 4928.143</w:t>
      </w:r>
      <w:r w:rsidR="007B62F8">
        <w:t>(B)</w:t>
      </w:r>
      <w:r w:rsidR="00D31DE7" w:rsidRPr="00D31DE7">
        <w:t>.</w:t>
      </w:r>
      <w:r w:rsidR="007B62F8">
        <w:rPr>
          <w:rStyle w:val="FootnoteReference"/>
        </w:rPr>
        <w:footnoteReference w:id="37"/>
      </w:r>
      <w:r w:rsidR="00D31DE7" w:rsidRPr="00D31DE7">
        <w:t xml:space="preserve">  </w:t>
      </w:r>
      <w:r w:rsidR="001235FC">
        <w:t>Under that section</w:t>
      </w:r>
      <w:r w:rsidR="00D31DE7" w:rsidRPr="00D31DE7">
        <w:t xml:space="preserve">, there is no lawful basis for approval of the </w:t>
      </w:r>
      <w:r w:rsidR="00CF0266">
        <w:t>PSR</w:t>
      </w:r>
      <w:r w:rsidR="00D31DE7" w:rsidRPr="00D31DE7">
        <w:t xml:space="preserve"> as a provision of an ESP</w:t>
      </w:r>
      <w:r w:rsidR="00CF0266">
        <w:t xml:space="preserve"> because it </w:t>
      </w:r>
      <w:r w:rsidR="00D2420C">
        <w:t xml:space="preserve">is </w:t>
      </w:r>
      <w:r w:rsidR="00CF0266">
        <w:t>not related to one of the listed items</w:t>
      </w:r>
      <w:r w:rsidR="00D31DE7" w:rsidRPr="00D31DE7">
        <w:t>.</w:t>
      </w:r>
      <w:r w:rsidR="009C2E0B">
        <w:rPr>
          <w:rStyle w:val="FootnoteReference"/>
        </w:rPr>
        <w:footnoteReference w:id="38"/>
      </w:r>
      <w:r w:rsidR="00D31DE7" w:rsidRPr="00D31DE7">
        <w:t xml:space="preserve">  </w:t>
      </w:r>
      <w:r w:rsidR="001235FC">
        <w:t>A</w:t>
      </w:r>
      <w:r w:rsidR="00D31DE7">
        <w:t>n appeal to</w:t>
      </w:r>
      <w:r w:rsidR="001235FC">
        <w:t xml:space="preserve"> the Commission’s</w:t>
      </w:r>
      <w:r w:rsidR="00D31DE7">
        <w:t xml:space="preserve"> “stewardship” </w:t>
      </w:r>
      <w:r w:rsidR="001235FC">
        <w:t xml:space="preserve">of customers </w:t>
      </w:r>
      <w:r w:rsidR="00D31DE7">
        <w:t>will not change that authority.</w:t>
      </w:r>
    </w:p>
    <w:p w:rsidR="00EB3566" w:rsidRDefault="00484A75" w:rsidP="00AC4529">
      <w:pPr>
        <w:spacing w:after="0" w:line="480" w:lineRule="auto"/>
        <w:ind w:firstLine="720"/>
        <w:jc w:val="both"/>
      </w:pPr>
      <w:r>
        <w:lastRenderedPageBreak/>
        <w:t>The limitation</w:t>
      </w:r>
      <w:r w:rsidR="00CF0266">
        <w:t>s</w:t>
      </w:r>
      <w:r>
        <w:t xml:space="preserve"> on the Commission’s authority to authorize the PSR, however, are not </w:t>
      </w:r>
      <w:r w:rsidR="00A4332F">
        <w:t xml:space="preserve">restricted </w:t>
      </w:r>
      <w:r w:rsidR="00CF0266">
        <w:t>to</w:t>
      </w:r>
      <w:r w:rsidR="00A4332F">
        <w:t xml:space="preserve"> R.C. 4928.143(B).</w:t>
      </w:r>
      <w:r w:rsidR="00EB3566">
        <w:t xml:space="preserve"> </w:t>
      </w:r>
      <w:r w:rsidR="00A4332F">
        <w:t xml:space="preserve"> </w:t>
      </w:r>
      <w:r w:rsidR="00EB3566">
        <w:t xml:space="preserve">As demonstrated </w:t>
      </w:r>
      <w:r w:rsidR="00D87DA8">
        <w:t>in</w:t>
      </w:r>
      <w:r w:rsidR="00EB3566">
        <w:t xml:space="preserve"> IEU-Ohio</w:t>
      </w:r>
      <w:r w:rsidR="00D87DA8">
        <w:t>’s</w:t>
      </w:r>
      <w:r w:rsidR="00EB3566">
        <w:t xml:space="preserve"> initial brief, the Commission </w:t>
      </w:r>
      <w:r w:rsidR="00A4332F">
        <w:t xml:space="preserve">also </w:t>
      </w:r>
      <w:r w:rsidR="00EB3566">
        <w:t>must ensure that the ESP complies with R.C. 4928.02(H), which provides that it is the policy of the State to ensure effective competition in the provision of retail electric service by avoiding anticompetitive subsidies flowing from a noncompetitive retail electric service to a competitive retail electric service or a product or service other than retail electric service or vice versa.  Additionally, R.C. 4928.02(H) prohibits the recovery of any generation-related costs through distribution or transmission rates.</w:t>
      </w:r>
      <w:r w:rsidR="00EB3566">
        <w:rPr>
          <w:rStyle w:val="FootnoteReference"/>
        </w:rPr>
        <w:footnoteReference w:id="39"/>
      </w:r>
      <w:r w:rsidR="00EB3566">
        <w:t xml:space="preserve">  </w:t>
      </w:r>
      <w:r w:rsidR="00EB3566" w:rsidRPr="00EB3566">
        <w:t>Authorization of the PSR would result in an anticompetitive subsidy to or from a noncompetitive retail electric service from or to a service other than retail electric service.</w:t>
      </w:r>
      <w:r w:rsidR="00EB3566">
        <w:rPr>
          <w:rStyle w:val="FootnoteReference"/>
        </w:rPr>
        <w:footnoteReference w:id="40"/>
      </w:r>
      <w:r w:rsidR="00EB3566" w:rsidRPr="00EB3566">
        <w:t xml:space="preserve">  </w:t>
      </w:r>
      <w:r w:rsidR="00D87DA8">
        <w:t>Authorization also</w:t>
      </w:r>
      <w:r w:rsidR="00EB3566">
        <w:t xml:space="preserve"> would violate the pro</w:t>
      </w:r>
      <w:r w:rsidR="00D87DA8">
        <w:t>hibition of the recovery of generation-related costs through a nonbypassable rider.</w:t>
      </w:r>
      <w:r w:rsidR="00D87DA8">
        <w:rPr>
          <w:rStyle w:val="FootnoteReference"/>
        </w:rPr>
        <w:footnoteReference w:id="41"/>
      </w:r>
    </w:p>
    <w:p w:rsidR="00D87DA8" w:rsidRDefault="00D87DA8" w:rsidP="00D403B6">
      <w:pPr>
        <w:spacing w:line="480" w:lineRule="auto"/>
        <w:ind w:firstLine="720"/>
        <w:jc w:val="both"/>
      </w:pPr>
      <w:r>
        <w:t xml:space="preserve">Additionally, </w:t>
      </w:r>
      <w:r w:rsidR="00A4332F">
        <w:t>the jurisdiction of the Commission does</w:t>
      </w:r>
      <w:r>
        <w:t xml:space="preserve"> not permit the Commission to increase the compensation of Duke for wholesale </w:t>
      </w:r>
      <w:r w:rsidR="00A4332F">
        <w:t>generation-related services</w:t>
      </w:r>
      <w:r>
        <w:t xml:space="preserve">.  </w:t>
      </w:r>
      <w:r w:rsidR="00A4332F">
        <w:t>If approved</w:t>
      </w:r>
      <w:r>
        <w:t xml:space="preserve">, </w:t>
      </w:r>
      <w:r w:rsidR="00A4332F">
        <w:t xml:space="preserve">the PSR </w:t>
      </w:r>
      <w:r>
        <w:t xml:space="preserve">would </w:t>
      </w:r>
      <w:r w:rsidR="00A4332F">
        <w:t>authorize Duke</w:t>
      </w:r>
      <w:r>
        <w:t xml:space="preserve"> to increase its </w:t>
      </w:r>
      <w:r w:rsidR="00A4332F">
        <w:t xml:space="preserve">wholesale </w:t>
      </w:r>
      <w:r>
        <w:t xml:space="preserve">compensation </w:t>
      </w:r>
      <w:r w:rsidR="00A4332F">
        <w:t xml:space="preserve">for its OVEC Entitlement </w:t>
      </w:r>
      <w:r>
        <w:t xml:space="preserve">in </w:t>
      </w:r>
      <w:r w:rsidR="00A4332F">
        <w:t xml:space="preserve">an </w:t>
      </w:r>
      <w:r>
        <w:t xml:space="preserve">amount up </w:t>
      </w:r>
      <w:r w:rsidR="009C2E0B">
        <w:t xml:space="preserve">to </w:t>
      </w:r>
      <w:r>
        <w:t>the costs it pays OVEC</w:t>
      </w:r>
      <w:r w:rsidR="00A4332F">
        <w:t xml:space="preserve"> for the related power and capacity</w:t>
      </w:r>
      <w:r>
        <w:t xml:space="preserve">.  </w:t>
      </w:r>
      <w:r w:rsidR="00A4332F">
        <w:t xml:space="preserve">The Commission’s jurisdiction, however, is limited to transactions between an electric light company and consumers, </w:t>
      </w:r>
      <w:r w:rsidR="00A4332F" w:rsidRPr="00D87DA8">
        <w:rPr>
          <w:i/>
        </w:rPr>
        <w:t>i.e.</w:t>
      </w:r>
      <w:r w:rsidR="005C7A9A">
        <w:rPr>
          <w:i/>
        </w:rPr>
        <w:t>,</w:t>
      </w:r>
      <w:r w:rsidR="00A4332F">
        <w:t xml:space="preserve"> retail transactions.</w:t>
      </w:r>
      <w:r w:rsidR="00A4332F">
        <w:rPr>
          <w:rStyle w:val="FootnoteReference"/>
        </w:rPr>
        <w:footnoteReference w:id="42"/>
      </w:r>
      <w:r w:rsidR="00A4332F">
        <w:t xml:space="preserve">  Because the Commission is without authority to adjust </w:t>
      </w:r>
      <w:r w:rsidR="009C2E0B">
        <w:t xml:space="preserve">the </w:t>
      </w:r>
      <w:r w:rsidR="00A4332F">
        <w:t>wholesale compensation of Duke, authorization of the PSR would exceed the Commission’s jurisdiction and be illegal.</w:t>
      </w:r>
    </w:p>
    <w:p w:rsidR="00D87DA8" w:rsidRDefault="00D87DA8" w:rsidP="00AC4529">
      <w:pPr>
        <w:spacing w:after="0" w:line="480" w:lineRule="auto"/>
        <w:ind w:firstLine="720"/>
        <w:jc w:val="both"/>
      </w:pPr>
      <w:r>
        <w:lastRenderedPageBreak/>
        <w:t xml:space="preserve">The Commission also cannot authorize Duke to recover </w:t>
      </w:r>
      <w:r w:rsidR="00C016FD">
        <w:t>transition</w:t>
      </w:r>
      <w:r>
        <w:t xml:space="preserve"> revenue or its equivalent.  </w:t>
      </w:r>
      <w:r w:rsidR="006C48FF" w:rsidRPr="006C48FF">
        <w:t>Under the requirements of R.C. 4928.32 to 4928.40, an EDU had a single opportunity</w:t>
      </w:r>
      <w:r w:rsidR="00CF0266">
        <w:t xml:space="preserve"> for a limited time</w:t>
      </w:r>
      <w:r w:rsidR="006C48FF" w:rsidRPr="006C48FF">
        <w:t xml:space="preserve"> to collect transition revenue from customers if it could demonstrate it had transition costs.</w:t>
      </w:r>
      <w:r w:rsidR="006C48FF">
        <w:rPr>
          <w:rStyle w:val="FootnoteReference"/>
        </w:rPr>
        <w:footnoteReference w:id="43"/>
      </w:r>
      <w:r w:rsidR="006C48FF" w:rsidRPr="006C48FF">
        <w:t xml:space="preserve">  In 2000, Duke sought but gave up any claims it may have had to secure generation-related transition revenue through its settlement of its </w:t>
      </w:r>
      <w:r w:rsidR="005C7A9A">
        <w:t>Electric Transition Plan (“</w:t>
      </w:r>
      <w:r w:rsidR="006C48FF" w:rsidRPr="006C48FF">
        <w:t>ETP</w:t>
      </w:r>
      <w:r w:rsidR="005C7A9A">
        <w:t>”)</w:t>
      </w:r>
      <w:r w:rsidR="006C48FF" w:rsidRPr="006C48FF">
        <w:t xml:space="preserve">.  </w:t>
      </w:r>
      <w:r w:rsidR="00904840">
        <w:t xml:space="preserve">Although Duke </w:t>
      </w:r>
      <w:r w:rsidR="00040B24">
        <w:t xml:space="preserve">again </w:t>
      </w:r>
      <w:r w:rsidR="00904840">
        <w:t>is seeking transition revenue or its equivalent through the authorization of the PSR,</w:t>
      </w:r>
      <w:r w:rsidR="00904840" w:rsidRPr="006C48FF">
        <w:t xml:space="preserve"> </w:t>
      </w:r>
      <w:r w:rsidR="006C48FF" w:rsidRPr="006C48FF">
        <w:t>Duke has not presented a claim for transition revenue that complies with the statutory requirements, the time for such a claim has expired, and Duke has stipulated that it will not seek generation-related transition revenue</w:t>
      </w:r>
      <w:r w:rsidR="00904840">
        <w:t>.</w:t>
      </w:r>
      <w:r w:rsidR="00904840">
        <w:rPr>
          <w:rStyle w:val="FootnoteReference"/>
        </w:rPr>
        <w:footnoteReference w:id="44"/>
      </w:r>
      <w:r w:rsidR="00904840">
        <w:t xml:space="preserve">  Accordingly,</w:t>
      </w:r>
      <w:r w:rsidR="00904840" w:rsidRPr="006C48FF">
        <w:t xml:space="preserve"> </w:t>
      </w:r>
      <w:r w:rsidR="006C48FF" w:rsidRPr="006C48FF">
        <w:t>the Commission cannot lawfully authorize the PSR.</w:t>
      </w:r>
    </w:p>
    <w:p w:rsidR="00D01D6E" w:rsidRDefault="00D01D6E" w:rsidP="009D6370">
      <w:pPr>
        <w:pStyle w:val="Heading3"/>
      </w:pPr>
      <w:bookmarkStart w:id="77" w:name="_Toc406928586"/>
      <w:bookmarkStart w:id="78" w:name="_Toc407005666"/>
      <w:bookmarkStart w:id="79" w:name="_Toc407005792"/>
      <w:bookmarkStart w:id="80" w:name="_Toc407005848"/>
      <w:bookmarkStart w:id="81" w:name="_Toc407028856"/>
      <w:bookmarkStart w:id="82" w:name="_Toc407185313"/>
      <w:bookmarkStart w:id="83" w:name="_Toc407617132"/>
      <w:bookmarkStart w:id="84" w:name="_Toc407625429"/>
      <w:r>
        <w:t>The PSR will adversely affect competitive markets in Ohio</w:t>
      </w:r>
      <w:bookmarkEnd w:id="77"/>
      <w:bookmarkEnd w:id="78"/>
      <w:bookmarkEnd w:id="79"/>
      <w:bookmarkEnd w:id="80"/>
      <w:bookmarkEnd w:id="81"/>
      <w:bookmarkEnd w:id="82"/>
      <w:bookmarkEnd w:id="83"/>
      <w:bookmarkEnd w:id="84"/>
    </w:p>
    <w:p w:rsidR="00CE7571" w:rsidRDefault="00D01D6E" w:rsidP="00AC4529">
      <w:pPr>
        <w:spacing w:after="0" w:line="480" w:lineRule="auto"/>
        <w:ind w:firstLine="720"/>
        <w:jc w:val="both"/>
      </w:pPr>
      <w:r>
        <w:t>Duke</w:t>
      </w:r>
      <w:r w:rsidR="00CE7571">
        <w:t xml:space="preserve"> also asserts that </w:t>
      </w:r>
      <w:r>
        <w:t>the PSR</w:t>
      </w:r>
      <w:r w:rsidR="00217036">
        <w:t xml:space="preserve"> will mitigate price volatility “without causing any impact on wholesale markets” because</w:t>
      </w:r>
      <w:r>
        <w:t xml:space="preserve"> “</w:t>
      </w:r>
      <w:r w:rsidR="00217036">
        <w:t xml:space="preserve">[t]he existence of the PSR </w:t>
      </w:r>
      <w:r>
        <w:t>has no impact on Duke Energy Ohio’s obligation under the ICPA to pay OVEC for its entitlement.  Thus the capacity and energy will persis</w:t>
      </w:r>
      <w:r w:rsidR="006C48FF">
        <w:t>t</w:t>
      </w:r>
      <w:r>
        <w:t>, with or without Rider PSR.”</w:t>
      </w:r>
      <w:r>
        <w:rPr>
          <w:rStyle w:val="FootnoteReference"/>
        </w:rPr>
        <w:footnoteReference w:id="45"/>
      </w:r>
    </w:p>
    <w:p w:rsidR="00217036" w:rsidRDefault="00CF0266" w:rsidP="00AC4529">
      <w:pPr>
        <w:spacing w:after="0" w:line="480" w:lineRule="auto"/>
        <w:ind w:firstLine="720"/>
        <w:jc w:val="both"/>
      </w:pPr>
      <w:r>
        <w:t xml:space="preserve">While Duke is correct </w:t>
      </w:r>
      <w:r w:rsidR="00233176">
        <w:t xml:space="preserve">that </w:t>
      </w:r>
      <w:r>
        <w:t xml:space="preserve">the Commission’s refusal to authorize the PSR would not affect the operation of OVEC, </w:t>
      </w:r>
      <w:r w:rsidR="00CE7571">
        <w:t xml:space="preserve">Duke’s claim that the </w:t>
      </w:r>
      <w:r>
        <w:t xml:space="preserve">authorization of </w:t>
      </w:r>
      <w:r w:rsidR="00974187">
        <w:t xml:space="preserve">the </w:t>
      </w:r>
      <w:r w:rsidR="00CE7571">
        <w:t>PSR will not affect wholesale markets is</w:t>
      </w:r>
      <w:r w:rsidR="00217036">
        <w:t xml:space="preserve"> without merit.  </w:t>
      </w:r>
      <w:r w:rsidR="00217036" w:rsidRPr="00217036">
        <w:t>Because the PSR would guarantee that Duke would never be at risk for the costs</w:t>
      </w:r>
      <w:r>
        <w:t xml:space="preserve"> it is</w:t>
      </w:r>
      <w:r w:rsidR="00217036" w:rsidRPr="00217036">
        <w:t xml:space="preserve"> charged by OVEC, Duke would be immune from </w:t>
      </w:r>
      <w:r w:rsidR="00233176">
        <w:t>wholesale</w:t>
      </w:r>
      <w:r w:rsidR="00233176" w:rsidRPr="00217036">
        <w:t xml:space="preserve"> </w:t>
      </w:r>
      <w:r w:rsidR="00217036" w:rsidRPr="00217036">
        <w:t>price risk.</w:t>
      </w:r>
      <w:r w:rsidR="00217036" w:rsidRPr="00217036">
        <w:rPr>
          <w:vertAlign w:val="superscript"/>
        </w:rPr>
        <w:footnoteReference w:id="46"/>
      </w:r>
      <w:r w:rsidR="00217036" w:rsidRPr="00217036">
        <w:t xml:space="preserve">  In contrast, competitors cannot resort to the protection Duke is </w:t>
      </w:r>
      <w:r w:rsidR="00217036" w:rsidRPr="00217036">
        <w:lastRenderedPageBreak/>
        <w:t>seeking.</w:t>
      </w:r>
      <w:r w:rsidR="00217036" w:rsidRPr="00217036">
        <w:rPr>
          <w:vertAlign w:val="superscript"/>
        </w:rPr>
        <w:footnoteReference w:id="47"/>
      </w:r>
      <w:r w:rsidR="00217036" w:rsidRPr="00217036">
        <w:t xml:space="preserve">  Thus, the PSR would place unregulated generation providers at a competitive disadvantage. </w:t>
      </w:r>
      <w:r w:rsidR="00217036">
        <w:t xml:space="preserve"> </w:t>
      </w:r>
    </w:p>
    <w:p w:rsidR="00D01D6E" w:rsidRDefault="00217036" w:rsidP="00AC4529">
      <w:pPr>
        <w:spacing w:after="0" w:line="480" w:lineRule="auto"/>
        <w:ind w:firstLine="720"/>
        <w:jc w:val="both"/>
      </w:pPr>
      <w:r>
        <w:t>Further, the PSR would alter the decision of an ow</w:t>
      </w:r>
      <w:r w:rsidR="00CE7571">
        <w:t>n</w:t>
      </w:r>
      <w:r>
        <w:t xml:space="preserve">er to operate the plant.  </w:t>
      </w:r>
      <w:r w:rsidR="00CE7571">
        <w:t xml:space="preserve">According to a Duke witness, </w:t>
      </w:r>
      <w:r w:rsidR="002247C9">
        <w:t xml:space="preserve">if </w:t>
      </w:r>
      <w:r w:rsidRPr="00217036">
        <w:t>the</w:t>
      </w:r>
      <w:r w:rsidR="003A45A7">
        <w:t xml:space="preserve"> economically</w:t>
      </w:r>
      <w:r w:rsidRPr="00217036">
        <w:t xml:space="preserve"> </w:t>
      </w:r>
      <w:r w:rsidR="00233176">
        <w:t xml:space="preserve">rational </w:t>
      </w:r>
      <w:r w:rsidRPr="00217036">
        <w:t>owner does not expect to recover the facility’s costs of production in the wholesale market, it will close or mothball the facility</w:t>
      </w:r>
      <w:r>
        <w:t xml:space="preserve"> (or in Duke’s case</w:t>
      </w:r>
      <w:r w:rsidR="00974187">
        <w:t>,</w:t>
      </w:r>
      <w:r>
        <w:t xml:space="preserve"> transfer or sell its interest to an affiliate or third party</w:t>
      </w:r>
      <w:r w:rsidR="00233176">
        <w:t>).</w:t>
      </w:r>
      <w:r w:rsidRPr="00217036">
        <w:rPr>
          <w:vertAlign w:val="superscript"/>
        </w:rPr>
        <w:footnoteReference w:id="48"/>
      </w:r>
      <w:r w:rsidRPr="00217036">
        <w:t xml:space="preserve">  </w:t>
      </w:r>
      <w:r w:rsidR="00CE7571" w:rsidRPr="00217036">
        <w:t xml:space="preserve">If </w:t>
      </w:r>
      <w:r w:rsidR="00CE7571">
        <w:t>the owner</w:t>
      </w:r>
      <w:r w:rsidR="00CE7571" w:rsidRPr="00217036">
        <w:t xml:space="preserve"> is guaranteed </w:t>
      </w:r>
      <w:r w:rsidR="00B7316B">
        <w:t xml:space="preserve">fixed and variable </w:t>
      </w:r>
      <w:r w:rsidR="00CE7571" w:rsidRPr="00217036">
        <w:t>cost recovery through a mechanism such as the PSR</w:t>
      </w:r>
      <w:r w:rsidR="00CE7571">
        <w:t>, however,</w:t>
      </w:r>
      <w:r w:rsidR="00CE7571" w:rsidRPr="00217036">
        <w:t xml:space="preserve"> </w:t>
      </w:r>
      <w:r w:rsidR="00CE7571">
        <w:t>t</w:t>
      </w:r>
      <w:r w:rsidRPr="00217036">
        <w:t xml:space="preserve">he owner will </w:t>
      </w:r>
      <w:r>
        <w:t xml:space="preserve">retain and </w:t>
      </w:r>
      <w:r w:rsidRPr="00217036">
        <w:t>bid the unit into the PJM auction with a zero bid so that it clears the PJM wholesale market</w:t>
      </w:r>
      <w:r w:rsidR="00B7316B">
        <w:t>.</w:t>
      </w:r>
      <w:r w:rsidRPr="00217036">
        <w:rPr>
          <w:vertAlign w:val="superscript"/>
        </w:rPr>
        <w:footnoteReference w:id="49"/>
      </w:r>
      <w:r w:rsidRPr="00217036">
        <w:t xml:space="preserve">  </w:t>
      </w:r>
      <w:r w:rsidR="00CC6BB8">
        <w:t>Accordingly</w:t>
      </w:r>
      <w:r>
        <w:t xml:space="preserve">, </w:t>
      </w:r>
      <w:r w:rsidR="002247C9">
        <w:t xml:space="preserve">assertion that the authorization of the PSR </w:t>
      </w:r>
      <w:r w:rsidR="00D01D6E">
        <w:t xml:space="preserve">will not have </w:t>
      </w:r>
      <w:r w:rsidR="00B7316B">
        <w:t xml:space="preserve">an </w:t>
      </w:r>
      <w:r w:rsidR="00D01D6E">
        <w:t xml:space="preserve">adverse effect on the market fails to address </w:t>
      </w:r>
      <w:r w:rsidR="006C48FF">
        <w:t xml:space="preserve">its own testimony that the PSR’s subsidizing effect </w:t>
      </w:r>
      <w:r>
        <w:t>would</w:t>
      </w:r>
      <w:r w:rsidR="006C48FF">
        <w:t xml:space="preserve"> al</w:t>
      </w:r>
      <w:r>
        <w:t>ter an owner’s decision to mothball a plant and is a benefit to Duke that is not available to CRES providers.</w:t>
      </w:r>
    </w:p>
    <w:p w:rsidR="008E3BF4" w:rsidRDefault="00325F0B" w:rsidP="00D403B6">
      <w:pPr>
        <w:pStyle w:val="Heading2"/>
      </w:pPr>
      <w:bookmarkStart w:id="85" w:name="_Toc406928587"/>
      <w:bookmarkStart w:id="86" w:name="_Toc407005667"/>
      <w:bookmarkStart w:id="87" w:name="_Toc407005793"/>
      <w:bookmarkStart w:id="88" w:name="_Toc407005849"/>
      <w:bookmarkStart w:id="89" w:name="_Toc407028857"/>
      <w:bookmarkStart w:id="90" w:name="_Toc407185314"/>
      <w:bookmarkStart w:id="91" w:name="_Toc407617133"/>
      <w:bookmarkStart w:id="92" w:name="_Toc407625430"/>
      <w:r>
        <w:t>The Commission should reject the PSR because it violates state energy policy</w:t>
      </w:r>
      <w:bookmarkEnd w:id="85"/>
      <w:bookmarkEnd w:id="86"/>
      <w:bookmarkEnd w:id="87"/>
      <w:bookmarkEnd w:id="88"/>
      <w:bookmarkEnd w:id="89"/>
      <w:bookmarkEnd w:id="90"/>
      <w:bookmarkEnd w:id="91"/>
      <w:bookmarkEnd w:id="92"/>
    </w:p>
    <w:p w:rsidR="008F736B" w:rsidRDefault="00325F0B" w:rsidP="00D403B6">
      <w:pPr>
        <w:spacing w:line="480" w:lineRule="auto"/>
        <w:jc w:val="both"/>
      </w:pPr>
      <w:r>
        <w:tab/>
        <w:t xml:space="preserve">Duke does not address the state </w:t>
      </w:r>
      <w:r w:rsidR="005A0A1B">
        <w:t>energy policy</w:t>
      </w:r>
      <w:r>
        <w:t xml:space="preserve"> in its discussion of the PSR, but instead argues that the PSR advances state policies in its general discussion of the compliance of the ESP with those policies.</w:t>
      </w:r>
      <w:r w:rsidR="00EB6AFF">
        <w:rPr>
          <w:rStyle w:val="FootnoteReference"/>
        </w:rPr>
        <w:footnoteReference w:id="50"/>
      </w:r>
      <w:r>
        <w:t xml:space="preserve">  </w:t>
      </w:r>
      <w:r w:rsidR="008F736B">
        <w:t>It makes three claims.  None is valid.</w:t>
      </w:r>
    </w:p>
    <w:p w:rsidR="008F736B" w:rsidRDefault="008F736B" w:rsidP="00AC4529">
      <w:pPr>
        <w:spacing w:after="0" w:line="480" w:lineRule="auto"/>
        <w:ind w:firstLine="720"/>
        <w:jc w:val="both"/>
      </w:pPr>
      <w:r>
        <w:t xml:space="preserve">First, Duke </w:t>
      </w:r>
      <w:r w:rsidR="00CF0266">
        <w:t>claims</w:t>
      </w:r>
      <w:r>
        <w:t xml:space="preserve"> that </w:t>
      </w:r>
      <w:r w:rsidR="00325F0B">
        <w:t xml:space="preserve">the PSR </w:t>
      </w:r>
      <w:r w:rsidR="00751233">
        <w:t xml:space="preserve">is structured to </w:t>
      </w:r>
      <w:r w:rsidR="00EB6AFF">
        <w:t>increase</w:t>
      </w:r>
      <w:r w:rsidR="00751233">
        <w:t xml:space="preserve"> </w:t>
      </w:r>
      <w:r w:rsidR="00EB6AFF">
        <w:t>benefits</w:t>
      </w:r>
      <w:r w:rsidR="00751233">
        <w:t xml:space="preserve"> </w:t>
      </w:r>
      <w:r w:rsidR="00B46133">
        <w:t>to custome</w:t>
      </w:r>
      <w:r w:rsidR="005A0A1B">
        <w:t>r</w:t>
      </w:r>
      <w:r w:rsidR="00B46133">
        <w:t xml:space="preserve">s </w:t>
      </w:r>
      <w:r w:rsidR="00751233">
        <w:t>during periods of high or rising market prices, thereby mitigating the overall rates paid by customers</w:t>
      </w:r>
      <w:r>
        <w:t>.</w:t>
      </w:r>
      <w:r w:rsidR="00751233">
        <w:rPr>
          <w:rStyle w:val="FootnoteReference"/>
        </w:rPr>
        <w:footnoteReference w:id="51"/>
      </w:r>
      <w:r>
        <w:t xml:space="preserve">  </w:t>
      </w:r>
      <w:r w:rsidR="00751233">
        <w:t xml:space="preserve">Duke, however, did not provide any evidence to support that claim </w:t>
      </w:r>
      <w:r w:rsidR="00CF0266">
        <w:lastRenderedPageBreak/>
        <w:t>other than its theoretical</w:t>
      </w:r>
      <w:r w:rsidR="00EB6AFF">
        <w:t xml:space="preserve"> description of the rider</w:t>
      </w:r>
      <w:r w:rsidR="00751233">
        <w:t>.</w:t>
      </w:r>
      <w:r w:rsidR="00751233">
        <w:rPr>
          <w:rStyle w:val="FootnoteReference"/>
        </w:rPr>
        <w:footnoteReference w:id="52"/>
      </w:r>
      <w:r w:rsidR="00751233">
        <w:t xml:space="preserve">  </w:t>
      </w:r>
      <w:r w:rsidR="00807EBD">
        <w:t>Duke also chose to ignore the rider’s bill impacts</w:t>
      </w:r>
      <w:r w:rsidR="00807EBD">
        <w:rPr>
          <w:rStyle w:val="FootnoteReference"/>
        </w:rPr>
        <w:footnoteReference w:id="53"/>
      </w:r>
      <w:r w:rsidR="00807EBD">
        <w:t xml:space="preserve"> and left out the PSR’s cost to customers when it asserted </w:t>
      </w:r>
      <w:r w:rsidR="00CF0266">
        <w:t>that</w:t>
      </w:r>
      <w:r w:rsidR="00807EBD">
        <w:t xml:space="preserve"> the proposed ESP passed the ESP v. MRO Test.</w:t>
      </w:r>
      <w:r w:rsidR="00807EBD">
        <w:rPr>
          <w:rStyle w:val="FootnoteReference"/>
        </w:rPr>
        <w:footnoteReference w:id="54"/>
      </w:r>
      <w:r w:rsidR="00807EBD">
        <w:t xml:space="preserve">  </w:t>
      </w:r>
      <w:r w:rsidR="001805E3">
        <w:t>As the intervenors showed,</w:t>
      </w:r>
      <w:r w:rsidR="00751233">
        <w:t xml:space="preserve"> </w:t>
      </w:r>
      <w:r w:rsidR="00B46133">
        <w:t>moreover</w:t>
      </w:r>
      <w:r w:rsidR="00807EBD">
        <w:t xml:space="preserve">, </w:t>
      </w:r>
      <w:r w:rsidR="00751233">
        <w:t>Duke’s claims regarding the stability of</w:t>
      </w:r>
      <w:r w:rsidR="00B46133">
        <w:t xml:space="preserve"> OVEC’s costs (which in turn dri</w:t>
      </w:r>
      <w:r w:rsidR="00751233">
        <w:t>ve the</w:t>
      </w:r>
      <w:r w:rsidR="00BC2A6F">
        <w:t xml:space="preserve"> alleged</w:t>
      </w:r>
      <w:r w:rsidR="00751233">
        <w:t xml:space="preserve"> counter-cyclical effect of the rider)</w:t>
      </w:r>
      <w:r w:rsidR="00BC2A6F">
        <w:t xml:space="preserve"> were unsupported, the “stabilizing” effect</w:t>
      </w:r>
      <w:r w:rsidR="00807EBD">
        <w:t xml:space="preserve"> of the rider</w:t>
      </w:r>
      <w:r w:rsidR="00BC2A6F">
        <w:t xml:space="preserve"> was minimal</w:t>
      </w:r>
      <w:r w:rsidR="00807EBD" w:rsidRPr="00807EBD">
        <w:t xml:space="preserve"> </w:t>
      </w:r>
      <w:r w:rsidR="00807EBD">
        <w:t>if any</w:t>
      </w:r>
      <w:r w:rsidR="00BC2A6F">
        <w:t>, and the</w:t>
      </w:r>
      <w:r w:rsidR="00807EBD">
        <w:t xml:space="preserve"> rider would </w:t>
      </w:r>
      <w:r w:rsidR="00BC2A6F">
        <w:t>likely increase customers’ bills through the term of the ESP.</w:t>
      </w:r>
      <w:r w:rsidR="00BC2A6F">
        <w:rPr>
          <w:rStyle w:val="FootnoteReference"/>
        </w:rPr>
        <w:footnoteReference w:id="55"/>
      </w:r>
      <w:r w:rsidR="00BC2A6F">
        <w:t xml:space="preserve">  Thus, Duke’s claim that the rider wil</w:t>
      </w:r>
      <w:r w:rsidR="00B1435C">
        <w:t>l</w:t>
      </w:r>
      <w:r w:rsidR="00BC2A6F">
        <w:t xml:space="preserve"> mitigate the overall rates paid by customers is unsupported by the record. </w:t>
      </w:r>
    </w:p>
    <w:p w:rsidR="00323796" w:rsidRDefault="008F736B" w:rsidP="00AC4529">
      <w:pPr>
        <w:spacing w:after="0" w:line="480" w:lineRule="auto"/>
        <w:ind w:firstLine="720"/>
        <w:jc w:val="both"/>
      </w:pPr>
      <w:r>
        <w:t xml:space="preserve">Second, Duke </w:t>
      </w:r>
      <w:r w:rsidR="00325F0B">
        <w:t xml:space="preserve">claims </w:t>
      </w:r>
      <w:r w:rsidR="00BC2A6F">
        <w:t xml:space="preserve">its ESP will be in compliance with R.C. 4928.02(H) because </w:t>
      </w:r>
      <w:r w:rsidR="00325F0B">
        <w:t>it would</w:t>
      </w:r>
      <w:r>
        <w:t xml:space="preserve"> not recover</w:t>
      </w:r>
      <w:r w:rsidR="00325F0B">
        <w:t xml:space="preserve"> generation-related costs through distribution or transmission rates</w:t>
      </w:r>
      <w:r w:rsidR="00B46133">
        <w:t>.</w:t>
      </w:r>
      <w:r w:rsidR="001C139E">
        <w:rPr>
          <w:rStyle w:val="FootnoteReference"/>
        </w:rPr>
        <w:footnoteReference w:id="56"/>
      </w:r>
      <w:r w:rsidR="00BC2A6F">
        <w:t xml:space="preserve"> </w:t>
      </w:r>
      <w:r w:rsidR="00974187">
        <w:t xml:space="preserve"> </w:t>
      </w:r>
      <w:r w:rsidR="00323796">
        <w:t xml:space="preserve">That claim is wrong in two respects.  </w:t>
      </w:r>
    </w:p>
    <w:p w:rsidR="004F76E9" w:rsidRDefault="00D113B2" w:rsidP="00AC4529">
      <w:pPr>
        <w:spacing w:after="0" w:line="480" w:lineRule="auto"/>
        <w:ind w:firstLine="720"/>
        <w:jc w:val="both"/>
      </w:pPr>
      <w:r>
        <w:t>The first respect in which this claim is in error is that</w:t>
      </w:r>
      <w:r w:rsidR="00323796">
        <w:t xml:space="preserve"> </w:t>
      </w:r>
      <w:r>
        <w:t>Duke will recover generation-related costs through the PSR.  As proposed by Duke</w:t>
      </w:r>
      <w:r w:rsidR="00BC2A6F">
        <w:t xml:space="preserve">, </w:t>
      </w:r>
      <w:r>
        <w:t>it</w:t>
      </w:r>
      <w:r w:rsidR="00BC2A6F">
        <w:t xml:space="preserve"> will secure wholesale capacity and energy resources from OVEC under the terms of the ICPA and </w:t>
      </w:r>
      <w:r w:rsidR="001C139E">
        <w:t>offer those resources</w:t>
      </w:r>
      <w:r w:rsidR="00BC2A6F">
        <w:t xml:space="preserve"> into the PJM wholesale markets. </w:t>
      </w:r>
      <w:r w:rsidR="001C139E">
        <w:t xml:space="preserve"> </w:t>
      </w:r>
      <w:r>
        <w:t>The</w:t>
      </w:r>
      <w:r w:rsidR="004F76E9">
        <w:t xml:space="preserve"> </w:t>
      </w:r>
      <w:r>
        <w:t xml:space="preserve">unrecovered </w:t>
      </w:r>
      <w:r w:rsidR="004F76E9">
        <w:t xml:space="preserve">costs Duke </w:t>
      </w:r>
      <w:r w:rsidR="00B46133">
        <w:t xml:space="preserve">pays OVEC </w:t>
      </w:r>
      <w:r w:rsidR="004F76E9">
        <w:t xml:space="preserve">are the generation demand and energy-related costs to operate </w:t>
      </w:r>
      <w:r w:rsidR="00B46133">
        <w:t xml:space="preserve">the </w:t>
      </w:r>
      <w:r w:rsidR="004F76E9">
        <w:t>OVEC generating facilities.</w:t>
      </w:r>
      <w:r w:rsidR="004F76E9">
        <w:rPr>
          <w:rStyle w:val="FootnoteReference"/>
        </w:rPr>
        <w:footnoteReference w:id="57"/>
      </w:r>
      <w:r w:rsidR="004F76E9">
        <w:t xml:space="preserve">  </w:t>
      </w:r>
      <w:r>
        <w:t xml:space="preserve">That difference will be collected through the PSR.  </w:t>
      </w:r>
      <w:r w:rsidR="00040B24">
        <w:t xml:space="preserve">Thus, </w:t>
      </w:r>
      <w:r>
        <w:t>the amounts recovered under the PSR are generation-related costs.</w:t>
      </w:r>
    </w:p>
    <w:p w:rsidR="008F736B" w:rsidRDefault="00D113B2" w:rsidP="00AC4529">
      <w:pPr>
        <w:spacing w:after="0" w:line="480" w:lineRule="auto"/>
        <w:ind w:firstLine="720"/>
        <w:jc w:val="both"/>
      </w:pPr>
      <w:r>
        <w:lastRenderedPageBreak/>
        <w:t>The second respect in which this claim is in error is that</w:t>
      </w:r>
      <w:r w:rsidR="004F76E9">
        <w:t xml:space="preserve"> the recovery will be through a rider</w:t>
      </w:r>
      <w:r w:rsidR="00323796">
        <w:t xml:space="preserve"> that is the equivalent of a distribution rider</w:t>
      </w:r>
      <w:r w:rsidR="004F76E9">
        <w:t>.</w:t>
      </w:r>
      <w:r w:rsidR="00BC2A6F">
        <w:rPr>
          <w:rStyle w:val="FootnoteReference"/>
        </w:rPr>
        <w:footnoteReference w:id="58"/>
      </w:r>
      <w:r w:rsidR="00BC2A6F">
        <w:t xml:space="preserve">  </w:t>
      </w:r>
      <w:r w:rsidR="001C139E">
        <w:t xml:space="preserve">As the Commission found in the </w:t>
      </w:r>
      <w:r w:rsidR="001C139E" w:rsidRPr="004F76E9">
        <w:rPr>
          <w:i/>
        </w:rPr>
        <w:t>Sporn</w:t>
      </w:r>
      <w:r w:rsidR="001C139E">
        <w:t xml:space="preserve"> case, a generation-related nonbypassable rider is the equivalent of a distribution rider since it is billed and collected from all customers</w:t>
      </w:r>
      <w:r w:rsidR="004F76E9">
        <w:t>.</w:t>
      </w:r>
      <w:r w:rsidR="001D381D">
        <w:rPr>
          <w:rStyle w:val="FootnoteReference"/>
        </w:rPr>
        <w:footnoteReference w:id="59"/>
      </w:r>
      <w:r w:rsidR="004F76E9">
        <w:t xml:space="preserve">  If the Commission authorized a nonbypassable PSR, </w:t>
      </w:r>
      <w:r w:rsidR="00B46133">
        <w:t xml:space="preserve">therefore, </w:t>
      </w:r>
      <w:r w:rsidR="004F76E9">
        <w:t xml:space="preserve">the rider would violate the prohibition of the recovery of generation-related costs through a nonbypassable rider contained in </w:t>
      </w:r>
      <w:r w:rsidR="001C139E">
        <w:t>R.C. 4928.02(H).</w:t>
      </w:r>
    </w:p>
    <w:p w:rsidR="00325F0B" w:rsidRDefault="008F736B" w:rsidP="00AC4529">
      <w:pPr>
        <w:spacing w:after="0" w:line="480" w:lineRule="auto"/>
        <w:ind w:firstLine="720"/>
        <w:jc w:val="both"/>
      </w:pPr>
      <w:r>
        <w:t xml:space="preserve">Third, Duke claims that </w:t>
      </w:r>
      <w:r w:rsidR="00325F0B">
        <w:t xml:space="preserve">the </w:t>
      </w:r>
      <w:r>
        <w:t xml:space="preserve">ESP would </w:t>
      </w:r>
      <w:r w:rsidR="004F76E9">
        <w:t>facilitate</w:t>
      </w:r>
      <w:r>
        <w:t xml:space="preserve"> the State’s effectiveness in global markets </w:t>
      </w:r>
      <w:r w:rsidR="001C139E">
        <w:t>because</w:t>
      </w:r>
      <w:r>
        <w:t xml:space="preserve"> “in reliance upon Ohio-based generating facilities” it would mitigate customers’ exposure to “uncertainty and volatility in market-based prices.”</w:t>
      </w:r>
      <w:r>
        <w:rPr>
          <w:rStyle w:val="FootnoteReference"/>
        </w:rPr>
        <w:footnoteReference w:id="60"/>
      </w:r>
      <w:r>
        <w:t xml:space="preserve">  </w:t>
      </w:r>
      <w:r w:rsidR="004F76E9">
        <w:t>Subsidizing Duke by i</w:t>
      </w:r>
      <w:r w:rsidR="001C139E">
        <w:t xml:space="preserve">ncreasing customers’ cost of electricity, however, will not advance the effectiveness of the </w:t>
      </w:r>
      <w:r w:rsidR="00866D5B">
        <w:t>energy-</w:t>
      </w:r>
      <w:r w:rsidR="001C139E">
        <w:t xml:space="preserve">intensive customers that currently operate in Duke’s service territory or encourage new entrants.  Thus, the claim that Duke can </w:t>
      </w:r>
      <w:r w:rsidR="00D403B6">
        <w:t>increase</w:t>
      </w:r>
      <w:r w:rsidR="001C139E">
        <w:t xml:space="preserve"> the cost of electricity and thereby increase the </w:t>
      </w:r>
      <w:r w:rsidR="00B7316B">
        <w:t xml:space="preserve">State’s </w:t>
      </w:r>
      <w:r w:rsidR="001C139E">
        <w:t>effectiveness in global markets is unwarranted.</w:t>
      </w:r>
    </w:p>
    <w:p w:rsidR="00D12A44" w:rsidRDefault="00B46133" w:rsidP="00AC4529">
      <w:pPr>
        <w:spacing w:after="0" w:line="480" w:lineRule="auto"/>
        <w:ind w:firstLine="720"/>
        <w:jc w:val="both"/>
      </w:pPr>
      <w:r>
        <w:t xml:space="preserve">In summary, </w:t>
      </w:r>
      <w:r w:rsidR="00D12A44">
        <w:t xml:space="preserve">the PSR does not comply with </w:t>
      </w:r>
      <w:r w:rsidR="001D381D">
        <w:t>the s</w:t>
      </w:r>
      <w:r w:rsidR="00D12A44">
        <w:t xml:space="preserve">tate </w:t>
      </w:r>
      <w:r w:rsidR="001D381D">
        <w:t>energy policy</w:t>
      </w:r>
      <w:r w:rsidR="00D12A44">
        <w:t xml:space="preserve"> </w:t>
      </w:r>
      <w:r w:rsidR="002247C9">
        <w:t>in any of the ways asserted by Duke</w:t>
      </w:r>
      <w:r w:rsidR="004F76E9">
        <w:t>.</w:t>
      </w:r>
      <w:r>
        <w:t xml:space="preserve">  Accordingly, </w:t>
      </w:r>
      <w:r w:rsidR="002247C9">
        <w:t xml:space="preserve">if the Commission approved an ESP that included a PSR, </w:t>
      </w:r>
      <w:r>
        <w:t>the Commission would not comply with the requirement of R.C. 4928.06 that it effectuate state energy policy.</w:t>
      </w:r>
    </w:p>
    <w:p w:rsidR="00373ACF" w:rsidRDefault="00373ACF" w:rsidP="00D403B6">
      <w:pPr>
        <w:pStyle w:val="Heading2"/>
      </w:pPr>
      <w:bookmarkStart w:id="93" w:name="_Toc406928588"/>
      <w:bookmarkStart w:id="94" w:name="_Toc407005668"/>
      <w:bookmarkStart w:id="95" w:name="_Toc407005794"/>
      <w:bookmarkStart w:id="96" w:name="_Toc407005850"/>
      <w:bookmarkStart w:id="97" w:name="_Toc407028858"/>
      <w:bookmarkStart w:id="98" w:name="_Toc407185315"/>
      <w:bookmarkStart w:id="99" w:name="_Toc407617134"/>
      <w:bookmarkStart w:id="100" w:name="_Toc407625431"/>
      <w:r>
        <w:t xml:space="preserve">Authorization of the PSR is preempted by the </w:t>
      </w:r>
      <w:bookmarkEnd w:id="93"/>
      <w:bookmarkEnd w:id="94"/>
      <w:bookmarkEnd w:id="95"/>
      <w:bookmarkEnd w:id="96"/>
      <w:bookmarkEnd w:id="97"/>
      <w:bookmarkEnd w:id="98"/>
      <w:bookmarkEnd w:id="99"/>
      <w:r w:rsidR="00121E17">
        <w:t>FPA</w:t>
      </w:r>
      <w:bookmarkEnd w:id="100"/>
    </w:p>
    <w:p w:rsidR="00373ACF" w:rsidRDefault="00B7316B" w:rsidP="00AC4529">
      <w:pPr>
        <w:spacing w:after="0" w:line="480" w:lineRule="auto"/>
        <w:ind w:firstLine="720"/>
        <w:jc w:val="both"/>
      </w:pPr>
      <w:r>
        <w:lastRenderedPageBreak/>
        <w:t>As IEU-Ohio demonstrated in its initial brief,</w:t>
      </w:r>
      <w:r w:rsidRPr="002B232B">
        <w:t xml:space="preserve"> </w:t>
      </w:r>
      <w:r>
        <w:t xml:space="preserve">the Third and Fourth Circuit Courts of Appeals have already affirmed district court decisions finding that </w:t>
      </w:r>
      <w:r w:rsidRPr="002B232B">
        <w:t>attempts by states to increase the compensation of a generation owner for wholesale capacity and energy services are preempted because they invade a field of regulation within the exclusive authority of FERC</w:t>
      </w:r>
      <w:r>
        <w:t xml:space="preserve"> and stand as an obstacle to the accomplishment of Congressional objectives</w:t>
      </w:r>
      <w:r w:rsidRPr="002B232B">
        <w:t>.</w:t>
      </w:r>
      <w:r>
        <w:rPr>
          <w:rStyle w:val="FootnoteReference"/>
        </w:rPr>
        <w:footnoteReference w:id="61"/>
      </w:r>
      <w:r w:rsidR="00373ACF">
        <w:t xml:space="preserve">  </w:t>
      </w:r>
      <w:r w:rsidR="00323796">
        <w:t>Although</w:t>
      </w:r>
      <w:r w:rsidR="00373ACF">
        <w:t xml:space="preserve"> Duke fails to address </w:t>
      </w:r>
      <w:r w:rsidR="00323796">
        <w:t xml:space="preserve">the preemptive effect of the FPA on the PSR </w:t>
      </w:r>
      <w:r w:rsidR="00373ACF">
        <w:t>in its initial brief</w:t>
      </w:r>
      <w:r w:rsidR="00323796">
        <w:t xml:space="preserve">, </w:t>
      </w:r>
      <w:r w:rsidR="00866D5B">
        <w:t>Ohio Energy Group (“</w:t>
      </w:r>
      <w:r w:rsidR="00373ACF">
        <w:t>OEG</w:t>
      </w:r>
      <w:r w:rsidR="00866D5B">
        <w:t>”)</w:t>
      </w:r>
      <w:r w:rsidR="00373ACF">
        <w:t xml:space="preserve"> claims that approval of the PSR would not violate the </w:t>
      </w:r>
      <w:r w:rsidR="00323796">
        <w:t>FPA</w:t>
      </w:r>
      <w:r w:rsidR="00373ACF">
        <w:t>.</w:t>
      </w:r>
      <w:r w:rsidR="00373ACF">
        <w:rPr>
          <w:rStyle w:val="FootnoteReference"/>
        </w:rPr>
        <w:footnoteReference w:id="62"/>
      </w:r>
      <w:r w:rsidR="00373ACF">
        <w:t xml:space="preserve"> </w:t>
      </w:r>
      <w:r w:rsidR="002B232B">
        <w:t xml:space="preserve"> </w:t>
      </w:r>
      <w:r w:rsidR="00373ACF">
        <w:t>That claim is not correct.</w:t>
      </w:r>
    </w:p>
    <w:p w:rsidR="00373ACF" w:rsidRDefault="002B232B" w:rsidP="00AC4529">
      <w:pPr>
        <w:spacing w:after="0" w:line="480" w:lineRule="auto"/>
        <w:ind w:firstLine="720"/>
        <w:jc w:val="both"/>
      </w:pPr>
      <w:r>
        <w:t xml:space="preserve">According to OEG, the PSR </w:t>
      </w:r>
      <w:r w:rsidR="00B7316B">
        <w:t xml:space="preserve">avoids preemption because it </w:t>
      </w:r>
      <w:r>
        <w:t>“is not remotely similar to the Maryland and New Jersey approaches.”</w:t>
      </w:r>
      <w:r>
        <w:rPr>
          <w:rStyle w:val="FootnoteReference"/>
        </w:rPr>
        <w:footnoteReference w:id="63"/>
      </w:r>
      <w:r w:rsidR="00577898">
        <w:t xml:space="preserve">  I</w:t>
      </w:r>
      <w:r>
        <w:t xml:space="preserve">n support of this </w:t>
      </w:r>
      <w:r w:rsidR="00CD5244">
        <w:t>argument</w:t>
      </w:r>
      <w:r>
        <w:t xml:space="preserve">, OEG </w:t>
      </w:r>
      <w:r w:rsidR="00B7316B">
        <w:t xml:space="preserve">claims </w:t>
      </w:r>
      <w:r>
        <w:t>that the Maryland and New Jersey commissions attempted to establish a supplemental wholesale rate and that the PSR would operate solely at the retail level pursuant to state law.</w:t>
      </w:r>
      <w:r>
        <w:rPr>
          <w:rStyle w:val="FootnoteReference"/>
        </w:rPr>
        <w:footnoteReference w:id="64"/>
      </w:r>
      <w:r w:rsidR="00370BE7">
        <w:t xml:space="preserve"> </w:t>
      </w:r>
      <w:r w:rsidR="00577898">
        <w:t xml:space="preserve"> Additionally</w:t>
      </w:r>
      <w:r w:rsidR="00370BE7">
        <w:t xml:space="preserve">, OEG attempts to draw </w:t>
      </w:r>
      <w:r w:rsidR="00577898">
        <w:t xml:space="preserve">a </w:t>
      </w:r>
      <w:r w:rsidR="00370BE7">
        <w:t>distinction based on the purpose of the rider, claiming that the Maryland and New Jersey price recovery mechanisms are different because they sought to encourage new generation.</w:t>
      </w:r>
      <w:r w:rsidR="00B46133">
        <w:rPr>
          <w:rStyle w:val="FootnoteReference"/>
        </w:rPr>
        <w:footnoteReference w:id="65"/>
      </w:r>
      <w:r w:rsidR="00CD5244">
        <w:t xml:space="preserve">  </w:t>
      </w:r>
    </w:p>
    <w:p w:rsidR="00370BE7" w:rsidRDefault="00370BE7" w:rsidP="00AC4529">
      <w:pPr>
        <w:spacing w:after="0" w:line="480" w:lineRule="auto"/>
        <w:jc w:val="both"/>
      </w:pPr>
      <w:r>
        <w:tab/>
        <w:t>OEG’s first claim</w:t>
      </w:r>
      <w:r w:rsidR="005072CB">
        <w:t>,</w:t>
      </w:r>
      <w:r>
        <w:t xml:space="preserve"> that the PSR would not establish a supplement to Duke’s wholesale recovery</w:t>
      </w:r>
      <w:r w:rsidR="005072CB">
        <w:t>,</w:t>
      </w:r>
      <w:r>
        <w:t xml:space="preserve"> is plainly inconsistent with the </w:t>
      </w:r>
      <w:r w:rsidR="00D113B2">
        <w:t xml:space="preserve">proposed </w:t>
      </w:r>
      <w:r>
        <w:t xml:space="preserve">operation of the rider. </w:t>
      </w:r>
      <w:r w:rsidR="00B1435C">
        <w:t xml:space="preserve"> </w:t>
      </w:r>
      <w:r>
        <w:t xml:space="preserve">As described by Duke, </w:t>
      </w:r>
      <w:r w:rsidR="00F41758">
        <w:t>the PSR would authorize it to</w:t>
      </w:r>
      <w:r>
        <w:t xml:space="preserve"> recover the difference between what it recovers in the wholesale market and its costs incurred from OVEC. </w:t>
      </w:r>
      <w:r w:rsidR="00B1435C">
        <w:t xml:space="preserve"> </w:t>
      </w:r>
      <w:r>
        <w:t xml:space="preserve">Thus, the rider </w:t>
      </w:r>
      <w:r>
        <w:lastRenderedPageBreak/>
        <w:t>would operate exactly in the same manner as that rejected by the courts in New Jersey and Maryland; it would increase the compensation of the generation owner</w:t>
      </w:r>
      <w:r w:rsidR="001D381D">
        <w:t>, in this case Duke,</w:t>
      </w:r>
      <w:r>
        <w:t xml:space="preserve"> by the amount </w:t>
      </w:r>
      <w:r w:rsidR="00F41758">
        <w:t xml:space="preserve">of generation-related costs </w:t>
      </w:r>
      <w:r>
        <w:t xml:space="preserve">not recovered through sales in the PJM market. </w:t>
      </w:r>
    </w:p>
    <w:p w:rsidR="00370BE7" w:rsidRDefault="00370BE7" w:rsidP="00AC4529">
      <w:pPr>
        <w:spacing w:after="0" w:line="480" w:lineRule="auto"/>
        <w:jc w:val="both"/>
      </w:pPr>
      <w:r>
        <w:tab/>
        <w:t xml:space="preserve">The </w:t>
      </w:r>
      <w:r w:rsidR="00577898">
        <w:t xml:space="preserve">second </w:t>
      </w:r>
      <w:r>
        <w:t xml:space="preserve">claim that the rider is different than that rejected by the New Jersey and Maryland federal courts because it would operate at the retail level is also inaccurate. </w:t>
      </w:r>
      <w:r w:rsidR="00B1435C">
        <w:t xml:space="preserve"> </w:t>
      </w:r>
      <w:r w:rsidR="005011F8" w:rsidRPr="005011F8">
        <w:t xml:space="preserve">As decisions in both </w:t>
      </w:r>
      <w:r w:rsidR="001D381D">
        <w:t xml:space="preserve">federal </w:t>
      </w:r>
      <w:r w:rsidR="005011F8" w:rsidRPr="005011F8">
        <w:t>cases explain, retail customers would have covered the above-mark</w:t>
      </w:r>
      <w:r w:rsidR="001D381D">
        <w:t>et portions of the charges the state c</w:t>
      </w:r>
      <w:r w:rsidR="005011F8" w:rsidRPr="005011F8">
        <w:t>ommission</w:t>
      </w:r>
      <w:r w:rsidR="001D381D">
        <w:t>s</w:t>
      </w:r>
      <w:r w:rsidR="005011F8" w:rsidRPr="005011F8">
        <w:t xml:space="preserve"> ordered the local utilities to pay the generation owner</w:t>
      </w:r>
      <w:r w:rsidR="00B7316B">
        <w:t>s</w:t>
      </w:r>
      <w:r w:rsidR="005011F8" w:rsidRPr="005011F8">
        <w:t xml:space="preserve"> under the challenged contracts.</w:t>
      </w:r>
      <w:r w:rsidR="005011F8" w:rsidRPr="005011F8">
        <w:rPr>
          <w:vertAlign w:val="superscript"/>
        </w:rPr>
        <w:footnoteReference w:id="66"/>
      </w:r>
      <w:r w:rsidR="005011F8" w:rsidRPr="005011F8">
        <w:t xml:space="preserve">  </w:t>
      </w:r>
      <w:r>
        <w:t xml:space="preserve">Thus, there is no distinction in regard to retail cost recovery between the PSR and the mechanisms found unconstitutional by the New Jersey and Maryland </w:t>
      </w:r>
      <w:r w:rsidR="001D381D">
        <w:t xml:space="preserve">federal </w:t>
      </w:r>
      <w:r>
        <w:t>courts.</w:t>
      </w:r>
    </w:p>
    <w:p w:rsidR="001F4E8E" w:rsidRDefault="00370BE7" w:rsidP="00AC4529">
      <w:pPr>
        <w:spacing w:after="0" w:line="480" w:lineRule="auto"/>
        <w:jc w:val="both"/>
      </w:pPr>
      <w:r>
        <w:tab/>
      </w:r>
      <w:r w:rsidR="00577898">
        <w:t xml:space="preserve">OEG’s </w:t>
      </w:r>
      <w:r w:rsidR="002F2AF5">
        <w:t xml:space="preserve">third </w:t>
      </w:r>
      <w:r>
        <w:t>claim</w:t>
      </w:r>
      <w:r w:rsidR="005072CB">
        <w:t>,</w:t>
      </w:r>
      <w:r>
        <w:t xml:space="preserve"> </w:t>
      </w:r>
      <w:r w:rsidR="00577898">
        <w:t xml:space="preserve">that the </w:t>
      </w:r>
      <w:r w:rsidR="00B46133">
        <w:t>authorization</w:t>
      </w:r>
      <w:r w:rsidR="00577898">
        <w:t xml:space="preserve"> of the PSR would not</w:t>
      </w:r>
      <w:r w:rsidR="00B46133">
        <w:t xml:space="preserve"> be preempted</w:t>
      </w:r>
      <w:r w:rsidR="00577898">
        <w:t xml:space="preserve"> because it serves a </w:t>
      </w:r>
      <w:r w:rsidR="00B46133">
        <w:t>different</w:t>
      </w:r>
      <w:r w:rsidR="00577898">
        <w:t xml:space="preserve"> purpose than the </w:t>
      </w:r>
      <w:r w:rsidR="00B46133">
        <w:t>mechanisms rejected by the courts in New Jersey and Maryland</w:t>
      </w:r>
      <w:r w:rsidR="002247C9">
        <w:t>,</w:t>
      </w:r>
      <w:r w:rsidR="00577898">
        <w:t xml:space="preserve"> has no basis in the well-understood doctrine of </w:t>
      </w:r>
      <w:r w:rsidR="00B46133">
        <w:t>federal preemption.  Under preemption doctrine, t</w:t>
      </w:r>
      <w:r w:rsidR="00577898">
        <w:t xml:space="preserve">he </w:t>
      </w:r>
      <w:r w:rsidR="00B46133">
        <w:t xml:space="preserve">state’s </w:t>
      </w:r>
      <w:r w:rsidR="00577898">
        <w:t>purpose</w:t>
      </w:r>
      <w:r w:rsidR="00B46133">
        <w:t xml:space="preserve"> </w:t>
      </w:r>
      <w:r w:rsidR="00577898">
        <w:t>is irrelevant if the state regulation conflicts with or invades a field</w:t>
      </w:r>
      <w:r w:rsidR="001F4E8E">
        <w:t xml:space="preserve"> </w:t>
      </w:r>
      <w:r w:rsidR="00577898">
        <w:t xml:space="preserve">of federal regulation.  As the District Court of New Jersey explained: </w:t>
      </w:r>
    </w:p>
    <w:p w:rsidR="00370BE7" w:rsidRDefault="002F2AF5" w:rsidP="00AC4529">
      <w:pPr>
        <w:spacing w:after="0"/>
        <w:ind w:left="720" w:right="720"/>
        <w:jc w:val="both"/>
      </w:pPr>
      <w:r>
        <w:t>W</w:t>
      </w:r>
      <w:r w:rsidR="001F4E8E">
        <w:t xml:space="preserve">here a state law conflicts with a federal law, the Court does not balance the competing federal and state interests. </w:t>
      </w:r>
      <w:r>
        <w:t xml:space="preserve"> </w:t>
      </w:r>
      <w:r w:rsidR="001F4E8E">
        <w:t>In fact, the Supreme Court held that “[u]nder the Supremacy Clause of the Federal Constitution,</w:t>
      </w:r>
      <w:r w:rsidR="002247C9">
        <w:t xml:space="preserve"> ‘[</w:t>
      </w:r>
      <w:r>
        <w:t>t]he relative importance to the State of its own law is not material when there is a conflict with a valid federal law’ for ‘any state law, however clearly within a State’s acknowledged power, which interferes with or is contrary to federal law, must yield.’”</w:t>
      </w:r>
      <w:r>
        <w:rPr>
          <w:rStyle w:val="FootnoteReference"/>
        </w:rPr>
        <w:footnoteReference w:id="67"/>
      </w:r>
    </w:p>
    <w:p w:rsidR="002F2AF5" w:rsidRDefault="002F2AF5" w:rsidP="00AC4529">
      <w:pPr>
        <w:spacing w:after="0"/>
        <w:ind w:left="720" w:right="720"/>
        <w:jc w:val="both"/>
      </w:pPr>
    </w:p>
    <w:p w:rsidR="002F2AF5" w:rsidRDefault="002C019E" w:rsidP="00AC4529">
      <w:pPr>
        <w:spacing w:after="0" w:line="480" w:lineRule="auto"/>
        <w:ind w:firstLine="720"/>
        <w:jc w:val="both"/>
      </w:pPr>
      <w:r>
        <w:lastRenderedPageBreak/>
        <w:t>T</w:t>
      </w:r>
      <w:r w:rsidR="002F2AF5" w:rsidRPr="002F2AF5">
        <w:t>he PSR would</w:t>
      </w:r>
      <w:r>
        <w:t xml:space="preserve"> invade</w:t>
      </w:r>
      <w:r w:rsidR="002F2AF5" w:rsidRPr="002F2AF5">
        <w:t xml:space="preserve"> </w:t>
      </w:r>
      <w:r>
        <w:t xml:space="preserve">a field of exclusive federal authority and </w:t>
      </w:r>
      <w:r w:rsidR="002F2AF5" w:rsidRPr="002F2AF5">
        <w:t xml:space="preserve">frustrate the price signals in the FERC-authorized PJM capacity market by permitting an uneconomic facility to bid into the market when the rational economic response would be </w:t>
      </w:r>
      <w:r w:rsidR="005072CB">
        <w:t xml:space="preserve">to </w:t>
      </w:r>
      <w:r w:rsidR="002F2AF5" w:rsidRPr="002F2AF5">
        <w:t xml:space="preserve">close or mothball the unit.  </w:t>
      </w:r>
      <w:r>
        <w:t>Accordingly, authorization of the PSR is preempted by the FPA</w:t>
      </w:r>
      <w:r w:rsidR="002247C9">
        <w:t>, regardless of the local purpose the Commission might find that the PSR advances</w:t>
      </w:r>
      <w:r>
        <w:t>.</w:t>
      </w:r>
    </w:p>
    <w:p w:rsidR="00D12A44" w:rsidRDefault="00D12A44" w:rsidP="00D403B6">
      <w:pPr>
        <w:pStyle w:val="Heading2"/>
      </w:pPr>
      <w:bookmarkStart w:id="101" w:name="_Toc406928589"/>
      <w:bookmarkStart w:id="102" w:name="_Toc407005669"/>
      <w:bookmarkStart w:id="103" w:name="_Toc407005795"/>
      <w:bookmarkStart w:id="104" w:name="_Toc407005851"/>
      <w:bookmarkStart w:id="105" w:name="_Toc407028859"/>
      <w:bookmarkStart w:id="106" w:name="_Toc407185316"/>
      <w:bookmarkStart w:id="107" w:name="_Toc407617135"/>
      <w:bookmarkStart w:id="108" w:name="_Toc407625432"/>
      <w:r>
        <w:t xml:space="preserve">Duke has failed to comply with the requirement of R.C. 4928.20(K) to </w:t>
      </w:r>
      <w:r w:rsidR="00CD5244">
        <w:t>demonstrate</w:t>
      </w:r>
      <w:r>
        <w:t xml:space="preserve"> the effect of the PSR on large-scale governmental aggregation</w:t>
      </w:r>
      <w:bookmarkEnd w:id="101"/>
      <w:bookmarkEnd w:id="102"/>
      <w:bookmarkEnd w:id="103"/>
      <w:bookmarkEnd w:id="104"/>
      <w:bookmarkEnd w:id="105"/>
      <w:bookmarkEnd w:id="106"/>
      <w:bookmarkEnd w:id="107"/>
      <w:bookmarkEnd w:id="108"/>
    </w:p>
    <w:p w:rsidR="00CD5244" w:rsidRDefault="00D12A44" w:rsidP="00AC4529">
      <w:pPr>
        <w:spacing w:after="0" w:line="480" w:lineRule="auto"/>
        <w:jc w:val="both"/>
      </w:pPr>
      <w:r>
        <w:tab/>
        <w:t xml:space="preserve">R.C. 4928.20(K) requires the Commission to consider the effect on large-scale governmental aggregation of any </w:t>
      </w:r>
      <w:r w:rsidR="002247C9">
        <w:t>nonbypassable generation charge</w:t>
      </w:r>
      <w:r>
        <w:t>.  As explained in Commission rule</w:t>
      </w:r>
      <w:r w:rsidR="00405AB9">
        <w:t>s</w:t>
      </w:r>
      <w:r>
        <w:t>, the application for an ESP must include “</w:t>
      </w:r>
      <w:r w:rsidR="00405AB9">
        <w:t>[a]</w:t>
      </w:r>
      <w:r w:rsidRPr="00D12A44">
        <w:t xml:space="preserve"> description of how the electric utility proposes to address governmental aggregation programs and im</w:t>
      </w:r>
      <w:r w:rsidR="002247C9">
        <w:t>plementation of division[] …</w:t>
      </w:r>
      <w:r w:rsidRPr="00D12A44">
        <w:t xml:space="preserve"> (K) of section 4928.20 of the Revised Code.</w:t>
      </w:r>
      <w:r>
        <w:t>”</w:t>
      </w:r>
      <w:r>
        <w:rPr>
          <w:rStyle w:val="FootnoteReference"/>
        </w:rPr>
        <w:footnoteReference w:id="68"/>
      </w:r>
    </w:p>
    <w:p w:rsidR="005C5797" w:rsidRDefault="00405AB9" w:rsidP="00AC4529">
      <w:pPr>
        <w:spacing w:after="0" w:line="480" w:lineRule="auto"/>
        <w:ind w:firstLine="720"/>
        <w:jc w:val="both"/>
      </w:pPr>
      <w:r>
        <w:t xml:space="preserve">Duke presents conflicting statements regarding its compliance with the requirements of R.C. 4928.20(K).  Duke’s </w:t>
      </w:r>
      <w:r w:rsidR="00F41758">
        <w:t xml:space="preserve">Application </w:t>
      </w:r>
      <w:r w:rsidR="006360F7">
        <w:t>states that Duke’s “proposed ESP does include n</w:t>
      </w:r>
      <w:r>
        <w:t>o</w:t>
      </w:r>
      <w:r w:rsidR="006360F7">
        <w:t>n-bypassable charges,” but then asserts that those charges will not adversely affect governmental aggregation.</w:t>
      </w:r>
      <w:r w:rsidR="006360F7">
        <w:rPr>
          <w:rStyle w:val="FootnoteReference"/>
        </w:rPr>
        <w:footnoteReference w:id="69"/>
      </w:r>
      <w:r w:rsidR="005C5797">
        <w:t xml:space="preserve">  In </w:t>
      </w:r>
      <w:r>
        <w:t>its testimony</w:t>
      </w:r>
      <w:r w:rsidRPr="00405AB9">
        <w:t xml:space="preserve"> </w:t>
      </w:r>
      <w:r>
        <w:t>supporting its Application</w:t>
      </w:r>
      <w:r w:rsidR="005C5797">
        <w:t xml:space="preserve">, however, Duke’s witness </w:t>
      </w:r>
      <w:r>
        <w:t>stated that</w:t>
      </w:r>
      <w:r w:rsidR="005C5797">
        <w:t xml:space="preserve"> compliance with R.C. 4928.20(K) “requires conduct by the Commission but, importantly, there are no non-bypassable generation charges being proposed in the proposed ESP.”</w:t>
      </w:r>
      <w:r w:rsidR="005C5797">
        <w:rPr>
          <w:rStyle w:val="FootnoteReference"/>
        </w:rPr>
        <w:footnoteReference w:id="70"/>
      </w:r>
      <w:r w:rsidR="005C5797">
        <w:t xml:space="preserve">  </w:t>
      </w:r>
      <w:r>
        <w:t xml:space="preserve">Then in its </w:t>
      </w:r>
      <w:r w:rsidR="00F66046">
        <w:t>initial brief</w:t>
      </w:r>
      <w:r>
        <w:t xml:space="preserve">, Duke asserts that the </w:t>
      </w:r>
      <w:r>
        <w:lastRenderedPageBreak/>
        <w:t>proposed ESP will not hinder the continued existence of governmental aggregations “and does not include any non-bypassable generation charge.”</w:t>
      </w:r>
      <w:r>
        <w:rPr>
          <w:rStyle w:val="FootnoteReference"/>
        </w:rPr>
        <w:footnoteReference w:id="71"/>
      </w:r>
      <w:r>
        <w:t xml:space="preserve">  </w:t>
      </w:r>
    </w:p>
    <w:p w:rsidR="00CD5244" w:rsidRDefault="00405AB9" w:rsidP="00AC4529">
      <w:pPr>
        <w:spacing w:after="0" w:line="480" w:lineRule="auto"/>
        <w:ind w:firstLine="720"/>
        <w:jc w:val="both"/>
      </w:pPr>
      <w:r>
        <w:t>Duke’s most recent claim that the ESP does not contain a generation-related nonbypassable charge is not correct since t</w:t>
      </w:r>
      <w:r w:rsidR="008A140B">
        <w:t xml:space="preserve">he PSR is </w:t>
      </w:r>
      <w:r w:rsidR="001D381D">
        <w:t xml:space="preserve">such a </w:t>
      </w:r>
      <w:r w:rsidR="008A140B">
        <w:t xml:space="preserve">charge.  </w:t>
      </w:r>
      <w:r w:rsidR="005C5797">
        <w:t xml:space="preserve">According to Commission rules, </w:t>
      </w:r>
      <w:r w:rsidR="00774872">
        <w:t xml:space="preserve">therefore, </w:t>
      </w:r>
      <w:r w:rsidR="005C5797">
        <w:t>Duke was required to provide a “</w:t>
      </w:r>
      <w:r w:rsidR="005C5797" w:rsidRPr="005C5797">
        <w:t>description of how the electric utility proposes to address governmental aggregation programs and implementation of divisions (I), (J), and (K) of section 4928.20 of the Revised Code</w:t>
      </w:r>
      <w:r w:rsidR="005C5797">
        <w:t xml:space="preserve">.” </w:t>
      </w:r>
      <w:r w:rsidR="005C5797" w:rsidRPr="005C5797">
        <w:t xml:space="preserve"> </w:t>
      </w:r>
    </w:p>
    <w:p w:rsidR="005C7303" w:rsidRDefault="005C5797" w:rsidP="00AC4529">
      <w:pPr>
        <w:spacing w:after="0" w:line="480" w:lineRule="auto"/>
        <w:ind w:firstLine="720"/>
        <w:jc w:val="both"/>
      </w:pPr>
      <w:r>
        <w:t>Duke</w:t>
      </w:r>
      <w:r w:rsidR="00CD5244">
        <w:t>, however,</w:t>
      </w:r>
      <w:r>
        <w:t xml:space="preserve"> chose to ignore that requirement, claiming that </w:t>
      </w:r>
      <w:r w:rsidR="00F66046">
        <w:t xml:space="preserve">R.C. </w:t>
      </w:r>
      <w:r>
        <w:t>4928.20(K) req</w:t>
      </w:r>
      <w:r w:rsidR="00CD5244">
        <w:t>uires conduct of the Commission</w:t>
      </w:r>
      <w:r>
        <w:t xml:space="preserve">.  </w:t>
      </w:r>
      <w:r w:rsidR="006F2C48">
        <w:t xml:space="preserve">Because </w:t>
      </w:r>
      <w:r w:rsidR="008A140B">
        <w:t>Duke</w:t>
      </w:r>
      <w:r w:rsidR="00CD5244">
        <w:t xml:space="preserve"> provides</w:t>
      </w:r>
      <w:r w:rsidR="006F2C48">
        <w:t xml:space="preserve"> no other information regarding the effect </w:t>
      </w:r>
      <w:r w:rsidR="001038D1">
        <w:t xml:space="preserve">of the PSR </w:t>
      </w:r>
      <w:r w:rsidR="006F2C48">
        <w:t xml:space="preserve">on </w:t>
      </w:r>
      <w:r w:rsidR="00F66046">
        <w:t>large-</w:t>
      </w:r>
      <w:r w:rsidR="006F2C48">
        <w:t xml:space="preserve">scale aggregation, Duke has failed to carry its burden </w:t>
      </w:r>
      <w:r w:rsidR="008A140B">
        <w:t xml:space="preserve">of proof, </w:t>
      </w:r>
      <w:r w:rsidR="001038D1">
        <w:t>and the Commission cannot determine</w:t>
      </w:r>
      <w:r w:rsidR="006F2C48">
        <w:t xml:space="preserve"> what the effect of the PSR is on large</w:t>
      </w:r>
      <w:r w:rsidR="006360F7">
        <w:t xml:space="preserve">-scale </w:t>
      </w:r>
      <w:r w:rsidR="001038D1">
        <w:t>governmental</w:t>
      </w:r>
      <w:r w:rsidR="006360F7">
        <w:t xml:space="preserve"> aggregation.</w:t>
      </w:r>
      <w:r w:rsidR="00774872">
        <w:t xml:space="preserve">  </w:t>
      </w:r>
      <w:r w:rsidR="002247C9">
        <w:t>Since</w:t>
      </w:r>
      <w:r w:rsidR="002C019E">
        <w:t xml:space="preserve"> </w:t>
      </w:r>
      <w:r w:rsidR="002247C9">
        <w:t>Duke has failed to comply with both R.C. 4928.20 and Commission rules</w:t>
      </w:r>
      <w:r w:rsidR="002C019E">
        <w:t>,</w:t>
      </w:r>
      <w:r>
        <w:t xml:space="preserve"> t</w:t>
      </w:r>
      <w:r w:rsidR="008A140B">
        <w:t xml:space="preserve">he Commission </w:t>
      </w:r>
      <w:r w:rsidR="005C7303">
        <w:t>may</w:t>
      </w:r>
      <w:r w:rsidR="008A140B">
        <w:t xml:space="preserve"> dismiss the Application.</w:t>
      </w:r>
      <w:r w:rsidR="00BE5B79">
        <w:rPr>
          <w:rStyle w:val="FootnoteReference"/>
        </w:rPr>
        <w:footnoteReference w:id="72"/>
      </w:r>
    </w:p>
    <w:p w:rsidR="006F2C48" w:rsidRDefault="009F442E" w:rsidP="00AC4529">
      <w:pPr>
        <w:spacing w:after="0" w:line="480" w:lineRule="auto"/>
        <w:ind w:firstLine="720"/>
        <w:jc w:val="both"/>
      </w:pPr>
      <w:r>
        <w:t>Because Duke has applied for an ESP</w:t>
      </w:r>
      <w:r w:rsidR="008A140B">
        <w:t>, however,</w:t>
      </w:r>
      <w:r w:rsidR="00484485">
        <w:t xml:space="preserve"> the Commission </w:t>
      </w:r>
      <w:r>
        <w:t xml:space="preserve">also </w:t>
      </w:r>
      <w:r w:rsidR="00484485">
        <w:t xml:space="preserve">may </w:t>
      </w:r>
      <w:r w:rsidR="006360F7">
        <w:t>modify the</w:t>
      </w:r>
      <w:r>
        <w:t xml:space="preserve"> application for an ESP </w:t>
      </w:r>
      <w:r w:rsidR="00484485">
        <w:t>under R.C. 4928.143(C)(1)</w:t>
      </w:r>
      <w:r w:rsidR="008A140B">
        <w:t xml:space="preserve"> to </w:t>
      </w:r>
      <w:r w:rsidR="00484485">
        <w:t>remove</w:t>
      </w:r>
      <w:r w:rsidR="008A140B">
        <w:t xml:space="preserve"> the unlawful rider</w:t>
      </w:r>
      <w:r w:rsidR="00484485">
        <w:t>.</w:t>
      </w:r>
      <w:r w:rsidR="008A140B">
        <w:t xml:space="preserve"> </w:t>
      </w:r>
      <w:r w:rsidR="00484485">
        <w:t xml:space="preserve"> </w:t>
      </w:r>
      <w:r w:rsidR="006360F7">
        <w:t xml:space="preserve">If the </w:t>
      </w:r>
      <w:r w:rsidR="002C019E">
        <w:t xml:space="preserve">PSR </w:t>
      </w:r>
      <w:r w:rsidR="006360F7">
        <w:t>is removed</w:t>
      </w:r>
      <w:r w:rsidR="002C019E">
        <w:t xml:space="preserve"> from the proposed ESP</w:t>
      </w:r>
      <w:r w:rsidR="00484485">
        <w:t>,</w:t>
      </w:r>
      <w:r w:rsidR="006360F7">
        <w:t xml:space="preserve"> the Commission would not be required to perform the review </w:t>
      </w:r>
      <w:r w:rsidR="00BE5B79">
        <w:t>mandated</w:t>
      </w:r>
      <w:r w:rsidR="006360F7">
        <w:t xml:space="preserve"> by R.C.</w:t>
      </w:r>
      <w:r w:rsidR="00484485">
        <w:t xml:space="preserve"> 4928.20(K)</w:t>
      </w:r>
      <w:r w:rsidR="008A140B">
        <w:t xml:space="preserve">.  Accordingly, </w:t>
      </w:r>
      <w:r w:rsidR="006360F7">
        <w:t>the Commission could “fix” the problem Duke has created</w:t>
      </w:r>
      <w:r>
        <w:t xml:space="preserve"> </w:t>
      </w:r>
      <w:r w:rsidR="00774872">
        <w:t xml:space="preserve">by removing the PSR </w:t>
      </w:r>
      <w:r>
        <w:t>and proceed on the Application as modified</w:t>
      </w:r>
      <w:r w:rsidR="006360F7">
        <w:t>.</w:t>
      </w:r>
    </w:p>
    <w:p w:rsidR="001E1456" w:rsidRPr="001E1456" w:rsidRDefault="001E1456" w:rsidP="00D403B6">
      <w:pPr>
        <w:pStyle w:val="Heading2"/>
      </w:pPr>
      <w:bookmarkStart w:id="109" w:name="_Toc395521670"/>
      <w:bookmarkStart w:id="110" w:name="_Toc395706884"/>
      <w:bookmarkStart w:id="111" w:name="_Toc395791179"/>
      <w:bookmarkStart w:id="112" w:name="_Toc395868806"/>
      <w:bookmarkStart w:id="113" w:name="_Toc406928590"/>
      <w:bookmarkStart w:id="114" w:name="_Toc407005670"/>
      <w:bookmarkStart w:id="115" w:name="_Toc407005796"/>
      <w:bookmarkStart w:id="116" w:name="_Toc407005852"/>
      <w:bookmarkStart w:id="117" w:name="_Toc407028860"/>
      <w:bookmarkStart w:id="118" w:name="_Toc407185317"/>
      <w:bookmarkStart w:id="119" w:name="_Toc407617136"/>
      <w:bookmarkStart w:id="120" w:name="_Toc407625433"/>
      <w:r w:rsidRPr="001E1456">
        <w:t xml:space="preserve">The Commission should not authorize the modified </w:t>
      </w:r>
      <w:r w:rsidR="00774872">
        <w:t>PSR</w:t>
      </w:r>
      <w:r w:rsidRPr="001E1456">
        <w:t xml:space="preserve"> proposed by </w:t>
      </w:r>
      <w:bookmarkEnd w:id="109"/>
      <w:bookmarkEnd w:id="110"/>
      <w:bookmarkEnd w:id="111"/>
      <w:bookmarkEnd w:id="112"/>
      <w:bookmarkEnd w:id="113"/>
      <w:bookmarkEnd w:id="114"/>
      <w:bookmarkEnd w:id="115"/>
      <w:bookmarkEnd w:id="116"/>
      <w:r w:rsidR="00F66046">
        <w:t>OEG</w:t>
      </w:r>
      <w:bookmarkEnd w:id="117"/>
      <w:bookmarkEnd w:id="118"/>
      <w:bookmarkEnd w:id="119"/>
      <w:bookmarkEnd w:id="120"/>
    </w:p>
    <w:p w:rsidR="001E1456" w:rsidRPr="001E1456" w:rsidRDefault="001038D1" w:rsidP="00D403B6">
      <w:pPr>
        <w:spacing w:after="0" w:line="480" w:lineRule="auto"/>
        <w:ind w:firstLine="720"/>
        <w:jc w:val="both"/>
      </w:pPr>
      <w:r>
        <w:lastRenderedPageBreak/>
        <w:t xml:space="preserve">In contrast to every other intervenor and </w:t>
      </w:r>
      <w:r w:rsidR="00135C29">
        <w:t xml:space="preserve">Commission </w:t>
      </w:r>
      <w:r>
        <w:t>Staff</w:t>
      </w:r>
      <w:r w:rsidR="00135C29">
        <w:t xml:space="preserve"> (“Staff”)</w:t>
      </w:r>
      <w:r>
        <w:t xml:space="preserve">, </w:t>
      </w:r>
      <w:r w:rsidR="00774872">
        <w:t>OEG</w:t>
      </w:r>
      <w:r w:rsidR="001E1456" w:rsidRPr="001E1456">
        <w:t xml:space="preserve"> </w:t>
      </w:r>
      <w:r>
        <w:t>supports authorization of a PSR</w:t>
      </w:r>
      <w:r w:rsidR="001E1456" w:rsidRPr="001E1456">
        <w:t xml:space="preserve">, presenting many of the same arguments in support of a </w:t>
      </w:r>
      <w:r w:rsidR="00BE5B79">
        <w:t>nonbypassable generation-related rider</w:t>
      </w:r>
      <w:r w:rsidR="001E1456" w:rsidRPr="001E1456">
        <w:t xml:space="preserve"> as </w:t>
      </w:r>
      <w:r w:rsidR="001E1456">
        <w:t>Duke</w:t>
      </w:r>
      <w:r w:rsidR="001E1456" w:rsidRPr="001E1456">
        <w:t>.  OEG</w:t>
      </w:r>
      <w:r>
        <w:t xml:space="preserve">’s </w:t>
      </w:r>
      <w:r w:rsidR="00BE5B79">
        <w:t>proposed rider</w:t>
      </w:r>
      <w:r>
        <w:t>, however, is substantially different from Duke’s version.</w:t>
      </w:r>
      <w:r w:rsidR="001E1456" w:rsidRPr="001E1456">
        <w:t xml:space="preserve"> </w:t>
      </w:r>
      <w:r>
        <w:t xml:space="preserve"> </w:t>
      </w:r>
      <w:r w:rsidR="001E1456" w:rsidRPr="001E1456">
        <w:t xml:space="preserve">First, OEG recommends that the </w:t>
      </w:r>
      <w:r w:rsidR="001E1456">
        <w:t>PSR</w:t>
      </w:r>
      <w:r w:rsidR="001E1456" w:rsidRPr="001E1456">
        <w:t xml:space="preserve"> be </w:t>
      </w:r>
      <w:r w:rsidR="001E1456">
        <w:t>limited</w:t>
      </w:r>
      <w:r w:rsidR="001E1456" w:rsidRPr="001E1456">
        <w:t xml:space="preserve"> to </w:t>
      </w:r>
      <w:r w:rsidR="00774872">
        <w:t xml:space="preserve">a term of </w:t>
      </w:r>
      <w:r w:rsidR="002247C9">
        <w:t>9.5</w:t>
      </w:r>
      <w:r w:rsidR="001E1456" w:rsidRPr="001E1456">
        <w:t xml:space="preserve"> years.  Second, it recommends that energy-intensive commercial and industrial customers have the option of opting out of the rider.</w:t>
      </w:r>
      <w:r w:rsidR="001E1456" w:rsidRPr="001E1456">
        <w:rPr>
          <w:vertAlign w:val="superscript"/>
        </w:rPr>
        <w:footnoteReference w:id="73"/>
      </w:r>
    </w:p>
    <w:p w:rsidR="009E00EE" w:rsidRDefault="009E00EE" w:rsidP="00AC4529">
      <w:pPr>
        <w:spacing w:after="0" w:line="480" w:lineRule="auto"/>
        <w:ind w:firstLine="720"/>
        <w:jc w:val="both"/>
      </w:pPr>
      <w:r>
        <w:t>Like Duke</w:t>
      </w:r>
      <w:r w:rsidR="00774872">
        <w:t xml:space="preserve">, OEG </w:t>
      </w:r>
      <w:r w:rsidR="002C019E">
        <w:t xml:space="preserve">claims </w:t>
      </w:r>
      <w:r w:rsidR="00774872">
        <w:t>that R.C. 4928.143</w:t>
      </w:r>
      <w:r>
        <w:t>(B</w:t>
      </w:r>
      <w:r w:rsidR="00774872">
        <w:t>)(2)</w:t>
      </w:r>
      <w:r>
        <w:t xml:space="preserve">(d) authorizes the rider, but OEG argues that the rider </w:t>
      </w:r>
      <w:r w:rsidR="00774872">
        <w:t xml:space="preserve">can be authorized under that division because the PSR </w:t>
      </w:r>
      <w:r>
        <w:t>is a limitation on shopping.</w:t>
      </w:r>
      <w:r>
        <w:rPr>
          <w:rStyle w:val="FootnoteReference"/>
        </w:rPr>
        <w:footnoteReference w:id="74"/>
      </w:r>
      <w:r w:rsidR="001E1456" w:rsidRPr="001E1456">
        <w:t xml:space="preserve"> </w:t>
      </w:r>
      <w:r>
        <w:t xml:space="preserve"> OEG, however, does not explain how the rider would operate as a limitation on shopping</w:t>
      </w:r>
      <w:r w:rsidR="00774872">
        <w:t>, and Duke stated that the PSR would not affect shopping</w:t>
      </w:r>
      <w:r>
        <w:t>.</w:t>
      </w:r>
      <w:r>
        <w:rPr>
          <w:rStyle w:val="FootnoteReference"/>
        </w:rPr>
        <w:footnoteReference w:id="75"/>
      </w:r>
      <w:r>
        <w:t xml:space="preserve">  </w:t>
      </w:r>
      <w:r w:rsidR="00774872">
        <w:t>Accordingly</w:t>
      </w:r>
      <w:r>
        <w:t>, OEG</w:t>
      </w:r>
      <w:r w:rsidR="00774872">
        <w:t>,</w:t>
      </w:r>
      <w:r>
        <w:t xml:space="preserve"> </w:t>
      </w:r>
      <w:r w:rsidR="00774872">
        <w:t xml:space="preserve">like Duke, </w:t>
      </w:r>
      <w:r>
        <w:t xml:space="preserve">has failed to demonstrate that </w:t>
      </w:r>
      <w:r w:rsidR="001038D1">
        <w:t xml:space="preserve">its version of the </w:t>
      </w:r>
      <w:r>
        <w:t>rider could be approved as a term of an ESP under R.C. 4928.143(B)(2)(d).</w:t>
      </w:r>
    </w:p>
    <w:p w:rsidR="009E00EE" w:rsidRDefault="009E00EE" w:rsidP="00AC4529">
      <w:pPr>
        <w:spacing w:after="0" w:line="480" w:lineRule="auto"/>
        <w:ind w:firstLine="720"/>
        <w:jc w:val="both"/>
      </w:pPr>
      <w:r>
        <w:t xml:space="preserve">OEG also argues that the rider will provide stability to customers that would otherwise be exposed to wholesale </w:t>
      </w:r>
      <w:r w:rsidR="001038D1">
        <w:t>price volatility</w:t>
      </w:r>
      <w:r>
        <w:t>.</w:t>
      </w:r>
      <w:r>
        <w:rPr>
          <w:rStyle w:val="FootnoteReference"/>
        </w:rPr>
        <w:footnoteReference w:id="76"/>
      </w:r>
      <w:r>
        <w:t xml:space="preserve"> </w:t>
      </w:r>
      <w:r w:rsidR="00135C29">
        <w:t xml:space="preserve"> </w:t>
      </w:r>
      <w:r w:rsidR="00B627BB">
        <w:t>According to OEG, the PSR will diversify the energy resources available to customers and protect them from future price increases.</w:t>
      </w:r>
      <w:r w:rsidR="00B627BB">
        <w:rPr>
          <w:rStyle w:val="FootnoteReference"/>
        </w:rPr>
        <w:footnoteReference w:id="77"/>
      </w:r>
      <w:r w:rsidR="00B627BB">
        <w:t xml:space="preserve">  </w:t>
      </w:r>
      <w:r>
        <w:t>This argument</w:t>
      </w:r>
      <w:r w:rsidR="00B627BB">
        <w:t xml:space="preserve"> and the supporting claims, however, ignore</w:t>
      </w:r>
      <w:r>
        <w:t xml:space="preserve"> that </w:t>
      </w:r>
      <w:r w:rsidR="001038D1">
        <w:t xml:space="preserve">SSO </w:t>
      </w:r>
      <w:r>
        <w:t>customers are not exposed to wholesale prices due to the laddering and staggering of auction results and that the auction results themselves are not based on daily wholesale prices but rather forward prices.</w:t>
      </w:r>
      <w:r>
        <w:rPr>
          <w:rStyle w:val="FootnoteReference"/>
        </w:rPr>
        <w:footnoteReference w:id="78"/>
      </w:r>
      <w:r w:rsidR="00774872">
        <w:t xml:space="preserve">  F</w:t>
      </w:r>
      <w:r w:rsidR="00B627BB">
        <w:t xml:space="preserve">urther, </w:t>
      </w:r>
      <w:r w:rsidR="00774872">
        <w:t>OEG</w:t>
      </w:r>
      <w:r w:rsidR="00B627BB">
        <w:t xml:space="preserve"> </w:t>
      </w:r>
      <w:r w:rsidR="001038D1">
        <w:t xml:space="preserve">notes and then </w:t>
      </w:r>
      <w:r w:rsidR="00B627BB">
        <w:t xml:space="preserve">ignores that customers can manage price risk through competitively secured retail contracts </w:t>
      </w:r>
      <w:r w:rsidR="00774872">
        <w:t>with</w:t>
      </w:r>
      <w:r w:rsidR="00B627BB">
        <w:t xml:space="preserve"> fixed prices </w:t>
      </w:r>
      <w:r w:rsidR="00B627BB">
        <w:lastRenderedPageBreak/>
        <w:t>and fixed terms.  Th</w:t>
      </w:r>
      <w:r w:rsidR="001038D1">
        <w:t>us, th</w:t>
      </w:r>
      <w:r w:rsidR="00B627BB">
        <w:t xml:space="preserve">ere is no practical reason to impose the price risk of Duke’s ownership interest in OVEC on customers when they can </w:t>
      </w:r>
      <w:r w:rsidR="00BE5B79">
        <w:t>hedge price risk through means authorized by Ohio law</w:t>
      </w:r>
      <w:r w:rsidR="00B627BB">
        <w:t>.</w:t>
      </w:r>
    </w:p>
    <w:p w:rsidR="001E1456" w:rsidRPr="001E1456" w:rsidRDefault="009E00EE" w:rsidP="00D403B6">
      <w:pPr>
        <w:spacing w:after="0" w:line="480" w:lineRule="auto"/>
        <w:ind w:firstLine="720"/>
        <w:jc w:val="both"/>
      </w:pPr>
      <w:r>
        <w:t xml:space="preserve">OEG </w:t>
      </w:r>
      <w:r w:rsidR="001038D1">
        <w:t xml:space="preserve">also </w:t>
      </w:r>
      <w:r>
        <w:t xml:space="preserve">claims that the PSR </w:t>
      </w:r>
      <w:r w:rsidR="001E1456" w:rsidRPr="001E1456">
        <w:t>would be consistent with the policies embedded in Ohio law.</w:t>
      </w:r>
      <w:r w:rsidR="001E1456" w:rsidRPr="001E1456">
        <w:rPr>
          <w:vertAlign w:val="superscript"/>
        </w:rPr>
        <w:footnoteReference w:id="79"/>
      </w:r>
      <w:r w:rsidR="001E1456" w:rsidRPr="001E1456">
        <w:t xml:space="preserve">  As discussed above, </w:t>
      </w:r>
      <w:r w:rsidR="001038D1">
        <w:t xml:space="preserve">however, </w:t>
      </w:r>
      <w:r w:rsidR="00774872">
        <w:t xml:space="preserve">the PSR is inconsistent with state energy policy </w:t>
      </w:r>
      <w:r w:rsidR="00BE5B79">
        <w:t>regarding customer choice and the encouragement of retail electric competition and is prohibited by R.C. 4928.02(H)</w:t>
      </w:r>
      <w:r w:rsidR="00774872">
        <w:t xml:space="preserve">.  </w:t>
      </w:r>
    </w:p>
    <w:p w:rsidR="001E1456" w:rsidRPr="001E1456" w:rsidRDefault="001038D1" w:rsidP="00D403B6">
      <w:pPr>
        <w:spacing w:after="0" w:line="480" w:lineRule="auto"/>
        <w:ind w:firstLine="720"/>
        <w:jc w:val="both"/>
      </w:pPr>
      <w:r>
        <w:t xml:space="preserve">As part of its attempt to secure approval of its version of a PSR, </w:t>
      </w:r>
      <w:r w:rsidR="001E1456" w:rsidRPr="001E1456">
        <w:t xml:space="preserve">OEG </w:t>
      </w:r>
      <w:r>
        <w:t xml:space="preserve">also </w:t>
      </w:r>
      <w:r w:rsidR="001E1456" w:rsidRPr="001E1456">
        <w:t xml:space="preserve">criticizes the Staff for opposing the </w:t>
      </w:r>
      <w:r w:rsidR="00CF0266">
        <w:t>PSR</w:t>
      </w:r>
      <w:r w:rsidR="001E1456" w:rsidRPr="001E1456">
        <w:t xml:space="preserve"> and “ceding complete control of energy and capacity pricing to PJM.”</w:t>
      </w:r>
      <w:r w:rsidR="001E1456" w:rsidRPr="001E1456">
        <w:rPr>
          <w:vertAlign w:val="superscript"/>
        </w:rPr>
        <w:footnoteReference w:id="80"/>
      </w:r>
      <w:r w:rsidR="001E1456" w:rsidRPr="001E1456">
        <w:t xml:space="preserve">  </w:t>
      </w:r>
      <w:r>
        <w:t>The Commission’s authority</w:t>
      </w:r>
      <w:r w:rsidR="002247C9">
        <w:t>, however,</w:t>
      </w:r>
      <w:r>
        <w:t xml:space="preserve"> is limited to the pricing of retail electric services, not wholesale services.</w:t>
      </w:r>
      <w:r>
        <w:rPr>
          <w:rStyle w:val="FootnoteReference"/>
        </w:rPr>
        <w:footnoteReference w:id="81"/>
      </w:r>
      <w:r>
        <w:t xml:space="preserve">  B</w:t>
      </w:r>
      <w:r w:rsidR="001E1456" w:rsidRPr="001E1456">
        <w:t xml:space="preserve">y approving the </w:t>
      </w:r>
      <w:r w:rsidR="001E1456">
        <w:t>PSR</w:t>
      </w:r>
      <w:r w:rsidR="001E1456" w:rsidRPr="001E1456">
        <w:t xml:space="preserve">, </w:t>
      </w:r>
      <w:r w:rsidR="002247C9">
        <w:t>moreover, the Commission would be exposing customers to additional wholesale price volatility</w:t>
      </w:r>
      <w:r w:rsidR="001E1456" w:rsidRPr="001E1456">
        <w:t>.</w:t>
      </w:r>
      <w:r w:rsidR="00B627BB">
        <w:rPr>
          <w:rStyle w:val="FootnoteReference"/>
        </w:rPr>
        <w:footnoteReference w:id="82"/>
      </w:r>
      <w:r w:rsidR="005E344D">
        <w:t xml:space="preserve">  </w:t>
      </w:r>
      <w:r w:rsidR="00E07391">
        <w:t xml:space="preserve">Thus, </w:t>
      </w:r>
      <w:r w:rsidR="002247C9">
        <w:t>OEG’s appeal to the Commission to assert jurisdiction it does not have is both pointless and likely harmful to the customers.</w:t>
      </w:r>
    </w:p>
    <w:p w:rsidR="001E1456" w:rsidRPr="001E1456" w:rsidRDefault="00774872" w:rsidP="00AC4529">
      <w:pPr>
        <w:spacing w:after="240" w:line="480" w:lineRule="auto"/>
        <w:ind w:firstLine="720"/>
        <w:jc w:val="both"/>
      </w:pPr>
      <w:r w:rsidRPr="00774872">
        <w:t xml:space="preserve">OEG also </w:t>
      </w:r>
      <w:r w:rsidR="005E344D">
        <w:t>complains that the Staff’s opposition to a PSR on legal and policy grounds is not based on a cost-benefit analysis.</w:t>
      </w:r>
      <w:r w:rsidRPr="00774872">
        <w:rPr>
          <w:vertAlign w:val="superscript"/>
        </w:rPr>
        <w:footnoteReference w:id="83"/>
      </w:r>
      <w:r w:rsidR="005D3939">
        <w:t xml:space="preserve"> </w:t>
      </w:r>
      <w:r w:rsidR="005E344D">
        <w:t xml:space="preserve"> A cost-benefit analysis, however, is not warranted because the Commission is legally prohibited from authorizing the rider.  Moreover, OEG’s suggestion that the PSR might provide </w:t>
      </w:r>
      <w:r w:rsidR="00BE5B79">
        <w:t>a</w:t>
      </w:r>
      <w:r w:rsidR="005E344D">
        <w:t xml:space="preserve"> benefit </w:t>
      </w:r>
      <w:r w:rsidR="00BE5B79">
        <w:t xml:space="preserve">to customers </w:t>
      </w:r>
      <w:r w:rsidR="005E344D">
        <w:t xml:space="preserve">is not credible in light of </w:t>
      </w:r>
      <w:r w:rsidR="00040DE3">
        <w:t>its</w:t>
      </w:r>
      <w:r w:rsidR="005E344D">
        <w:t xml:space="preserve"> evidence</w:t>
      </w:r>
      <w:r w:rsidR="00040DE3">
        <w:t xml:space="preserve"> of the rate effects of the rider</w:t>
      </w:r>
      <w:r w:rsidR="005E344D">
        <w:t xml:space="preserve"> and </w:t>
      </w:r>
      <w:r w:rsidR="00BE5B79">
        <w:t xml:space="preserve">its </w:t>
      </w:r>
      <w:r w:rsidR="005E344D">
        <w:t xml:space="preserve">recommendations to modify </w:t>
      </w:r>
      <w:r w:rsidR="00BE5B79">
        <w:t>Duke’s version</w:t>
      </w:r>
      <w:r w:rsidR="005E344D">
        <w:t xml:space="preserve">.  OEG itself demonstrated that the rider will be a cost to </w:t>
      </w:r>
      <w:r w:rsidR="005E344D">
        <w:lastRenderedPageBreak/>
        <w:t>customers through the term of the ESP,</w:t>
      </w:r>
      <w:r w:rsidR="005E344D">
        <w:rPr>
          <w:rStyle w:val="FootnoteReference"/>
        </w:rPr>
        <w:footnoteReference w:id="84"/>
      </w:r>
      <w:r w:rsidR="005E344D">
        <w:t xml:space="preserve"> and</w:t>
      </w:r>
      <w:r w:rsidR="00B627BB">
        <w:t xml:space="preserve"> </w:t>
      </w:r>
      <w:r w:rsidR="001E1456" w:rsidRPr="001E1456">
        <w:t xml:space="preserve">OEG recommends that the </w:t>
      </w:r>
      <w:r w:rsidR="001E1456">
        <w:t>PSR</w:t>
      </w:r>
      <w:r w:rsidR="001E1456" w:rsidRPr="001E1456">
        <w:t xml:space="preserve"> be a nonbypassable charge for all customers other than those with more than a ten megawatt load at a single site; the energy intensive customers could elect to opt out of the </w:t>
      </w:r>
      <w:r w:rsidR="001E1456">
        <w:t>PSR</w:t>
      </w:r>
      <w:r w:rsidR="001E1456" w:rsidRPr="001E1456">
        <w:t>.</w:t>
      </w:r>
      <w:r w:rsidR="001E1456" w:rsidRPr="001E1456">
        <w:rPr>
          <w:vertAlign w:val="superscript"/>
        </w:rPr>
        <w:footnoteReference w:id="85"/>
      </w:r>
      <w:r w:rsidR="001E1456" w:rsidRPr="001E1456">
        <w:t xml:space="preserve">  </w:t>
      </w:r>
      <w:r w:rsidR="005D3939">
        <w:t xml:space="preserve">Because OEG’s own evidence shows that retail customers will </w:t>
      </w:r>
      <w:r w:rsidR="00040DE3">
        <w:t>not likely</w:t>
      </w:r>
      <w:r w:rsidR="005D3939">
        <w:t xml:space="preserve"> see a benefit and </w:t>
      </w:r>
      <w:r w:rsidR="00BE5B79">
        <w:t>OEG</w:t>
      </w:r>
      <w:r w:rsidR="00040DE3">
        <w:t xml:space="preserve"> seeks an escape hatch</w:t>
      </w:r>
      <w:r w:rsidR="005D3939">
        <w:t>,</w:t>
      </w:r>
      <w:r w:rsidR="00373ACF">
        <w:t xml:space="preserve"> </w:t>
      </w:r>
      <w:r w:rsidR="001E1456" w:rsidRPr="001E1456">
        <w:t>the Commission should place little weight on a claim</w:t>
      </w:r>
      <w:r w:rsidR="00373ACF">
        <w:t xml:space="preserve"> by </w:t>
      </w:r>
      <w:r w:rsidR="001E1456" w:rsidRPr="001E1456">
        <w:t xml:space="preserve">OEG, or anyone else, </w:t>
      </w:r>
      <w:r w:rsidR="001E1456">
        <w:t xml:space="preserve">that there is any benefit </w:t>
      </w:r>
      <w:r w:rsidR="002C019E">
        <w:t xml:space="preserve">associated with </w:t>
      </w:r>
      <w:r w:rsidR="00373ACF">
        <w:t>permitting</w:t>
      </w:r>
      <w:r w:rsidR="009A120E">
        <w:t xml:space="preserve"> Duke to transfer its </w:t>
      </w:r>
      <w:r w:rsidR="002C019E">
        <w:t>above-market costs of</w:t>
      </w:r>
      <w:r w:rsidR="009A120E">
        <w:t xml:space="preserve"> the OVEC Entitlement to</w:t>
      </w:r>
      <w:r w:rsidR="001E1456">
        <w:t xml:space="preserve"> retail customers</w:t>
      </w:r>
      <w:r w:rsidR="001E1456" w:rsidRPr="001E1456">
        <w:t>.</w:t>
      </w:r>
    </w:p>
    <w:p w:rsidR="00DA68E1" w:rsidRPr="00B1065F" w:rsidRDefault="00DA68E1" w:rsidP="00D403B6">
      <w:pPr>
        <w:pStyle w:val="Heading1"/>
      </w:pPr>
      <w:bookmarkStart w:id="121" w:name="_Toc406928591"/>
      <w:bookmarkStart w:id="122" w:name="_Toc407005671"/>
      <w:bookmarkStart w:id="123" w:name="_Toc407005797"/>
      <w:bookmarkStart w:id="124" w:name="_Toc407005853"/>
      <w:bookmarkStart w:id="125" w:name="_Toc407028861"/>
      <w:bookmarkStart w:id="126" w:name="_Toc407185318"/>
      <w:bookmarkStart w:id="127" w:name="_Toc407617137"/>
      <w:bookmarkStart w:id="128" w:name="_Toc407625434"/>
      <w:r w:rsidRPr="00B1065F">
        <w:t>The proposed ESP is not more favorable in the aggregate than an MRO</w:t>
      </w:r>
      <w:bookmarkEnd w:id="121"/>
      <w:bookmarkEnd w:id="122"/>
      <w:bookmarkEnd w:id="123"/>
      <w:bookmarkEnd w:id="124"/>
      <w:bookmarkEnd w:id="125"/>
      <w:bookmarkEnd w:id="126"/>
      <w:bookmarkEnd w:id="127"/>
      <w:bookmarkEnd w:id="128"/>
    </w:p>
    <w:p w:rsidR="00C9232C" w:rsidRDefault="00C9232C" w:rsidP="00AC4529">
      <w:pPr>
        <w:spacing w:after="0" w:line="480" w:lineRule="auto"/>
        <w:ind w:firstLine="720"/>
        <w:jc w:val="both"/>
      </w:pPr>
      <w:r>
        <w:t>The Commission may approve an ESP “if it finds that the [ESP] so approved, including its pricing and all other terms and conditions, including any deferrals and any future recovery of deferrals, is more favorable in the aggregate as compared to the expected results that would otherwise apply under section 4928.142 of the Revised Code.”</w:t>
      </w:r>
      <w:r>
        <w:rPr>
          <w:rStyle w:val="FootnoteReference"/>
        </w:rPr>
        <w:footnoteReference w:id="86"/>
      </w:r>
      <w:r>
        <w:t xml:space="preserve">  This </w:t>
      </w:r>
      <w:r w:rsidR="00AD2FA2">
        <w:t xml:space="preserve">test </w:t>
      </w:r>
      <w:r>
        <w:t>requires an objective</w:t>
      </w:r>
      <w:r w:rsidR="00AD2FA2">
        <w:t xml:space="preserve"> </w:t>
      </w:r>
      <w:r>
        <w:t xml:space="preserve">comparison of the proposed ESP to </w:t>
      </w:r>
      <w:r w:rsidR="00BE5B79">
        <w:t>a</w:t>
      </w:r>
      <w:r>
        <w:t xml:space="preserve"> MRO.</w:t>
      </w:r>
      <w:r>
        <w:rPr>
          <w:rStyle w:val="FootnoteReference"/>
        </w:rPr>
        <w:footnoteReference w:id="87"/>
      </w:r>
      <w:r>
        <w:t xml:space="preserve">  As demonstrated in IEU-Ohio’s </w:t>
      </w:r>
      <w:r w:rsidR="00B1065F">
        <w:t>initial b</w:t>
      </w:r>
      <w:r>
        <w:t xml:space="preserve">rief, Duke’s proposed ESP is at least $22 million less favorable than an MRO </w:t>
      </w:r>
      <w:r w:rsidR="005D3939">
        <w:t>when the cost of the PSR is properly included on the ESP side of the test</w:t>
      </w:r>
      <w:r>
        <w:t>.</w:t>
      </w:r>
      <w:r>
        <w:rPr>
          <w:rStyle w:val="FootnoteReference"/>
        </w:rPr>
        <w:footnoteReference w:id="88"/>
      </w:r>
      <w:r>
        <w:t xml:space="preserve">  IEU-Ohio further demonstrated that the </w:t>
      </w:r>
      <w:r w:rsidR="00040DE3">
        <w:t>Commission could not rely on the</w:t>
      </w:r>
      <w:r w:rsidR="00BE5B79">
        <w:t xml:space="preserve"> </w:t>
      </w:r>
      <w:r>
        <w:t xml:space="preserve">four alleged non-quantitative benefits identified </w:t>
      </w:r>
      <w:r w:rsidR="00BE5B79">
        <w:t>by</w:t>
      </w:r>
      <w:r>
        <w:t xml:space="preserve"> Duke to find that </w:t>
      </w:r>
      <w:r w:rsidR="00040DE3">
        <w:t>the</w:t>
      </w:r>
      <w:r>
        <w:t xml:space="preserve"> proposed </w:t>
      </w:r>
      <w:r>
        <w:lastRenderedPageBreak/>
        <w:t>ESP is more favorable than an MRO.</w:t>
      </w:r>
      <w:r>
        <w:rPr>
          <w:rStyle w:val="FootnoteReference"/>
        </w:rPr>
        <w:footnoteReference w:id="89"/>
      </w:r>
      <w:r>
        <w:t xml:space="preserve">  </w:t>
      </w:r>
      <w:r w:rsidR="005D3939">
        <w:t>Accordingly, the proposed ESP fails the ESP v. MRO Test.</w:t>
      </w:r>
    </w:p>
    <w:p w:rsidR="00C9232C" w:rsidRDefault="00C9232C" w:rsidP="00AC4529">
      <w:pPr>
        <w:spacing w:after="0" w:line="480" w:lineRule="auto"/>
        <w:ind w:firstLine="720"/>
        <w:jc w:val="both"/>
      </w:pPr>
      <w:r>
        <w:t xml:space="preserve">In its </w:t>
      </w:r>
      <w:r w:rsidR="00B1065F">
        <w:t>initial brief</w:t>
      </w:r>
      <w:r>
        <w:t xml:space="preserve">, Duke </w:t>
      </w:r>
      <w:r w:rsidR="00040DE3">
        <w:t>repeats</w:t>
      </w:r>
      <w:r>
        <w:t xml:space="preserve"> the arguments raised in its testimony, which were addressed in IEU-Ohio’s </w:t>
      </w:r>
      <w:r w:rsidR="00B1065F">
        <w:t>initial brief</w:t>
      </w:r>
      <w:r>
        <w:t xml:space="preserve">.  </w:t>
      </w:r>
      <w:r w:rsidR="005D3939">
        <w:t xml:space="preserve">According to Duke, </w:t>
      </w:r>
      <w:r>
        <w:t xml:space="preserve">its proposed ESP is </w:t>
      </w:r>
      <w:r w:rsidR="005D3939">
        <w:t xml:space="preserve">quantitatively </w:t>
      </w:r>
      <w:r>
        <w:t>equivalent to an MRO because there is no difference between the cost of generation service procured under its proposed ESP and an MRO.</w:t>
      </w:r>
      <w:r>
        <w:rPr>
          <w:rStyle w:val="FootnoteReference"/>
        </w:rPr>
        <w:footnoteReference w:id="90"/>
      </w:r>
      <w:r>
        <w:t xml:space="preserve">  Duke </w:t>
      </w:r>
      <w:r w:rsidR="00BE5B79">
        <w:t>then</w:t>
      </w:r>
      <w:r>
        <w:t xml:space="preserve"> argues that four non-quantitative benefits to its proposed ESP render the proposed ESP more favorable in the aggregate than an MRO.</w:t>
      </w:r>
      <w:r>
        <w:rPr>
          <w:rStyle w:val="FootnoteReference"/>
        </w:rPr>
        <w:footnoteReference w:id="91"/>
      </w:r>
      <w:r>
        <w:t xml:space="preserve">  Both of Duke’s arguments are incorrect.</w:t>
      </w:r>
    </w:p>
    <w:p w:rsidR="00C9232C" w:rsidRDefault="00C9232C" w:rsidP="00D403B6">
      <w:pPr>
        <w:pStyle w:val="Heading2"/>
      </w:pPr>
      <w:bookmarkStart w:id="129" w:name="_Toc406928592"/>
      <w:bookmarkStart w:id="130" w:name="_Toc407005672"/>
      <w:bookmarkStart w:id="131" w:name="_Toc407005798"/>
      <w:bookmarkStart w:id="132" w:name="_Toc407005854"/>
      <w:bookmarkStart w:id="133" w:name="_Toc407028862"/>
      <w:bookmarkStart w:id="134" w:name="_Toc407185319"/>
      <w:bookmarkStart w:id="135" w:name="_Toc407617138"/>
      <w:bookmarkStart w:id="136" w:name="_Toc407625435"/>
      <w:r>
        <w:t>Duke fails to account for the costs of the PSR in its analysis</w:t>
      </w:r>
      <w:bookmarkEnd w:id="129"/>
      <w:bookmarkEnd w:id="130"/>
      <w:bookmarkEnd w:id="131"/>
      <w:bookmarkEnd w:id="132"/>
      <w:bookmarkEnd w:id="133"/>
      <w:bookmarkEnd w:id="134"/>
      <w:bookmarkEnd w:id="135"/>
      <w:bookmarkEnd w:id="136"/>
    </w:p>
    <w:p w:rsidR="00C9232C" w:rsidRDefault="00C9232C" w:rsidP="00AC4529">
      <w:pPr>
        <w:spacing w:after="0" w:line="480" w:lineRule="auto"/>
        <w:jc w:val="both"/>
      </w:pPr>
      <w:r>
        <w:tab/>
        <w:t>As it did in its testimony, Duke</w:t>
      </w:r>
      <w:r w:rsidR="00040DE3">
        <w:t>’s initial brief</w:t>
      </w:r>
      <w:r>
        <w:t xml:space="preserve"> argues that its proposed ESP is quantitatively equivalent in cost to an MRO because “[a]ll of the SSO generation service under an MRO would have to be procured through a competitive process, just as is proposed for the Company’s next ESP.”</w:t>
      </w:r>
      <w:r>
        <w:rPr>
          <w:rStyle w:val="FootnoteReference"/>
        </w:rPr>
        <w:footnoteReference w:id="92"/>
      </w:r>
      <w:r>
        <w:t xml:space="preserve">  Duke concludes that “[t]he resultant cost of the service must therefore be the same.”</w:t>
      </w:r>
      <w:r>
        <w:rPr>
          <w:rStyle w:val="FootnoteReference"/>
        </w:rPr>
        <w:footnoteReference w:id="93"/>
      </w:r>
      <w:r>
        <w:t xml:space="preserve">  </w:t>
      </w:r>
    </w:p>
    <w:p w:rsidR="00C9232C" w:rsidRDefault="00C9232C" w:rsidP="00AC4529">
      <w:pPr>
        <w:spacing w:after="0" w:line="480" w:lineRule="auto"/>
        <w:ind w:firstLine="720"/>
        <w:jc w:val="both"/>
      </w:pPr>
      <w:r>
        <w:t>In its analysis, however, Duke</w:t>
      </w:r>
      <w:r w:rsidR="00040DE3">
        <w:t xml:space="preserve"> again</w:t>
      </w:r>
      <w:r>
        <w:t xml:space="preserve"> fails to include the cost of the PSR as a cost of the proposed ESP.  The record demonstrates that the PSR is projected to add </w:t>
      </w:r>
      <w:r w:rsidR="00E07391">
        <w:t xml:space="preserve">at least </w:t>
      </w:r>
      <w:r>
        <w:t>$22 million in costs to the ESP.</w:t>
      </w:r>
      <w:r>
        <w:rPr>
          <w:rStyle w:val="FootnoteReference"/>
        </w:rPr>
        <w:footnoteReference w:id="94"/>
      </w:r>
      <w:r>
        <w:t xml:space="preserve">  Because there is no provision of R.C. 4928.142 that would allow for the inclusion of a rider like the PSR under an MRO, the $22 million must be accounted for as a cost of the ESP </w:t>
      </w:r>
      <w:r w:rsidR="00E07391">
        <w:t>for purposes of the ESP v. MRO T</w:t>
      </w:r>
      <w:r>
        <w:t>est.</w:t>
      </w:r>
      <w:r>
        <w:rPr>
          <w:rStyle w:val="FootnoteReference"/>
        </w:rPr>
        <w:footnoteReference w:id="95"/>
      </w:r>
      <w:r>
        <w:t xml:space="preserve">  </w:t>
      </w:r>
      <w:r>
        <w:lastRenderedPageBreak/>
        <w:t>Accordingly, on a quantitative basis, Duke’s proposed ESP is $22 million less favorable than an MRO.</w:t>
      </w:r>
    </w:p>
    <w:p w:rsidR="00C9232C" w:rsidRDefault="00C9232C" w:rsidP="00D403B6">
      <w:pPr>
        <w:pStyle w:val="Heading2"/>
      </w:pPr>
      <w:bookmarkStart w:id="137" w:name="_Toc406928593"/>
      <w:bookmarkStart w:id="138" w:name="_Toc407005673"/>
      <w:bookmarkStart w:id="139" w:name="_Toc407005799"/>
      <w:bookmarkStart w:id="140" w:name="_Toc407005855"/>
      <w:bookmarkStart w:id="141" w:name="_Toc407028863"/>
      <w:bookmarkStart w:id="142" w:name="_Toc407185320"/>
      <w:bookmarkStart w:id="143" w:name="_Toc407617139"/>
      <w:bookmarkStart w:id="144" w:name="_Toc407625436"/>
      <w:r>
        <w:t xml:space="preserve">The </w:t>
      </w:r>
      <w:r w:rsidR="00BE5B79">
        <w:t>Commission</w:t>
      </w:r>
      <w:r w:rsidR="00040DE3">
        <w:t xml:space="preserve"> cannot approve the ESP based on </w:t>
      </w:r>
      <w:r>
        <w:t>alleged non-quantitative benefits</w:t>
      </w:r>
      <w:bookmarkEnd w:id="137"/>
      <w:bookmarkEnd w:id="138"/>
      <w:bookmarkEnd w:id="139"/>
      <w:bookmarkEnd w:id="140"/>
      <w:bookmarkEnd w:id="141"/>
      <w:bookmarkEnd w:id="142"/>
      <w:bookmarkEnd w:id="143"/>
      <w:bookmarkEnd w:id="144"/>
      <w:r>
        <w:t xml:space="preserve"> </w:t>
      </w:r>
    </w:p>
    <w:p w:rsidR="00E07391" w:rsidRDefault="00C9232C" w:rsidP="00AC4529">
      <w:pPr>
        <w:spacing w:after="0" w:line="480" w:lineRule="auto"/>
        <w:jc w:val="both"/>
      </w:pPr>
      <w:r>
        <w:tab/>
      </w:r>
      <w:r w:rsidR="00BE5B79">
        <w:t>In its initial b</w:t>
      </w:r>
      <w:r w:rsidR="00AD2FA2">
        <w:t xml:space="preserve">rief, Duke </w:t>
      </w:r>
      <w:r w:rsidR="00BE5B79">
        <w:t xml:space="preserve">also </w:t>
      </w:r>
      <w:r w:rsidR="00AD2FA2">
        <w:t>argues, as it did in its testimony, that there are four non-quantitative factors that create a “substantial advantage to the ESP” when compared to an MRO.</w:t>
      </w:r>
      <w:r w:rsidR="00AD2FA2">
        <w:rPr>
          <w:rStyle w:val="FootnoteReference"/>
        </w:rPr>
        <w:footnoteReference w:id="96"/>
      </w:r>
      <w:r w:rsidR="00AD2FA2">
        <w:t xml:space="preserve">  According to Duke, these four non-quantitative benefits consist of:  (1) rate design </w:t>
      </w:r>
      <w:r w:rsidR="005D3939">
        <w:t xml:space="preserve">modifications </w:t>
      </w:r>
      <w:r w:rsidR="00AD2FA2">
        <w:t xml:space="preserve">and </w:t>
      </w:r>
      <w:r w:rsidR="005D3939">
        <w:t>the elimination of</w:t>
      </w:r>
      <w:r w:rsidR="00AD2FA2">
        <w:t xml:space="preserve"> non-market-based influences on </w:t>
      </w:r>
      <w:r w:rsidR="00BE5B79">
        <w:t xml:space="preserve">customer </w:t>
      </w:r>
      <w:r w:rsidR="00AD2FA2">
        <w:t xml:space="preserve">behavior; (2) </w:t>
      </w:r>
      <w:r w:rsidR="005D3939">
        <w:t>promotion of</w:t>
      </w:r>
      <w:r w:rsidR="00AD2FA2">
        <w:t xml:space="preserve"> competition through further leveling the playing field between SSO auction winners and CRES providers; (3) improvements to the safety and reliability of the distribution system; and (4) </w:t>
      </w:r>
      <w:r w:rsidR="005D3939">
        <w:t>stabilization of</w:t>
      </w:r>
      <w:r w:rsidR="00AD2FA2">
        <w:t xml:space="preserve"> competitive generation prices for shopping and non-shopping customer</w:t>
      </w:r>
      <w:r w:rsidR="002C019E">
        <w:t>s</w:t>
      </w:r>
      <w:r w:rsidR="00AD2FA2">
        <w:t>.</w:t>
      </w:r>
      <w:r w:rsidR="00AD2FA2">
        <w:rPr>
          <w:rStyle w:val="FootnoteReference"/>
        </w:rPr>
        <w:footnoteReference w:id="97"/>
      </w:r>
      <w:r w:rsidR="00AD2FA2">
        <w:t xml:space="preserve">  </w:t>
      </w:r>
    </w:p>
    <w:p w:rsidR="00AD2FA2" w:rsidRDefault="00E07391" w:rsidP="00E07391">
      <w:pPr>
        <w:spacing w:after="0" w:line="480" w:lineRule="auto"/>
        <w:ind w:firstLine="720"/>
        <w:jc w:val="both"/>
      </w:pPr>
      <w:r>
        <w:t xml:space="preserve">Although Duke relies exclusively on these non-quantitative benefits to support its claim that the proposed ESP satisfies the ESP v. MRO Test, </w:t>
      </w:r>
      <w:r w:rsidR="00EC2C8A">
        <w:t>Duke has not provided any metric by which the Commission can “weigh” these non-quantitative “benefits” against the quantitative harm caused by the ESP relative to an MRO.</w:t>
      </w:r>
      <w:r>
        <w:rPr>
          <w:rStyle w:val="FootnoteReference"/>
        </w:rPr>
        <w:footnoteReference w:id="98"/>
      </w:r>
      <w:r>
        <w:t xml:space="preserve">  </w:t>
      </w:r>
      <w:r w:rsidR="00C9232C">
        <w:t>R.C. 4903.09</w:t>
      </w:r>
      <w:r>
        <w:t>, however,</w:t>
      </w:r>
      <w:r w:rsidR="00C9232C">
        <w:t xml:space="preserve"> requires the Commission to base its decisions upon record evidence, and conversely, </w:t>
      </w:r>
      <w:r w:rsidR="00EC2C8A">
        <w:t xml:space="preserve">the Commission </w:t>
      </w:r>
      <w:r w:rsidR="00C9232C">
        <w:t>cannot base its decisions on “subjective belief, wishful thinking, or folk wisdom.”</w:t>
      </w:r>
      <w:r w:rsidR="00C9232C">
        <w:rPr>
          <w:rStyle w:val="FootnoteReference"/>
        </w:rPr>
        <w:footnoteReference w:id="99"/>
      </w:r>
      <w:r w:rsidR="00BE5B79">
        <w:t xml:space="preserve">  </w:t>
      </w:r>
      <w:r w:rsidR="00040DE3">
        <w:t>It is now too late for Duke to fill that gap in the record.</w:t>
      </w:r>
    </w:p>
    <w:p w:rsidR="00BE5B79" w:rsidRDefault="00BE5B79" w:rsidP="00AC4529">
      <w:pPr>
        <w:spacing w:after="0" w:line="480" w:lineRule="auto"/>
        <w:ind w:firstLine="720"/>
        <w:jc w:val="both"/>
      </w:pPr>
      <w:r>
        <w:t>Moreover, c</w:t>
      </w:r>
      <w:r w:rsidR="00AD2FA2">
        <w:t>hanges</w:t>
      </w:r>
      <w:r w:rsidR="00C9232C">
        <w:t xml:space="preserve"> in rate design and the leveling of the playing field, through additional rate design changes, between SSO auction winners and CRES providers do </w:t>
      </w:r>
      <w:r w:rsidR="00C9232C">
        <w:lastRenderedPageBreak/>
        <w:t xml:space="preserve">not provide benefits unique to an ESP.  </w:t>
      </w:r>
      <w:r w:rsidR="00AD2FA2">
        <w:t>As IEU-Ohio showed in its initial brief, t</w:t>
      </w:r>
      <w:r w:rsidR="00C9232C">
        <w:t xml:space="preserve">he rate design changes identified by Duke in its first two alleged non-quantitative benefits </w:t>
      </w:r>
      <w:r w:rsidR="00E07391">
        <w:t>also are available to Duke</w:t>
      </w:r>
      <w:r w:rsidR="00C9232C">
        <w:t xml:space="preserve"> under an MRO and therefore are not a non-quantitative benefit of the proposed ESP when compared to an MRO.</w:t>
      </w:r>
      <w:r w:rsidR="00AD2FA2">
        <w:rPr>
          <w:rStyle w:val="FootnoteReference"/>
        </w:rPr>
        <w:footnoteReference w:id="100"/>
      </w:r>
      <w:r w:rsidR="00C9232C">
        <w:t xml:space="preserve">  </w:t>
      </w:r>
    </w:p>
    <w:p w:rsidR="00C9232C" w:rsidRDefault="00EC2C8A" w:rsidP="00AC4529">
      <w:pPr>
        <w:spacing w:after="0" w:line="480" w:lineRule="auto"/>
        <w:ind w:firstLine="720"/>
        <w:jc w:val="both"/>
      </w:pPr>
      <w:r>
        <w:t xml:space="preserve">Likewise, </w:t>
      </w:r>
      <w:r w:rsidR="00C9232C">
        <w:t xml:space="preserve">any safety and reliability improvements that result from investments in </w:t>
      </w:r>
      <w:r>
        <w:t xml:space="preserve">Duke’s </w:t>
      </w:r>
      <w:r w:rsidR="00C9232C">
        <w:t>distribution system could be achieved</w:t>
      </w:r>
      <w:r w:rsidR="00AD2FA2">
        <w:t xml:space="preserve"> </w:t>
      </w:r>
      <w:r w:rsidR="00C9232C">
        <w:t>under a base distribution rate case.</w:t>
      </w:r>
      <w:r w:rsidR="00C9232C">
        <w:rPr>
          <w:rStyle w:val="FootnoteReference"/>
        </w:rPr>
        <w:footnoteReference w:id="101"/>
      </w:r>
      <w:r w:rsidR="00C9232C">
        <w:t xml:space="preserve">  </w:t>
      </w:r>
      <w:r w:rsidR="00AD2FA2">
        <w:t>The accelerated cost recovery that Duke is seeking through the distribution rider, moreover, would result in</w:t>
      </w:r>
      <w:r w:rsidR="00C9232C">
        <w:t xml:space="preserve"> actual quantitative costs for customers.</w:t>
      </w:r>
      <w:r w:rsidR="00040DE3">
        <w:rPr>
          <w:rStyle w:val="FootnoteReference"/>
        </w:rPr>
        <w:footnoteReference w:id="102"/>
      </w:r>
      <w:r w:rsidR="00C9232C">
        <w:t xml:space="preserve">  </w:t>
      </w:r>
      <w:r w:rsidR="00AD2FA2">
        <w:t>Rather than being a benefit of the ESP</w:t>
      </w:r>
      <w:r w:rsidR="00C9232C">
        <w:t>, accelerated cost recovery under Rider DCI should be considered as an additional cost of the ESP.</w:t>
      </w:r>
    </w:p>
    <w:p w:rsidR="00C9232C" w:rsidRDefault="00C9232C" w:rsidP="00AC4529">
      <w:pPr>
        <w:spacing w:after="0" w:line="480" w:lineRule="auto"/>
        <w:jc w:val="both"/>
      </w:pPr>
      <w:r>
        <w:tab/>
        <w:t xml:space="preserve">Finally, </w:t>
      </w:r>
      <w:r w:rsidR="00EC2C8A">
        <w:t>Duke’s claim that the</w:t>
      </w:r>
      <w:r>
        <w:t xml:space="preserve"> PSR will provide stable prices to customers</w:t>
      </w:r>
      <w:r w:rsidR="00EC2C8A">
        <w:t xml:space="preserve"> is not supported by the record</w:t>
      </w:r>
      <w:r>
        <w:t>.  The rider</w:t>
      </w:r>
      <w:r w:rsidR="00EC2C8A">
        <w:t xml:space="preserve"> </w:t>
      </w:r>
      <w:r>
        <w:t xml:space="preserve">will </w:t>
      </w:r>
      <w:r w:rsidR="00BE5B79">
        <w:t>inject</w:t>
      </w:r>
      <w:r>
        <w:t xml:space="preserve"> an additional level of price instability in bills of both SSO and shopping customers.  </w:t>
      </w:r>
      <w:r w:rsidR="00AD2FA2">
        <w:t xml:space="preserve">The rider also will result in an objective cost to customers; </w:t>
      </w:r>
      <w:r w:rsidR="00BE5B79">
        <w:t>the record</w:t>
      </w:r>
      <w:r>
        <w:t xml:space="preserve"> show</w:t>
      </w:r>
      <w:r w:rsidR="001E1456">
        <w:t>s</w:t>
      </w:r>
      <w:r>
        <w:t xml:space="preserve"> that the PSR is likely to result in an additional charge to customers of </w:t>
      </w:r>
      <w:r w:rsidR="000249AE">
        <w:t xml:space="preserve">at least </w:t>
      </w:r>
      <w:r>
        <w:t>$22 million.</w:t>
      </w:r>
      <w:r>
        <w:rPr>
          <w:rStyle w:val="FootnoteReference"/>
        </w:rPr>
        <w:footnoteReference w:id="103"/>
      </w:r>
      <w:r>
        <w:t xml:space="preserve">  </w:t>
      </w:r>
      <w:r w:rsidR="000249AE">
        <w:t xml:space="preserve">As </w:t>
      </w:r>
      <w:r w:rsidR="00BE5B79">
        <w:t xml:space="preserve">an </w:t>
      </w:r>
      <w:r w:rsidR="00FB7806">
        <w:t>Office of the Consumers’ Counsel (“</w:t>
      </w:r>
      <w:r>
        <w:t>OCC</w:t>
      </w:r>
      <w:r w:rsidR="00FB7806">
        <w:t>”)</w:t>
      </w:r>
      <w:r>
        <w:t xml:space="preserve"> witness </w:t>
      </w:r>
      <w:r w:rsidR="000249AE">
        <w:t>indicated,</w:t>
      </w:r>
      <w:r>
        <w:t xml:space="preserve"> </w:t>
      </w:r>
      <w:r w:rsidR="00BE5B79">
        <w:t>however, the</w:t>
      </w:r>
      <w:r>
        <w:t xml:space="preserve"> analysis producing the $22 million in projected costs understates the costs that customers would ultimately bear if the rider is approved.</w:t>
      </w:r>
      <w:r>
        <w:rPr>
          <w:rStyle w:val="FootnoteReference"/>
        </w:rPr>
        <w:footnoteReference w:id="104"/>
      </w:r>
      <w:r>
        <w:t xml:space="preserve">  Thus, th</w:t>
      </w:r>
      <w:r w:rsidR="00EC2C8A">
        <w:t xml:space="preserve">e PSR should be considered as at least a </w:t>
      </w:r>
      <w:r>
        <w:t xml:space="preserve">$22 million quantitative cost of the </w:t>
      </w:r>
      <w:r>
        <w:lastRenderedPageBreak/>
        <w:t>proposed ESP and a further non-quantitative harm to customers in the form of additional price instability and uncertainty.</w:t>
      </w:r>
    </w:p>
    <w:p w:rsidR="00C9232C" w:rsidRDefault="00C9232C" w:rsidP="00AC4529">
      <w:pPr>
        <w:spacing w:after="240" w:line="480" w:lineRule="auto"/>
        <w:jc w:val="both"/>
      </w:pPr>
      <w:r>
        <w:tab/>
        <w:t>In sum</w:t>
      </w:r>
      <w:r w:rsidR="00FB7806">
        <w:t>mary</w:t>
      </w:r>
      <w:r>
        <w:t xml:space="preserve">, </w:t>
      </w:r>
      <w:r w:rsidR="001E1456">
        <w:t xml:space="preserve">Duke does not offer a method for the Commission to weigh the alleged non-quantitative benefits against the known costs of the ESP, and </w:t>
      </w:r>
      <w:r>
        <w:t xml:space="preserve">the four alleged non-quantitative benefits cited by Duke are either more appropriately classified as additional costs of the ESP or are not unique to Duke’s ESP.  </w:t>
      </w:r>
      <w:r w:rsidR="001E1456">
        <w:t>Because</w:t>
      </w:r>
      <w:r>
        <w:t xml:space="preserve"> Duke’s proposed ESP is less favorable than an MRO, the Commission must either reject the ESP or modify it</w:t>
      </w:r>
      <w:r w:rsidR="000249AE">
        <w:t xml:space="preserve">.  </w:t>
      </w:r>
      <w:r w:rsidR="002C019E">
        <w:t xml:space="preserve">If the Commission does modify the ESP, a </w:t>
      </w:r>
      <w:r w:rsidR="000249AE">
        <w:t>necessary first step would be to remove the illegal and unreasonable PSR</w:t>
      </w:r>
      <w:r>
        <w:t>.</w:t>
      </w:r>
    </w:p>
    <w:p w:rsidR="00C9232C" w:rsidRDefault="00DA68E1" w:rsidP="00D403B6">
      <w:pPr>
        <w:pStyle w:val="Heading1"/>
      </w:pPr>
      <w:bookmarkStart w:id="145" w:name="_Toc406928594"/>
      <w:bookmarkStart w:id="146" w:name="_Toc407005674"/>
      <w:bookmarkStart w:id="147" w:name="_Toc407005800"/>
      <w:bookmarkStart w:id="148" w:name="_Toc407005856"/>
      <w:bookmarkStart w:id="149" w:name="_Toc407028864"/>
      <w:bookmarkStart w:id="150" w:name="_Toc407185321"/>
      <w:bookmarkStart w:id="151" w:name="_Toc407617140"/>
      <w:bookmarkStart w:id="152" w:name="_Toc407625437"/>
      <w:r>
        <w:t>Conclusion</w:t>
      </w:r>
      <w:bookmarkEnd w:id="145"/>
      <w:bookmarkEnd w:id="146"/>
      <w:bookmarkEnd w:id="147"/>
      <w:bookmarkEnd w:id="148"/>
      <w:bookmarkEnd w:id="149"/>
      <w:bookmarkEnd w:id="150"/>
      <w:bookmarkEnd w:id="151"/>
      <w:bookmarkEnd w:id="152"/>
    </w:p>
    <w:p w:rsidR="00DA68E1" w:rsidRDefault="00E07391" w:rsidP="00AC4529">
      <w:pPr>
        <w:spacing w:line="480" w:lineRule="auto"/>
        <w:ind w:firstLine="720"/>
        <w:jc w:val="both"/>
      </w:pPr>
      <w:r>
        <w:t xml:space="preserve">The Commission should not authorize the PSR because </w:t>
      </w:r>
      <w:r w:rsidR="00DA68E1">
        <w:t xml:space="preserve">Duke has not demonstrated that the </w:t>
      </w:r>
      <w:r w:rsidR="00EC2C8A">
        <w:t>PSR</w:t>
      </w:r>
      <w:r w:rsidR="00DA68E1">
        <w:t xml:space="preserve"> is lawful or that authorization of the rider is reasonable.  Additionally, the Commission should not approve the proposed ESP without modifications because it fails an objective, cost-based appli</w:t>
      </w:r>
      <w:r>
        <w:t>cation of the ESP v. MRO Test.</w:t>
      </w:r>
    </w:p>
    <w:p w:rsidR="00DA68E1" w:rsidRDefault="00DA68E1" w:rsidP="00AC4529">
      <w:pPr>
        <w:tabs>
          <w:tab w:val="left" w:pos="-1440"/>
          <w:tab w:val="left" w:pos="-720"/>
          <w:tab w:val="left" w:pos="4680"/>
          <w:tab w:val="left" w:pos="5040"/>
          <w:tab w:val="left" w:pos="8640"/>
        </w:tabs>
        <w:spacing w:after="240"/>
        <w:ind w:firstLine="4320"/>
        <w:jc w:val="both"/>
        <w:rPr>
          <w:rFonts w:cs="Arial"/>
          <w:szCs w:val="20"/>
        </w:rPr>
      </w:pPr>
      <w:r>
        <w:rPr>
          <w:rFonts w:cs="Arial"/>
        </w:rPr>
        <w:t>Respectfully submitted,</w:t>
      </w:r>
    </w:p>
    <w:p w:rsidR="00DA68E1" w:rsidRDefault="00DA68E1" w:rsidP="00D403B6">
      <w:pPr>
        <w:tabs>
          <w:tab w:val="left" w:pos="-1440"/>
          <w:tab w:val="left" w:pos="-720"/>
          <w:tab w:val="left" w:pos="4680"/>
          <w:tab w:val="left" w:pos="8640"/>
        </w:tabs>
        <w:ind w:firstLine="4320"/>
        <w:jc w:val="both"/>
        <w:rPr>
          <w:rFonts w:cs="Arial"/>
          <w:i/>
          <w:szCs w:val="20"/>
        </w:rPr>
      </w:pPr>
      <w:r>
        <w:rPr>
          <w:rFonts w:cs="Arial"/>
          <w:i/>
          <w:u w:val="single"/>
        </w:rPr>
        <w:t>/s/ Frank P. Darr</w:t>
      </w:r>
      <w:r>
        <w:rPr>
          <w:rFonts w:cs="Arial"/>
          <w:i/>
          <w:u w:val="single"/>
        </w:rPr>
        <w:tab/>
      </w:r>
      <w:r>
        <w:rPr>
          <w:rFonts w:cs="Arial"/>
          <w:i/>
          <w:u w:val="single"/>
        </w:rPr>
        <w:tab/>
      </w:r>
    </w:p>
    <w:p w:rsidR="00DA68E1" w:rsidRDefault="00DA68E1" w:rsidP="00324FCB">
      <w:pPr>
        <w:tabs>
          <w:tab w:val="left" w:pos="-1440"/>
          <w:tab w:val="left" w:pos="-720"/>
          <w:tab w:val="left" w:pos="4680"/>
          <w:tab w:val="left" w:pos="5040"/>
        </w:tabs>
        <w:spacing w:after="0"/>
        <w:ind w:firstLine="4320"/>
        <w:jc w:val="both"/>
        <w:rPr>
          <w:rFonts w:cs="Arial"/>
        </w:rPr>
      </w:pPr>
      <w:r>
        <w:rPr>
          <w:rFonts w:cs="Arial"/>
        </w:rPr>
        <w:t>Frank P. Darr (Counsel of Record)</w:t>
      </w:r>
    </w:p>
    <w:p w:rsidR="00DA68E1" w:rsidRDefault="00DA68E1" w:rsidP="00324FCB">
      <w:pPr>
        <w:tabs>
          <w:tab w:val="left" w:pos="-1440"/>
          <w:tab w:val="left" w:pos="-720"/>
          <w:tab w:val="left" w:pos="4680"/>
          <w:tab w:val="left" w:pos="5040"/>
        </w:tabs>
        <w:spacing w:after="0"/>
        <w:ind w:firstLine="4320"/>
        <w:jc w:val="both"/>
        <w:rPr>
          <w:rFonts w:cs="Arial"/>
        </w:rPr>
      </w:pPr>
      <w:r>
        <w:rPr>
          <w:rFonts w:cs="Arial"/>
        </w:rPr>
        <w:t>Matthew Pritchard</w:t>
      </w:r>
    </w:p>
    <w:p w:rsidR="00DA68E1" w:rsidRDefault="00DA68E1" w:rsidP="00324FCB">
      <w:pPr>
        <w:tabs>
          <w:tab w:val="left" w:pos="-1440"/>
          <w:tab w:val="left" w:pos="-720"/>
          <w:tab w:val="left" w:pos="4680"/>
          <w:tab w:val="left" w:pos="5040"/>
        </w:tabs>
        <w:spacing w:after="0"/>
        <w:ind w:firstLine="4320"/>
        <w:jc w:val="both"/>
        <w:rPr>
          <w:rFonts w:cs="Arial"/>
          <w:sz w:val="16"/>
          <w:szCs w:val="20"/>
        </w:rPr>
      </w:pPr>
      <w:r>
        <w:rPr>
          <w:rFonts w:cs="Arial"/>
          <w:smallCaps/>
        </w:rPr>
        <w:t>McNees Wallace &amp; Nurick LLC</w:t>
      </w:r>
    </w:p>
    <w:p w:rsidR="00DA68E1" w:rsidRDefault="00DA68E1" w:rsidP="00324FCB">
      <w:pPr>
        <w:tabs>
          <w:tab w:val="left" w:pos="-1440"/>
          <w:tab w:val="left" w:pos="-720"/>
          <w:tab w:val="left" w:pos="4680"/>
          <w:tab w:val="left" w:pos="5040"/>
        </w:tabs>
        <w:spacing w:after="0"/>
        <w:ind w:firstLine="4320"/>
        <w:jc w:val="both"/>
        <w:rPr>
          <w:rFonts w:cs="Arial"/>
          <w:szCs w:val="20"/>
        </w:rPr>
      </w:pPr>
      <w:r>
        <w:rPr>
          <w:rFonts w:cs="Arial"/>
        </w:rPr>
        <w:t>Fifth Third Center</w:t>
      </w:r>
    </w:p>
    <w:p w:rsidR="00DA68E1" w:rsidRDefault="00DA68E1" w:rsidP="00324FCB">
      <w:pPr>
        <w:tabs>
          <w:tab w:val="left" w:pos="-1440"/>
          <w:tab w:val="left" w:pos="-720"/>
          <w:tab w:val="left" w:pos="4680"/>
          <w:tab w:val="left" w:pos="5040"/>
        </w:tabs>
        <w:spacing w:after="0"/>
        <w:ind w:firstLine="4320"/>
        <w:jc w:val="both"/>
        <w:rPr>
          <w:rFonts w:cs="Arial"/>
          <w:szCs w:val="20"/>
        </w:rPr>
      </w:pPr>
      <w:r>
        <w:rPr>
          <w:rFonts w:cs="Arial"/>
        </w:rPr>
        <w:t>21 East State Street, 17</w:t>
      </w:r>
      <w:r>
        <w:rPr>
          <w:rFonts w:cs="Arial"/>
          <w:vertAlign w:val="superscript"/>
        </w:rPr>
        <w:t>th</w:t>
      </w:r>
      <w:r>
        <w:rPr>
          <w:rFonts w:cs="Arial"/>
        </w:rPr>
        <w:t xml:space="preserve"> Floor</w:t>
      </w:r>
    </w:p>
    <w:p w:rsidR="00DA68E1" w:rsidRDefault="00DA68E1" w:rsidP="00324FCB">
      <w:pPr>
        <w:tabs>
          <w:tab w:val="left" w:pos="-1440"/>
          <w:tab w:val="left" w:pos="-720"/>
          <w:tab w:val="left" w:pos="4680"/>
          <w:tab w:val="left" w:pos="5040"/>
        </w:tabs>
        <w:spacing w:after="0"/>
        <w:ind w:firstLine="4320"/>
        <w:jc w:val="both"/>
        <w:rPr>
          <w:rFonts w:cs="Arial"/>
        </w:rPr>
      </w:pPr>
      <w:r>
        <w:rPr>
          <w:rFonts w:cs="Arial"/>
        </w:rPr>
        <w:t>Columbus, OH  43215-4228</w:t>
      </w:r>
    </w:p>
    <w:p w:rsidR="00DA68E1" w:rsidRDefault="00DA68E1" w:rsidP="00324FCB">
      <w:pPr>
        <w:tabs>
          <w:tab w:val="left" w:pos="-1440"/>
          <w:tab w:val="left" w:pos="-720"/>
          <w:tab w:val="left" w:pos="4680"/>
          <w:tab w:val="left" w:pos="5040"/>
        </w:tabs>
        <w:spacing w:after="0"/>
        <w:ind w:firstLine="4320"/>
        <w:jc w:val="both"/>
        <w:rPr>
          <w:rFonts w:cs="Arial"/>
          <w:szCs w:val="20"/>
        </w:rPr>
      </w:pPr>
      <w:r>
        <w:rPr>
          <w:rFonts w:cs="Arial"/>
        </w:rPr>
        <w:t>Telephone:  (614) 469-8000</w:t>
      </w:r>
    </w:p>
    <w:p w:rsidR="00DA68E1" w:rsidRDefault="00DA68E1" w:rsidP="00324FCB">
      <w:pPr>
        <w:tabs>
          <w:tab w:val="left" w:pos="-1440"/>
          <w:tab w:val="left" w:pos="-720"/>
          <w:tab w:val="left" w:pos="4680"/>
          <w:tab w:val="left" w:pos="5040"/>
        </w:tabs>
        <w:spacing w:after="0"/>
        <w:ind w:firstLine="4320"/>
        <w:jc w:val="both"/>
        <w:rPr>
          <w:rFonts w:cs="Arial"/>
        </w:rPr>
      </w:pPr>
      <w:r>
        <w:rPr>
          <w:rFonts w:cs="Arial"/>
        </w:rPr>
        <w:t>Telecopier:  (614) 469-4653</w:t>
      </w:r>
    </w:p>
    <w:p w:rsidR="00DA68E1" w:rsidRDefault="00DA68E1" w:rsidP="00324FCB">
      <w:pPr>
        <w:tabs>
          <w:tab w:val="left" w:pos="-1440"/>
          <w:tab w:val="left" w:pos="-720"/>
          <w:tab w:val="left" w:pos="4680"/>
          <w:tab w:val="left" w:pos="5040"/>
        </w:tabs>
        <w:spacing w:after="0"/>
        <w:ind w:firstLine="4320"/>
        <w:jc w:val="both"/>
        <w:rPr>
          <w:rFonts w:cs="Arial"/>
        </w:rPr>
      </w:pPr>
      <w:r>
        <w:rPr>
          <w:rFonts w:cs="Arial"/>
        </w:rPr>
        <w:t>fdarr@mwncmh.com</w:t>
      </w:r>
    </w:p>
    <w:p w:rsidR="00DA68E1" w:rsidRDefault="00DA68E1" w:rsidP="00324FCB">
      <w:pPr>
        <w:tabs>
          <w:tab w:val="left" w:pos="-1440"/>
          <w:tab w:val="left" w:pos="-720"/>
          <w:tab w:val="left" w:pos="4680"/>
          <w:tab w:val="left" w:pos="5040"/>
        </w:tabs>
        <w:spacing w:after="0"/>
        <w:ind w:firstLine="4320"/>
        <w:jc w:val="both"/>
        <w:rPr>
          <w:rFonts w:cs="Arial"/>
        </w:rPr>
      </w:pPr>
      <w:r>
        <w:rPr>
          <w:rFonts w:cs="Arial"/>
        </w:rPr>
        <w:t>mpritchard@mwncmh.com</w:t>
      </w:r>
    </w:p>
    <w:p w:rsidR="00DA68E1" w:rsidRDefault="00DA68E1" w:rsidP="00324FCB">
      <w:pPr>
        <w:tabs>
          <w:tab w:val="left" w:pos="-1440"/>
          <w:tab w:val="left" w:pos="-720"/>
          <w:tab w:val="left" w:pos="4680"/>
          <w:tab w:val="left" w:pos="5040"/>
        </w:tabs>
        <w:spacing w:after="0"/>
        <w:ind w:firstLine="4320"/>
        <w:jc w:val="both"/>
        <w:rPr>
          <w:rFonts w:cs="Arial"/>
          <w:szCs w:val="20"/>
        </w:rPr>
      </w:pPr>
    </w:p>
    <w:p w:rsidR="0081415E" w:rsidRDefault="00DA68E1" w:rsidP="00324FCB">
      <w:pPr>
        <w:tabs>
          <w:tab w:val="left" w:pos="-1440"/>
          <w:tab w:val="left" w:pos="-720"/>
          <w:tab w:val="left" w:pos="4680"/>
          <w:tab w:val="left" w:pos="5040"/>
        </w:tabs>
        <w:spacing w:after="0"/>
        <w:ind w:right="-1008" w:firstLine="4320"/>
        <w:jc w:val="both"/>
        <w:rPr>
          <w:rFonts w:cs="Arial"/>
          <w:b/>
          <w:szCs w:val="20"/>
        </w:rPr>
      </w:pPr>
      <w:r>
        <w:rPr>
          <w:rFonts w:cs="Arial"/>
          <w:b/>
          <w:szCs w:val="20"/>
        </w:rPr>
        <w:t>Attorney</w:t>
      </w:r>
      <w:r w:rsidR="0081415E">
        <w:rPr>
          <w:rFonts w:cs="Arial"/>
          <w:b/>
          <w:szCs w:val="20"/>
        </w:rPr>
        <w:t>s</w:t>
      </w:r>
      <w:r>
        <w:rPr>
          <w:rFonts w:cs="Arial"/>
          <w:b/>
          <w:szCs w:val="20"/>
        </w:rPr>
        <w:t xml:space="preserve"> for Industrial Energy Users-Ohio</w:t>
      </w:r>
    </w:p>
    <w:p w:rsidR="0081415E" w:rsidRPr="0081415E" w:rsidRDefault="0081415E">
      <w:pPr>
        <w:jc w:val="center"/>
        <w:rPr>
          <w:rFonts w:ascii="Arial Bold" w:eastAsia="Calibri" w:hAnsi="Arial Bold" w:cs="Arial"/>
          <w:b/>
          <w:smallCaps/>
          <w:sz w:val="28"/>
          <w:szCs w:val="28"/>
          <w:u w:val="single"/>
        </w:rPr>
      </w:pPr>
      <w:r>
        <w:rPr>
          <w:rFonts w:cs="Arial"/>
          <w:b/>
          <w:szCs w:val="20"/>
        </w:rPr>
        <w:br w:type="page"/>
      </w:r>
      <w:r w:rsidRPr="0081415E">
        <w:rPr>
          <w:rFonts w:ascii="Arial Bold" w:eastAsia="Calibri" w:hAnsi="Arial Bold" w:cs="Arial"/>
          <w:b/>
          <w:smallCaps/>
          <w:sz w:val="28"/>
          <w:szCs w:val="28"/>
          <w:u w:val="single"/>
        </w:rPr>
        <w:lastRenderedPageBreak/>
        <w:t>Certificate Of Service</w:t>
      </w:r>
    </w:p>
    <w:p w:rsidR="0081415E" w:rsidRPr="0081415E" w:rsidRDefault="0081415E" w:rsidP="00AC4529">
      <w:pPr>
        <w:rPr>
          <w:rFonts w:ascii="Arial Bold" w:eastAsia="Calibri" w:hAnsi="Arial Bold" w:cs="Arial"/>
          <w:b/>
          <w:smallCaps/>
          <w:u w:val="single"/>
        </w:rPr>
      </w:pPr>
    </w:p>
    <w:p w:rsidR="0081415E" w:rsidRPr="0081415E" w:rsidRDefault="0081415E" w:rsidP="00AC4529">
      <w:pPr>
        <w:tabs>
          <w:tab w:val="left" w:pos="-1440"/>
          <w:tab w:val="left" w:pos="-720"/>
          <w:tab w:val="left" w:pos="5040"/>
          <w:tab w:val="center" w:pos="7200"/>
        </w:tabs>
        <w:overflowPunct w:val="0"/>
        <w:autoSpaceDE w:val="0"/>
        <w:autoSpaceDN w:val="0"/>
        <w:adjustRightInd w:val="0"/>
        <w:spacing w:line="480" w:lineRule="auto"/>
        <w:ind w:firstLine="720"/>
        <w:jc w:val="both"/>
        <w:rPr>
          <w:rFonts w:eastAsia="Calibri" w:cs="Times New Roman"/>
        </w:rPr>
      </w:pPr>
      <w:r w:rsidRPr="0081415E">
        <w:rPr>
          <w:rFonts w:eastAsia="Calibri" w:cs="Times New Roman"/>
        </w:rPr>
        <w:t xml:space="preserve">In accordance with Rule 4901-1-05, Ohio Administrative Code, the </w:t>
      </w:r>
      <w:r>
        <w:rPr>
          <w:rFonts w:eastAsia="Calibri" w:cs="Times New Roman"/>
        </w:rPr>
        <w:t>Commission’s</w:t>
      </w:r>
      <w:r w:rsidRPr="0081415E">
        <w:rPr>
          <w:rFonts w:eastAsia="Calibri" w:cs="Times New Roman"/>
        </w:rPr>
        <w:t xml:space="preserve"> e-filing system will electronically serve notice of the filing of this document upon the following parties.  In addition, I hereby certify that a service copy of the foregoing </w:t>
      </w:r>
      <w:r>
        <w:rPr>
          <w:rFonts w:eastAsia="Calibri" w:cs="Times New Roman"/>
          <w:i/>
        </w:rPr>
        <w:t>Reply</w:t>
      </w:r>
      <w:r w:rsidRPr="0081415E">
        <w:rPr>
          <w:rFonts w:eastAsia="Calibri" w:cs="Times New Roman"/>
          <w:i/>
        </w:rPr>
        <w:t xml:space="preserve"> Brief of Industrial Energy Users-Ohio </w:t>
      </w:r>
      <w:r w:rsidRPr="0081415E">
        <w:rPr>
          <w:rFonts w:eastAsia="Calibri" w:cs="Times New Roman"/>
        </w:rPr>
        <w:t>was sent by, or on behalf of, the undersigned counsel for IEU-Ohio to the fol</w:t>
      </w:r>
      <w:r>
        <w:rPr>
          <w:rFonts w:eastAsia="Calibri" w:cs="Times New Roman"/>
        </w:rPr>
        <w:t>lowing parties of record this 29th</w:t>
      </w:r>
      <w:r w:rsidRPr="0081415E">
        <w:rPr>
          <w:rFonts w:eastAsia="Calibri" w:cs="Times New Roman"/>
        </w:rPr>
        <w:t xml:space="preserve"> day of December 2014, </w:t>
      </w:r>
      <w:r w:rsidRPr="0081415E">
        <w:rPr>
          <w:rFonts w:eastAsia="Calibri" w:cs="Times New Roman"/>
          <w:i/>
        </w:rPr>
        <w:t>via</w:t>
      </w:r>
      <w:r w:rsidRPr="0081415E">
        <w:rPr>
          <w:rFonts w:eastAsia="Calibri" w:cs="Times New Roman"/>
        </w:rPr>
        <w:t xml:space="preserve"> electronic transmission.</w:t>
      </w:r>
      <w:r w:rsidRPr="0081415E">
        <w:rPr>
          <w:rFonts w:eastAsia="Calibri" w:cs="Times New Roman"/>
          <w:sz w:val="20"/>
          <w:szCs w:val="20"/>
        </w:rPr>
        <w:t xml:space="preserve"> </w:t>
      </w:r>
    </w:p>
    <w:p w:rsidR="0081415E" w:rsidRPr="0081415E" w:rsidRDefault="0081415E" w:rsidP="002B30F0">
      <w:pPr>
        <w:tabs>
          <w:tab w:val="left" w:pos="-1440"/>
          <w:tab w:val="left" w:pos="-720"/>
          <w:tab w:val="left" w:pos="5040"/>
          <w:tab w:val="center" w:pos="7200"/>
          <w:tab w:val="right" w:pos="9360"/>
        </w:tabs>
        <w:spacing w:after="0"/>
        <w:ind w:firstLine="5040"/>
        <w:rPr>
          <w:rFonts w:eastAsia="Calibri" w:cs="Arial"/>
          <w:i/>
        </w:rPr>
      </w:pPr>
      <w:r w:rsidRPr="0081415E">
        <w:rPr>
          <w:rFonts w:eastAsia="Calibri" w:cs="Arial"/>
          <w:i/>
          <w:u w:val="single"/>
        </w:rPr>
        <w:t>/s/ Frank P. Darr</w:t>
      </w:r>
      <w:r w:rsidRPr="0081415E">
        <w:rPr>
          <w:rFonts w:eastAsia="Calibri" w:cs="Arial"/>
          <w:i/>
          <w:u w:val="single"/>
        </w:rPr>
        <w:tab/>
      </w:r>
      <w:r w:rsidRPr="0081415E">
        <w:rPr>
          <w:rFonts w:eastAsia="Calibri" w:cs="Arial"/>
          <w:i/>
          <w:u w:val="single"/>
        </w:rPr>
        <w:tab/>
      </w:r>
    </w:p>
    <w:p w:rsidR="0081415E" w:rsidRPr="0081415E" w:rsidRDefault="0081415E" w:rsidP="000510DD">
      <w:pPr>
        <w:tabs>
          <w:tab w:val="left" w:pos="4320"/>
          <w:tab w:val="center" w:pos="6840"/>
        </w:tabs>
        <w:rPr>
          <w:rFonts w:eastAsia="Calibri" w:cs="Arial"/>
        </w:rPr>
      </w:pPr>
      <w:r w:rsidRPr="0081415E">
        <w:rPr>
          <w:rFonts w:ascii="Times New Roman" w:eastAsia="Calibri" w:hAnsi="Times New Roman" w:cs="Arial"/>
        </w:rPr>
        <w:tab/>
      </w:r>
      <w:r w:rsidRPr="0081415E">
        <w:rPr>
          <w:rFonts w:ascii="Times New Roman" w:eastAsia="Calibri" w:hAnsi="Times New Roman" w:cs="Arial"/>
        </w:rPr>
        <w:tab/>
      </w:r>
      <w:r w:rsidRPr="0081415E">
        <w:rPr>
          <w:rFonts w:eastAsia="Calibri" w:cs="Arial"/>
        </w:rPr>
        <w:t>Frank P. Darr</w:t>
      </w:r>
    </w:p>
    <w:p w:rsidR="0081415E" w:rsidRPr="0081415E" w:rsidRDefault="0081415E" w:rsidP="000510DD">
      <w:pPr>
        <w:tabs>
          <w:tab w:val="left" w:pos="2160"/>
          <w:tab w:val="left" w:pos="2280"/>
        </w:tabs>
        <w:rPr>
          <w:rFonts w:eastAsia="Times New Roman" w:cs="Arial"/>
        </w:rPr>
      </w:pPr>
    </w:p>
    <w:p w:rsidR="0081415E" w:rsidRPr="0081415E" w:rsidRDefault="0081415E" w:rsidP="000510DD">
      <w:pPr>
        <w:autoSpaceDE w:val="0"/>
        <w:autoSpaceDN w:val="0"/>
        <w:adjustRightInd w:val="0"/>
        <w:rPr>
          <w:rFonts w:eastAsia="Calibri" w:cs="Arial"/>
        </w:rPr>
        <w:sectPr w:rsidR="0081415E" w:rsidRPr="0081415E">
          <w:pgSz w:w="12240" w:h="15840" w:code="1"/>
          <w:pgMar w:top="1440" w:right="1440" w:bottom="1141" w:left="1440" w:header="720" w:footer="720" w:gutter="0"/>
          <w:pgNumType w:start="1"/>
          <w:cols w:space="720"/>
          <w:titlePg/>
          <w:docGrid w:linePitch="326"/>
        </w:sectPr>
      </w:pPr>
      <w:bookmarkStart w:id="153" w:name="_GoBack"/>
      <w:bookmarkEnd w:id="153"/>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lastRenderedPageBreak/>
        <w:t>Amy B. Spiller (0047277)</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Rocco D’Ascenzo (0077651)</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Jeanne Kingery (0012172)</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Elizabeth Watts (0031092)</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Dianne Kuhnell</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Duke Energy</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139 E. Fourth Street, 1303-Main</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PO Box 961</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Cincinnati, OH  45201-0960</w:t>
      </w:r>
    </w:p>
    <w:p w:rsidR="0081415E" w:rsidRPr="0081415E" w:rsidRDefault="002B30F0" w:rsidP="00324FCB">
      <w:pPr>
        <w:tabs>
          <w:tab w:val="left" w:pos="2160"/>
          <w:tab w:val="left" w:pos="2280"/>
        </w:tabs>
        <w:spacing w:after="0"/>
        <w:rPr>
          <w:rFonts w:eastAsia="Times New Roman" w:cs="Arial"/>
        </w:rPr>
      </w:pPr>
      <w:hyperlink r:id="rId16" w:history="1">
        <w:r w:rsidR="0081415E" w:rsidRPr="0081415E">
          <w:rPr>
            <w:rFonts w:eastAsia="Times New Roman" w:cs="Arial"/>
          </w:rPr>
          <w:t>Amy.Spiller@duke-energy.com</w:t>
        </w:r>
      </w:hyperlink>
    </w:p>
    <w:p w:rsidR="0081415E" w:rsidRPr="0081415E" w:rsidRDefault="002B30F0" w:rsidP="00324FCB">
      <w:pPr>
        <w:tabs>
          <w:tab w:val="left" w:pos="2160"/>
          <w:tab w:val="left" w:pos="2280"/>
        </w:tabs>
        <w:spacing w:after="0"/>
        <w:rPr>
          <w:rFonts w:eastAsia="Calibri" w:cs="Arial"/>
        </w:rPr>
      </w:pPr>
      <w:hyperlink r:id="rId17" w:history="1">
        <w:r w:rsidR="0081415E" w:rsidRPr="0081415E">
          <w:rPr>
            <w:rFonts w:eastAsia="Calibri" w:cs="Arial"/>
          </w:rPr>
          <w:t>Rocco.dascenzo@duke-energy.com</w:t>
        </w:r>
      </w:hyperlink>
    </w:p>
    <w:p w:rsidR="0081415E" w:rsidRPr="0081415E" w:rsidRDefault="002B30F0" w:rsidP="00324FCB">
      <w:pPr>
        <w:tabs>
          <w:tab w:val="left" w:pos="2160"/>
          <w:tab w:val="left" w:pos="2280"/>
        </w:tabs>
        <w:spacing w:after="0"/>
        <w:rPr>
          <w:rFonts w:eastAsia="Calibri" w:cs="Arial"/>
        </w:rPr>
      </w:pPr>
      <w:hyperlink r:id="rId18" w:history="1">
        <w:r w:rsidR="0081415E" w:rsidRPr="0081415E">
          <w:rPr>
            <w:rFonts w:eastAsia="Calibri" w:cs="Arial"/>
          </w:rPr>
          <w:t>Jeanne.kingery@duke-energy.com</w:t>
        </w:r>
      </w:hyperlink>
    </w:p>
    <w:p w:rsidR="0081415E" w:rsidRPr="0081415E" w:rsidRDefault="002B30F0" w:rsidP="00324FCB">
      <w:pPr>
        <w:tabs>
          <w:tab w:val="left" w:pos="2160"/>
          <w:tab w:val="left" w:pos="2280"/>
        </w:tabs>
        <w:spacing w:after="0"/>
        <w:rPr>
          <w:rFonts w:eastAsia="Calibri" w:cs="Arial"/>
        </w:rPr>
      </w:pPr>
      <w:hyperlink r:id="rId19" w:history="1">
        <w:r w:rsidR="0081415E" w:rsidRPr="0081415E">
          <w:rPr>
            <w:rFonts w:eastAsia="Calibri" w:cs="Arial"/>
          </w:rPr>
          <w:t>Elizabeth.watts@duke-energy.com</w:t>
        </w:r>
      </w:hyperlink>
    </w:p>
    <w:p w:rsidR="0081415E" w:rsidRPr="0081415E" w:rsidRDefault="002B30F0" w:rsidP="00324FCB">
      <w:pPr>
        <w:tabs>
          <w:tab w:val="left" w:pos="2160"/>
          <w:tab w:val="left" w:pos="2280"/>
        </w:tabs>
        <w:spacing w:after="0"/>
        <w:rPr>
          <w:rFonts w:eastAsia="Times New Roman" w:cs="Arial"/>
        </w:rPr>
      </w:pPr>
      <w:hyperlink r:id="rId20" w:history="1">
        <w:r w:rsidR="0081415E" w:rsidRPr="0081415E">
          <w:rPr>
            <w:rFonts w:eastAsia="Times New Roman" w:cs="Arial"/>
          </w:rPr>
          <w:t>Dianne.Kuhnell@duke-energy.com</w:t>
        </w:r>
      </w:hyperlink>
    </w:p>
    <w:p w:rsidR="0081415E" w:rsidRPr="0081415E" w:rsidRDefault="0081415E" w:rsidP="00324FCB">
      <w:pPr>
        <w:tabs>
          <w:tab w:val="left" w:pos="2160"/>
          <w:tab w:val="left" w:pos="2280"/>
        </w:tabs>
        <w:spacing w:after="0"/>
        <w:rPr>
          <w:rFonts w:eastAsia="Times New Roman" w:cs="Arial"/>
        </w:rPr>
      </w:pPr>
    </w:p>
    <w:p w:rsidR="0081415E" w:rsidRPr="0081415E" w:rsidRDefault="0081415E" w:rsidP="00324FCB">
      <w:pPr>
        <w:tabs>
          <w:tab w:val="left" w:pos="2160"/>
          <w:tab w:val="left" w:pos="2280"/>
        </w:tabs>
        <w:spacing w:after="0"/>
        <w:rPr>
          <w:rFonts w:ascii="Arial Bold" w:eastAsia="Times New Roman" w:hAnsi="Arial Bold" w:cs="Arial"/>
          <w:b/>
          <w:smallCaps/>
        </w:rPr>
      </w:pPr>
      <w:r w:rsidRPr="0081415E">
        <w:rPr>
          <w:rFonts w:ascii="Arial Bold" w:eastAsia="Times New Roman" w:hAnsi="Arial Bold" w:cs="Arial"/>
          <w:b/>
          <w:smallCaps/>
        </w:rPr>
        <w:t>On Behalf of Duke Energy Ohio</w:t>
      </w:r>
    </w:p>
    <w:p w:rsidR="0081415E" w:rsidRPr="0081415E" w:rsidRDefault="0081415E" w:rsidP="00324FCB">
      <w:pPr>
        <w:tabs>
          <w:tab w:val="left" w:pos="2160"/>
          <w:tab w:val="left" w:pos="2280"/>
        </w:tabs>
        <w:spacing w:after="0"/>
        <w:rPr>
          <w:rFonts w:eastAsia="Times New Roman" w:cs="Arial"/>
        </w:rPr>
      </w:pP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Jody Kyler Cohn (0085402)</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David Boehm (0021881)</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Michael Kurtz (0033350)</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Boehm, Kurtz &amp; Lowry</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36 East Seventh St., Suite 1510</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Cincinnati, OH  45202</w:t>
      </w:r>
    </w:p>
    <w:p w:rsidR="0081415E" w:rsidRPr="0081415E" w:rsidRDefault="002B30F0" w:rsidP="00324FCB">
      <w:pPr>
        <w:tabs>
          <w:tab w:val="left" w:pos="2160"/>
          <w:tab w:val="left" w:pos="2280"/>
        </w:tabs>
        <w:spacing w:after="0"/>
        <w:rPr>
          <w:rFonts w:eastAsia="Times New Roman" w:cs="Arial"/>
        </w:rPr>
      </w:pPr>
      <w:hyperlink r:id="rId21" w:history="1">
        <w:r w:rsidR="0081415E" w:rsidRPr="0081415E">
          <w:rPr>
            <w:rFonts w:eastAsia="Times New Roman" w:cs="Arial"/>
          </w:rPr>
          <w:t>jkylercohn@BKLlawfirm.com</w:t>
        </w:r>
      </w:hyperlink>
    </w:p>
    <w:p w:rsidR="0081415E" w:rsidRPr="0081415E" w:rsidRDefault="002B30F0" w:rsidP="00324FCB">
      <w:pPr>
        <w:tabs>
          <w:tab w:val="left" w:pos="2160"/>
          <w:tab w:val="left" w:pos="2280"/>
        </w:tabs>
        <w:spacing w:after="0"/>
        <w:rPr>
          <w:rFonts w:eastAsia="Times New Roman" w:cs="Arial"/>
        </w:rPr>
      </w:pPr>
      <w:hyperlink r:id="rId22" w:history="1">
        <w:r w:rsidR="0081415E" w:rsidRPr="0081415E">
          <w:rPr>
            <w:rFonts w:eastAsia="Times New Roman" w:cs="Arial"/>
          </w:rPr>
          <w:t>dboehm@BKLlawfirm.com</w:t>
        </w:r>
      </w:hyperlink>
    </w:p>
    <w:p w:rsidR="0081415E" w:rsidRPr="0081415E" w:rsidRDefault="002B30F0" w:rsidP="00324FCB">
      <w:pPr>
        <w:tabs>
          <w:tab w:val="left" w:pos="2160"/>
          <w:tab w:val="left" w:pos="2280"/>
        </w:tabs>
        <w:spacing w:after="0"/>
        <w:rPr>
          <w:rFonts w:eastAsia="Times New Roman" w:cs="Arial"/>
        </w:rPr>
      </w:pPr>
      <w:hyperlink r:id="rId23" w:history="1">
        <w:r w:rsidR="0081415E" w:rsidRPr="0081415E">
          <w:rPr>
            <w:rFonts w:eastAsia="Times New Roman" w:cs="Arial"/>
          </w:rPr>
          <w:t>mkurtz@BKLlawfirm.com</w:t>
        </w:r>
      </w:hyperlink>
    </w:p>
    <w:p w:rsidR="0081415E" w:rsidRPr="0081415E" w:rsidRDefault="0081415E" w:rsidP="00324FCB">
      <w:pPr>
        <w:tabs>
          <w:tab w:val="left" w:pos="2160"/>
          <w:tab w:val="left" w:pos="2280"/>
        </w:tabs>
        <w:spacing w:after="0"/>
        <w:rPr>
          <w:rFonts w:eastAsia="Times New Roman" w:cs="Arial"/>
        </w:rPr>
      </w:pPr>
    </w:p>
    <w:p w:rsidR="0081415E" w:rsidRPr="0081415E" w:rsidRDefault="0081415E" w:rsidP="00324FCB">
      <w:pPr>
        <w:tabs>
          <w:tab w:val="left" w:pos="2160"/>
          <w:tab w:val="left" w:pos="2280"/>
        </w:tabs>
        <w:spacing w:after="0"/>
        <w:rPr>
          <w:rFonts w:ascii="Arial Bold" w:eastAsia="Times New Roman" w:hAnsi="Arial Bold" w:cs="Arial"/>
          <w:b/>
          <w:smallCaps/>
        </w:rPr>
      </w:pPr>
      <w:r w:rsidRPr="0081415E">
        <w:rPr>
          <w:rFonts w:ascii="Arial Bold" w:eastAsia="Times New Roman" w:hAnsi="Arial Bold" w:cs="Arial"/>
          <w:b/>
          <w:smallCaps/>
        </w:rPr>
        <w:t>On Behalf of Ohio Energy Group</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br w:type="column"/>
      </w:r>
      <w:r w:rsidRPr="0081415E">
        <w:rPr>
          <w:rFonts w:eastAsia="Times New Roman" w:cs="Arial"/>
        </w:rPr>
        <w:lastRenderedPageBreak/>
        <w:t>Mark A. Hayden (0081077)</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Scott J. Casto (0085756)</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Jacob McDermott (0087187)</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FirstEnergy Service Company</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76 South Main Street</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Akron, OH  44308</w:t>
      </w:r>
    </w:p>
    <w:p w:rsidR="0081415E" w:rsidRPr="0081415E" w:rsidRDefault="002B30F0" w:rsidP="00324FCB">
      <w:pPr>
        <w:tabs>
          <w:tab w:val="left" w:pos="2160"/>
          <w:tab w:val="left" w:pos="2280"/>
        </w:tabs>
        <w:spacing w:after="0"/>
        <w:rPr>
          <w:rFonts w:eastAsia="Times New Roman" w:cs="Arial"/>
        </w:rPr>
      </w:pPr>
      <w:hyperlink r:id="rId24" w:history="1">
        <w:r w:rsidR="0081415E" w:rsidRPr="0081415E">
          <w:rPr>
            <w:rFonts w:eastAsia="Times New Roman" w:cs="Arial"/>
          </w:rPr>
          <w:t>haydenm@firstenergycorp.com</w:t>
        </w:r>
      </w:hyperlink>
    </w:p>
    <w:p w:rsidR="0081415E" w:rsidRPr="0081415E" w:rsidRDefault="002B30F0" w:rsidP="00324FCB">
      <w:pPr>
        <w:tabs>
          <w:tab w:val="left" w:pos="2160"/>
          <w:tab w:val="left" w:pos="2280"/>
        </w:tabs>
        <w:spacing w:after="0"/>
        <w:rPr>
          <w:rFonts w:eastAsia="Times New Roman" w:cs="Arial"/>
        </w:rPr>
      </w:pPr>
      <w:hyperlink r:id="rId25" w:history="1">
        <w:r w:rsidR="0081415E" w:rsidRPr="0081415E">
          <w:rPr>
            <w:rFonts w:eastAsia="Times New Roman" w:cs="Arial"/>
          </w:rPr>
          <w:t>scasto@firstenergycorp.com</w:t>
        </w:r>
      </w:hyperlink>
    </w:p>
    <w:p w:rsidR="0081415E" w:rsidRPr="0081415E" w:rsidRDefault="002B30F0" w:rsidP="00324FCB">
      <w:pPr>
        <w:tabs>
          <w:tab w:val="left" w:pos="2160"/>
          <w:tab w:val="left" w:pos="2280"/>
        </w:tabs>
        <w:spacing w:after="0"/>
        <w:rPr>
          <w:rFonts w:eastAsia="Times New Roman" w:cs="Arial"/>
        </w:rPr>
      </w:pPr>
      <w:hyperlink r:id="rId26" w:history="1">
        <w:r w:rsidR="0081415E" w:rsidRPr="0081415E">
          <w:rPr>
            <w:rFonts w:eastAsia="Times New Roman" w:cs="Arial"/>
          </w:rPr>
          <w:t>jmcdermott@firstenergycorp.com</w:t>
        </w:r>
      </w:hyperlink>
    </w:p>
    <w:p w:rsidR="0081415E" w:rsidRPr="0081415E" w:rsidRDefault="0081415E" w:rsidP="00324FCB">
      <w:pPr>
        <w:tabs>
          <w:tab w:val="left" w:pos="2160"/>
          <w:tab w:val="left" w:pos="2280"/>
        </w:tabs>
        <w:spacing w:after="0"/>
        <w:rPr>
          <w:rFonts w:eastAsia="Times New Roman" w:cs="Arial"/>
        </w:rPr>
      </w:pPr>
    </w:p>
    <w:p w:rsidR="0081415E" w:rsidRPr="0081415E" w:rsidRDefault="0081415E" w:rsidP="00324FCB">
      <w:pPr>
        <w:tabs>
          <w:tab w:val="left" w:pos="2160"/>
          <w:tab w:val="left" w:pos="2280"/>
        </w:tabs>
        <w:spacing w:after="0"/>
        <w:rPr>
          <w:rFonts w:ascii="Arial Bold" w:eastAsia="Times New Roman" w:hAnsi="Arial Bold" w:cs="Arial"/>
          <w:b/>
          <w:smallCaps/>
        </w:rPr>
      </w:pPr>
      <w:r w:rsidRPr="0081415E">
        <w:rPr>
          <w:rFonts w:ascii="Arial Bold" w:eastAsia="Times New Roman" w:hAnsi="Arial Bold" w:cs="Arial"/>
          <w:b/>
          <w:smallCaps/>
        </w:rPr>
        <w:t>On Behalf of FirstEnergy Solutions Corp.</w:t>
      </w:r>
    </w:p>
    <w:p w:rsidR="0081415E" w:rsidRPr="0081415E" w:rsidRDefault="0081415E" w:rsidP="00324FCB">
      <w:pPr>
        <w:tabs>
          <w:tab w:val="left" w:pos="2160"/>
          <w:tab w:val="left" w:pos="2280"/>
        </w:tabs>
        <w:spacing w:after="0"/>
        <w:rPr>
          <w:rFonts w:eastAsia="Times New Roman" w:cs="Arial"/>
        </w:rPr>
      </w:pP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Kevin R. Schmidt (0086722)</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88 East Broad Street, Suite 1770</w:t>
      </w:r>
    </w:p>
    <w:p w:rsidR="0081415E" w:rsidRPr="0081415E" w:rsidRDefault="0081415E" w:rsidP="00324FCB">
      <w:pPr>
        <w:tabs>
          <w:tab w:val="left" w:pos="2160"/>
          <w:tab w:val="left" w:pos="2280"/>
        </w:tabs>
        <w:spacing w:after="0"/>
        <w:rPr>
          <w:rFonts w:eastAsia="Times New Roman" w:cs="Arial"/>
        </w:rPr>
      </w:pPr>
      <w:r w:rsidRPr="0081415E">
        <w:rPr>
          <w:rFonts w:eastAsia="Times New Roman" w:cs="Arial"/>
        </w:rPr>
        <w:t>Columbus, OH  43215</w:t>
      </w:r>
    </w:p>
    <w:p w:rsidR="0081415E" w:rsidRPr="0081415E" w:rsidRDefault="002B30F0" w:rsidP="00324FCB">
      <w:pPr>
        <w:tabs>
          <w:tab w:val="left" w:pos="2160"/>
          <w:tab w:val="left" w:pos="2280"/>
        </w:tabs>
        <w:spacing w:after="0"/>
        <w:rPr>
          <w:rFonts w:eastAsia="Times New Roman" w:cs="Arial"/>
        </w:rPr>
      </w:pPr>
      <w:hyperlink r:id="rId27" w:history="1">
        <w:r w:rsidR="0081415E" w:rsidRPr="0081415E">
          <w:rPr>
            <w:rFonts w:eastAsia="Times New Roman" w:cs="Arial"/>
          </w:rPr>
          <w:t>Schmidt@sppgrp.com</w:t>
        </w:r>
      </w:hyperlink>
    </w:p>
    <w:p w:rsidR="0081415E" w:rsidRPr="0081415E" w:rsidRDefault="0081415E" w:rsidP="00324FCB">
      <w:pPr>
        <w:tabs>
          <w:tab w:val="left" w:pos="2160"/>
          <w:tab w:val="left" w:pos="2280"/>
        </w:tabs>
        <w:spacing w:after="0"/>
        <w:rPr>
          <w:rFonts w:eastAsia="Times New Roman" w:cs="Arial"/>
        </w:rPr>
      </w:pPr>
    </w:p>
    <w:p w:rsidR="0081415E" w:rsidRPr="0081415E" w:rsidRDefault="0081415E" w:rsidP="00324FCB">
      <w:pPr>
        <w:tabs>
          <w:tab w:val="left" w:pos="2160"/>
          <w:tab w:val="left" w:pos="2280"/>
        </w:tabs>
        <w:spacing w:after="0"/>
        <w:rPr>
          <w:rFonts w:ascii="Arial Bold" w:eastAsia="Times New Roman" w:hAnsi="Arial Bold" w:cs="Arial"/>
          <w:b/>
          <w:smallCaps/>
        </w:rPr>
      </w:pPr>
      <w:r w:rsidRPr="0081415E">
        <w:rPr>
          <w:rFonts w:ascii="Arial Bold" w:eastAsia="Times New Roman" w:hAnsi="Arial Bold" w:cs="Arial"/>
          <w:b/>
          <w:smallCaps/>
        </w:rPr>
        <w:t>On Behalf of Energy Professionals of Ohio</w:t>
      </w:r>
    </w:p>
    <w:p w:rsidR="0081415E" w:rsidRPr="0081415E" w:rsidRDefault="0081415E" w:rsidP="00324FCB">
      <w:pPr>
        <w:tabs>
          <w:tab w:val="left" w:pos="2160"/>
          <w:tab w:val="left" w:pos="2280"/>
        </w:tabs>
        <w:spacing w:after="0"/>
        <w:rPr>
          <w:rFonts w:eastAsia="Times New Roman" w:cs="Arial"/>
        </w:rPr>
      </w:pPr>
    </w:p>
    <w:p w:rsidR="0081415E" w:rsidRPr="0081415E" w:rsidRDefault="0081415E" w:rsidP="00324FCB">
      <w:pPr>
        <w:spacing w:after="0"/>
        <w:rPr>
          <w:rFonts w:eastAsia="Calibri" w:cs="Arial"/>
        </w:rPr>
        <w:sectPr w:rsidR="0081415E" w:rsidRPr="0081415E">
          <w:type w:val="continuous"/>
          <w:pgSz w:w="12240" w:h="15840" w:code="1"/>
          <w:pgMar w:top="1440" w:right="1440" w:bottom="1141" w:left="1440" w:header="720" w:footer="720" w:gutter="0"/>
          <w:pgNumType w:start="1"/>
          <w:cols w:num="2" w:space="720"/>
          <w:titlePg/>
          <w:docGrid w:linePitch="326"/>
        </w:sectPr>
      </w:pPr>
    </w:p>
    <w:p w:rsidR="0081415E" w:rsidRPr="0081415E" w:rsidRDefault="0081415E" w:rsidP="00324FCB">
      <w:pPr>
        <w:spacing w:after="0"/>
        <w:rPr>
          <w:rFonts w:eastAsia="Calibri" w:cs="Arial"/>
        </w:rPr>
      </w:pPr>
      <w:r w:rsidRPr="0081415E">
        <w:rPr>
          <w:rFonts w:eastAsia="Calibri" w:cs="Arial"/>
        </w:rPr>
        <w:lastRenderedPageBreak/>
        <w:t>Maureen Grady (0020847)</w:t>
      </w:r>
    </w:p>
    <w:p w:rsidR="0081415E" w:rsidRPr="0081415E" w:rsidRDefault="0081415E" w:rsidP="00324FCB">
      <w:pPr>
        <w:spacing w:after="0"/>
        <w:rPr>
          <w:rFonts w:eastAsia="Calibri" w:cs="Arial"/>
        </w:rPr>
      </w:pPr>
      <w:r w:rsidRPr="0081415E">
        <w:rPr>
          <w:rFonts w:eastAsia="Calibri" w:cs="Arial"/>
        </w:rPr>
        <w:t>Joseph P. Serio (0036959)</w:t>
      </w:r>
    </w:p>
    <w:p w:rsidR="0081415E" w:rsidRPr="0081415E" w:rsidRDefault="0081415E" w:rsidP="00324FCB">
      <w:pPr>
        <w:spacing w:after="0"/>
        <w:rPr>
          <w:rFonts w:eastAsia="Calibri" w:cs="Arial"/>
        </w:rPr>
      </w:pPr>
      <w:r w:rsidRPr="0081415E">
        <w:rPr>
          <w:rFonts w:eastAsia="Calibri" w:cs="Arial"/>
        </w:rPr>
        <w:t>Edmund “Tad” Berger (0090307)</w:t>
      </w:r>
    </w:p>
    <w:p w:rsidR="0081415E" w:rsidRPr="0081415E" w:rsidRDefault="0081415E" w:rsidP="00324FCB">
      <w:pPr>
        <w:spacing w:after="0"/>
        <w:rPr>
          <w:rFonts w:eastAsia="Calibri" w:cs="Arial"/>
        </w:rPr>
      </w:pPr>
      <w:r w:rsidRPr="0081415E">
        <w:rPr>
          <w:rFonts w:eastAsia="Calibri" w:cs="Arial"/>
        </w:rPr>
        <w:t>Office of the Ohio Consumers’ Counsel</w:t>
      </w:r>
    </w:p>
    <w:p w:rsidR="0081415E" w:rsidRPr="0081415E" w:rsidRDefault="0081415E" w:rsidP="00324FCB">
      <w:pPr>
        <w:spacing w:after="0"/>
        <w:rPr>
          <w:rFonts w:eastAsia="Calibri" w:cs="Arial"/>
        </w:rPr>
      </w:pPr>
      <w:r w:rsidRPr="0081415E">
        <w:rPr>
          <w:rFonts w:eastAsia="Calibri" w:cs="Arial"/>
        </w:rPr>
        <w:t>10 West Broad Street, Suite 1800</w:t>
      </w:r>
    </w:p>
    <w:p w:rsidR="0081415E" w:rsidRPr="0081415E" w:rsidRDefault="0081415E" w:rsidP="00324FCB">
      <w:pPr>
        <w:spacing w:after="0"/>
        <w:rPr>
          <w:rFonts w:eastAsia="Calibri" w:cs="Arial"/>
        </w:rPr>
      </w:pPr>
      <w:r w:rsidRPr="0081415E">
        <w:rPr>
          <w:rFonts w:eastAsia="Calibri" w:cs="Arial"/>
        </w:rPr>
        <w:t>Columbus, OH  43215</w:t>
      </w:r>
    </w:p>
    <w:p w:rsidR="0081415E" w:rsidRPr="0081415E" w:rsidRDefault="002B30F0" w:rsidP="00324FCB">
      <w:pPr>
        <w:spacing w:after="0"/>
        <w:rPr>
          <w:rFonts w:eastAsia="Calibri" w:cs="Arial"/>
        </w:rPr>
      </w:pPr>
      <w:hyperlink r:id="rId28" w:history="1">
        <w:r w:rsidR="0081415E" w:rsidRPr="0081415E">
          <w:rPr>
            <w:rFonts w:eastAsia="Calibri" w:cs="Arial"/>
          </w:rPr>
          <w:t>Maureen.grady@occ.ohio.gov</w:t>
        </w:r>
      </w:hyperlink>
    </w:p>
    <w:p w:rsidR="0081415E" w:rsidRPr="0081415E" w:rsidRDefault="002B30F0" w:rsidP="00324FCB">
      <w:pPr>
        <w:spacing w:after="0"/>
        <w:rPr>
          <w:rFonts w:eastAsia="Calibri" w:cs="Arial"/>
        </w:rPr>
      </w:pPr>
      <w:hyperlink r:id="rId29" w:history="1">
        <w:r w:rsidR="0081415E" w:rsidRPr="0081415E">
          <w:rPr>
            <w:rFonts w:eastAsia="Calibri" w:cs="Arial"/>
          </w:rPr>
          <w:t>Joseph.serio@occ.ohio.gov</w:t>
        </w:r>
      </w:hyperlink>
    </w:p>
    <w:p w:rsidR="0081415E" w:rsidRPr="0081415E" w:rsidRDefault="002B30F0" w:rsidP="00324FCB">
      <w:pPr>
        <w:spacing w:after="0"/>
        <w:rPr>
          <w:rFonts w:eastAsia="Calibri" w:cs="Arial"/>
        </w:rPr>
      </w:pPr>
      <w:hyperlink r:id="rId30" w:history="1">
        <w:r w:rsidR="0081415E" w:rsidRPr="0081415E">
          <w:rPr>
            <w:rFonts w:eastAsia="Calibri" w:cs="Arial"/>
          </w:rPr>
          <w:t>Edmund.berger@occ.ohio.gov</w:t>
        </w:r>
      </w:hyperlink>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Dane Stinson</w:t>
      </w:r>
    </w:p>
    <w:p w:rsidR="0081415E" w:rsidRPr="0081415E" w:rsidRDefault="0081415E" w:rsidP="00324FCB">
      <w:pPr>
        <w:spacing w:after="0"/>
        <w:rPr>
          <w:rFonts w:eastAsia="Calibri" w:cs="Arial"/>
        </w:rPr>
      </w:pPr>
      <w:r w:rsidRPr="0081415E">
        <w:rPr>
          <w:rFonts w:eastAsia="Calibri" w:cs="Arial"/>
        </w:rPr>
        <w:t>Dylan F. Borchers</w:t>
      </w:r>
    </w:p>
    <w:p w:rsidR="0081415E" w:rsidRPr="0081415E" w:rsidRDefault="0081415E" w:rsidP="00324FCB">
      <w:pPr>
        <w:spacing w:after="0"/>
        <w:rPr>
          <w:rFonts w:eastAsia="Calibri" w:cs="Arial"/>
        </w:rPr>
      </w:pPr>
      <w:r w:rsidRPr="0081415E">
        <w:rPr>
          <w:rFonts w:eastAsia="Calibri" w:cs="Arial"/>
        </w:rPr>
        <w:t>Bricker &amp; Eckler LLP</w:t>
      </w:r>
    </w:p>
    <w:p w:rsidR="0081415E" w:rsidRPr="0081415E" w:rsidRDefault="0081415E" w:rsidP="00324FCB">
      <w:pPr>
        <w:spacing w:after="0"/>
        <w:rPr>
          <w:rFonts w:eastAsia="Calibri" w:cs="Arial"/>
        </w:rPr>
      </w:pPr>
      <w:r w:rsidRPr="0081415E">
        <w:rPr>
          <w:rFonts w:eastAsia="Calibri" w:cs="Arial"/>
        </w:rPr>
        <w:t>100 S. Third Street</w:t>
      </w:r>
    </w:p>
    <w:p w:rsidR="0081415E" w:rsidRPr="0081415E" w:rsidRDefault="0081415E" w:rsidP="00324FCB">
      <w:pPr>
        <w:spacing w:after="0"/>
        <w:rPr>
          <w:rFonts w:eastAsia="Calibri" w:cs="Arial"/>
        </w:rPr>
      </w:pPr>
      <w:r w:rsidRPr="0081415E">
        <w:rPr>
          <w:rFonts w:eastAsia="Calibri" w:cs="Arial"/>
        </w:rPr>
        <w:t>Columbus, OH  43215</w:t>
      </w:r>
    </w:p>
    <w:p w:rsidR="0081415E" w:rsidRPr="0081415E" w:rsidRDefault="0081415E" w:rsidP="00324FCB">
      <w:pPr>
        <w:spacing w:after="0"/>
        <w:rPr>
          <w:rFonts w:eastAsia="Calibri" w:cs="Arial"/>
        </w:rPr>
      </w:pPr>
      <w:r w:rsidRPr="0081415E">
        <w:rPr>
          <w:rFonts w:eastAsia="Calibri" w:cs="Arial"/>
        </w:rPr>
        <w:t>dstinson@bricker.com</w:t>
      </w:r>
    </w:p>
    <w:p w:rsidR="0081415E" w:rsidRPr="0081415E" w:rsidRDefault="0081415E" w:rsidP="00324FCB">
      <w:pPr>
        <w:spacing w:after="0"/>
        <w:rPr>
          <w:rFonts w:eastAsia="Calibri" w:cs="Arial"/>
        </w:rPr>
      </w:pPr>
      <w:r w:rsidRPr="0081415E">
        <w:rPr>
          <w:rFonts w:eastAsia="Calibri" w:cs="Arial"/>
        </w:rPr>
        <w:t>dborchers@bricker.com</w:t>
      </w:r>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Office of the Ohio Consumers’ Counsel</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Judi L. Sobecki (0067186)</w:t>
      </w:r>
    </w:p>
    <w:p w:rsidR="0081415E" w:rsidRPr="0081415E" w:rsidRDefault="0081415E" w:rsidP="00324FCB">
      <w:pPr>
        <w:spacing w:after="0"/>
        <w:rPr>
          <w:rFonts w:eastAsia="Calibri" w:cs="Arial"/>
        </w:rPr>
      </w:pPr>
      <w:r w:rsidRPr="0081415E">
        <w:rPr>
          <w:rFonts w:eastAsia="Calibri" w:cs="Arial"/>
        </w:rPr>
        <w:t>The Dayton Power and Light Company</w:t>
      </w:r>
    </w:p>
    <w:p w:rsidR="0081415E" w:rsidRPr="0081415E" w:rsidRDefault="0081415E" w:rsidP="00324FCB">
      <w:pPr>
        <w:spacing w:after="0"/>
        <w:rPr>
          <w:rFonts w:eastAsia="Calibri" w:cs="Arial"/>
        </w:rPr>
      </w:pPr>
      <w:r w:rsidRPr="0081415E">
        <w:rPr>
          <w:rFonts w:eastAsia="Calibri" w:cs="Arial"/>
        </w:rPr>
        <w:t>1065 Woodman Drive</w:t>
      </w:r>
    </w:p>
    <w:p w:rsidR="0081415E" w:rsidRPr="0081415E" w:rsidRDefault="0081415E" w:rsidP="00324FCB">
      <w:pPr>
        <w:spacing w:after="0"/>
        <w:rPr>
          <w:rFonts w:eastAsia="Calibri" w:cs="Arial"/>
        </w:rPr>
      </w:pPr>
      <w:r w:rsidRPr="0081415E">
        <w:rPr>
          <w:rFonts w:eastAsia="Calibri" w:cs="Arial"/>
        </w:rPr>
        <w:t>Dayton, OH  45432</w:t>
      </w:r>
    </w:p>
    <w:p w:rsidR="0081415E" w:rsidRPr="0081415E" w:rsidRDefault="002B30F0" w:rsidP="00324FCB">
      <w:pPr>
        <w:spacing w:after="0"/>
        <w:rPr>
          <w:rFonts w:eastAsia="Calibri" w:cs="Arial"/>
        </w:rPr>
      </w:pPr>
      <w:hyperlink r:id="rId31" w:history="1">
        <w:r w:rsidR="0081415E" w:rsidRPr="0081415E">
          <w:rPr>
            <w:rFonts w:eastAsia="Calibri" w:cs="Arial"/>
          </w:rPr>
          <w:t>Judi.sobecki@aes.com</w:t>
        </w:r>
      </w:hyperlink>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The Dayton Power &amp; Light Company</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Kimberly W. Bojko (0069402)</w:t>
      </w:r>
    </w:p>
    <w:p w:rsidR="0081415E" w:rsidRPr="0081415E" w:rsidRDefault="0081415E" w:rsidP="00324FCB">
      <w:pPr>
        <w:spacing w:after="0"/>
        <w:rPr>
          <w:rFonts w:eastAsia="Calibri" w:cs="Arial"/>
        </w:rPr>
      </w:pPr>
      <w:r w:rsidRPr="0081415E">
        <w:rPr>
          <w:rFonts w:eastAsia="Calibri" w:cs="Arial"/>
        </w:rPr>
        <w:t>Jonathan A. Allison</w:t>
      </w:r>
    </w:p>
    <w:p w:rsidR="0081415E" w:rsidRPr="0081415E" w:rsidRDefault="0081415E" w:rsidP="00324FCB">
      <w:pPr>
        <w:spacing w:after="0"/>
        <w:rPr>
          <w:rFonts w:eastAsia="Calibri" w:cs="Arial"/>
        </w:rPr>
      </w:pPr>
      <w:r w:rsidRPr="0081415E">
        <w:rPr>
          <w:rFonts w:eastAsia="Calibri" w:cs="Arial"/>
        </w:rPr>
        <w:t>Carpenter Lipps &amp; Leland LLP</w:t>
      </w:r>
    </w:p>
    <w:p w:rsidR="0081415E" w:rsidRPr="0081415E" w:rsidRDefault="0081415E" w:rsidP="00324FCB">
      <w:pPr>
        <w:spacing w:after="0"/>
        <w:rPr>
          <w:rFonts w:eastAsia="Calibri" w:cs="Arial"/>
        </w:rPr>
      </w:pPr>
      <w:r w:rsidRPr="0081415E">
        <w:rPr>
          <w:rFonts w:eastAsia="Calibri" w:cs="Arial"/>
        </w:rPr>
        <w:t>280 Plaza, Suite 1300</w:t>
      </w:r>
    </w:p>
    <w:p w:rsidR="0081415E" w:rsidRPr="0081415E" w:rsidRDefault="0081415E" w:rsidP="00324FCB">
      <w:pPr>
        <w:spacing w:after="0"/>
        <w:rPr>
          <w:rFonts w:eastAsia="Calibri" w:cs="Arial"/>
        </w:rPr>
      </w:pPr>
      <w:r w:rsidRPr="0081415E">
        <w:rPr>
          <w:rFonts w:eastAsia="Calibri" w:cs="Arial"/>
        </w:rPr>
        <w:t>280 North High Street</w:t>
      </w:r>
    </w:p>
    <w:p w:rsidR="0081415E" w:rsidRPr="0081415E" w:rsidRDefault="0081415E" w:rsidP="00324FCB">
      <w:pPr>
        <w:spacing w:after="0"/>
        <w:rPr>
          <w:rFonts w:eastAsia="Calibri" w:cs="Arial"/>
        </w:rPr>
      </w:pPr>
      <w:r w:rsidRPr="0081415E">
        <w:rPr>
          <w:rFonts w:eastAsia="Calibri" w:cs="Arial"/>
        </w:rPr>
        <w:t>Columbus, OH  43215</w:t>
      </w:r>
    </w:p>
    <w:p w:rsidR="0081415E" w:rsidRPr="0081415E" w:rsidRDefault="002B30F0" w:rsidP="00324FCB">
      <w:pPr>
        <w:spacing w:after="0"/>
        <w:rPr>
          <w:rFonts w:eastAsia="Calibri" w:cs="Arial"/>
        </w:rPr>
      </w:pPr>
      <w:hyperlink r:id="rId32" w:history="1">
        <w:r w:rsidR="0081415E" w:rsidRPr="0081415E">
          <w:rPr>
            <w:rFonts w:eastAsia="Calibri" w:cs="Arial"/>
          </w:rPr>
          <w:t>bojko@carpenterlipps.com</w:t>
        </w:r>
      </w:hyperlink>
    </w:p>
    <w:p w:rsidR="0081415E" w:rsidRPr="0081415E" w:rsidRDefault="002B30F0" w:rsidP="00324FCB">
      <w:pPr>
        <w:spacing w:after="0"/>
        <w:rPr>
          <w:rFonts w:eastAsia="Calibri" w:cs="Arial"/>
        </w:rPr>
      </w:pPr>
      <w:hyperlink r:id="rId33" w:history="1">
        <w:r w:rsidR="0081415E" w:rsidRPr="0081415E">
          <w:rPr>
            <w:rFonts w:eastAsia="Calibri" w:cs="Arial"/>
          </w:rPr>
          <w:t>Allison@carpenterlipps.com</w:t>
        </w:r>
      </w:hyperlink>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the Ohio Manufacturers’ Association</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br w:type="column"/>
      </w:r>
      <w:r w:rsidRPr="0081415E">
        <w:rPr>
          <w:rFonts w:eastAsia="Calibri" w:cs="Arial"/>
        </w:rPr>
        <w:lastRenderedPageBreak/>
        <w:t>Joseph Oliker (0086088)</w:t>
      </w:r>
    </w:p>
    <w:p w:rsidR="0081415E" w:rsidRPr="0081415E" w:rsidRDefault="0081415E" w:rsidP="00324FCB">
      <w:pPr>
        <w:spacing w:after="0"/>
        <w:rPr>
          <w:rFonts w:eastAsia="Calibri" w:cs="Arial"/>
        </w:rPr>
      </w:pPr>
      <w:r w:rsidRPr="0081415E">
        <w:rPr>
          <w:rFonts w:eastAsia="Calibri" w:cs="Arial"/>
        </w:rPr>
        <w:t>IGS Energy</w:t>
      </w:r>
    </w:p>
    <w:p w:rsidR="0081415E" w:rsidRPr="0081415E" w:rsidRDefault="0081415E" w:rsidP="00324FCB">
      <w:pPr>
        <w:spacing w:after="0"/>
        <w:rPr>
          <w:rFonts w:eastAsia="Calibri" w:cs="Arial"/>
        </w:rPr>
      </w:pPr>
      <w:r w:rsidRPr="0081415E">
        <w:rPr>
          <w:rFonts w:eastAsia="Calibri" w:cs="Arial"/>
        </w:rPr>
        <w:t>6100 Emerald Parkway</w:t>
      </w:r>
    </w:p>
    <w:p w:rsidR="0081415E" w:rsidRPr="0081415E" w:rsidRDefault="0081415E" w:rsidP="00324FCB">
      <w:pPr>
        <w:spacing w:after="0"/>
        <w:rPr>
          <w:rFonts w:eastAsia="Calibri" w:cs="Arial"/>
        </w:rPr>
      </w:pPr>
      <w:r w:rsidRPr="0081415E">
        <w:rPr>
          <w:rFonts w:eastAsia="Calibri" w:cs="Arial"/>
        </w:rPr>
        <w:t>Dublin, OH  43016</w:t>
      </w:r>
    </w:p>
    <w:p w:rsidR="0081415E" w:rsidRPr="0081415E" w:rsidRDefault="002B30F0" w:rsidP="00324FCB">
      <w:pPr>
        <w:spacing w:after="0"/>
        <w:rPr>
          <w:rFonts w:eastAsia="Calibri" w:cs="Arial"/>
        </w:rPr>
      </w:pPr>
      <w:hyperlink r:id="rId34" w:history="1">
        <w:r w:rsidR="0081415E" w:rsidRPr="0081415E">
          <w:rPr>
            <w:rFonts w:eastAsia="Calibri" w:cs="Arial"/>
          </w:rPr>
          <w:t>joliker@igsenergy.com</w:t>
        </w:r>
      </w:hyperlink>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IGS Energy</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Joseph M. Clark (0080711)</w:t>
      </w:r>
    </w:p>
    <w:p w:rsidR="0081415E" w:rsidRPr="0081415E" w:rsidRDefault="0081415E" w:rsidP="00324FCB">
      <w:pPr>
        <w:spacing w:after="0"/>
        <w:rPr>
          <w:rFonts w:eastAsia="Calibri" w:cs="Arial"/>
        </w:rPr>
      </w:pPr>
      <w:r w:rsidRPr="0081415E">
        <w:rPr>
          <w:rFonts w:eastAsia="Calibri" w:cs="Arial"/>
        </w:rPr>
        <w:t>Direct Energy</w:t>
      </w:r>
    </w:p>
    <w:p w:rsidR="0081415E" w:rsidRPr="0081415E" w:rsidRDefault="0081415E" w:rsidP="00324FCB">
      <w:pPr>
        <w:spacing w:after="0"/>
        <w:rPr>
          <w:rFonts w:eastAsia="Calibri" w:cs="Arial"/>
        </w:rPr>
      </w:pPr>
      <w:r w:rsidRPr="0081415E">
        <w:rPr>
          <w:rFonts w:eastAsia="Calibri" w:cs="Arial"/>
        </w:rPr>
        <w:t>21 East State Street, 19</w:t>
      </w:r>
      <w:r w:rsidRPr="0081415E">
        <w:rPr>
          <w:rFonts w:eastAsia="Calibri" w:cs="Arial"/>
          <w:vertAlign w:val="superscript"/>
        </w:rPr>
        <w:t>th</w:t>
      </w:r>
      <w:r w:rsidRPr="0081415E">
        <w:rPr>
          <w:rFonts w:eastAsia="Calibri" w:cs="Arial"/>
        </w:rPr>
        <w:t xml:space="preserve"> Floor</w:t>
      </w:r>
    </w:p>
    <w:p w:rsidR="0081415E" w:rsidRPr="0081415E" w:rsidRDefault="0081415E" w:rsidP="00324FCB">
      <w:pPr>
        <w:spacing w:after="0"/>
        <w:rPr>
          <w:rFonts w:eastAsia="Calibri" w:cs="Arial"/>
        </w:rPr>
      </w:pPr>
      <w:r w:rsidRPr="0081415E">
        <w:rPr>
          <w:rFonts w:eastAsia="Calibri" w:cs="Arial"/>
        </w:rPr>
        <w:t>Columbus, OH  43215</w:t>
      </w:r>
    </w:p>
    <w:p w:rsidR="0081415E" w:rsidRPr="0081415E" w:rsidRDefault="0081415E" w:rsidP="00324FCB">
      <w:pPr>
        <w:spacing w:after="0"/>
        <w:rPr>
          <w:rFonts w:eastAsia="Calibri" w:cs="Arial"/>
        </w:rPr>
      </w:pPr>
      <w:r w:rsidRPr="0081415E">
        <w:rPr>
          <w:rFonts w:eastAsia="Calibri" w:cs="Arial"/>
        </w:rPr>
        <w:t>joseph.clark@directenergy.com</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Gerit F. Hull (0067333)</w:t>
      </w:r>
    </w:p>
    <w:p w:rsidR="0081415E" w:rsidRPr="0081415E" w:rsidRDefault="0081415E" w:rsidP="00324FCB">
      <w:pPr>
        <w:spacing w:after="0"/>
        <w:rPr>
          <w:rFonts w:eastAsia="Calibri" w:cs="Arial"/>
        </w:rPr>
      </w:pPr>
      <w:r w:rsidRPr="0081415E">
        <w:rPr>
          <w:rFonts w:eastAsia="Calibri" w:cs="Arial"/>
        </w:rPr>
        <w:t>Eckert Seamans Cherin &amp; Mellott, LLC</w:t>
      </w:r>
    </w:p>
    <w:p w:rsidR="0081415E" w:rsidRPr="0081415E" w:rsidRDefault="0081415E" w:rsidP="00324FCB">
      <w:pPr>
        <w:spacing w:after="0"/>
        <w:rPr>
          <w:rFonts w:eastAsia="Calibri" w:cs="Arial"/>
        </w:rPr>
      </w:pPr>
      <w:r w:rsidRPr="0081415E">
        <w:rPr>
          <w:rFonts w:eastAsia="Calibri" w:cs="Arial"/>
        </w:rPr>
        <w:t xml:space="preserve">1717 Pennsylvania Avenue, N.W., </w:t>
      </w:r>
    </w:p>
    <w:p w:rsidR="0081415E" w:rsidRPr="0081415E" w:rsidRDefault="0081415E" w:rsidP="00324FCB">
      <w:pPr>
        <w:spacing w:after="0"/>
        <w:rPr>
          <w:rFonts w:eastAsia="Calibri" w:cs="Arial"/>
        </w:rPr>
      </w:pPr>
      <w:r w:rsidRPr="0081415E">
        <w:rPr>
          <w:rFonts w:eastAsia="Calibri" w:cs="Arial"/>
        </w:rPr>
        <w:t>12</w:t>
      </w:r>
      <w:r w:rsidRPr="0081415E">
        <w:rPr>
          <w:rFonts w:eastAsia="Calibri" w:cs="Arial"/>
          <w:vertAlign w:val="superscript"/>
        </w:rPr>
        <w:t>th</w:t>
      </w:r>
      <w:r w:rsidRPr="0081415E">
        <w:rPr>
          <w:rFonts w:eastAsia="Calibri" w:cs="Arial"/>
        </w:rPr>
        <w:t xml:space="preserve"> Floor</w:t>
      </w:r>
    </w:p>
    <w:p w:rsidR="0081415E" w:rsidRPr="0081415E" w:rsidRDefault="0081415E" w:rsidP="00324FCB">
      <w:pPr>
        <w:spacing w:after="0"/>
        <w:rPr>
          <w:rFonts w:eastAsia="Calibri" w:cs="Arial"/>
        </w:rPr>
      </w:pPr>
      <w:r w:rsidRPr="0081415E">
        <w:rPr>
          <w:rFonts w:eastAsia="Calibri" w:cs="Arial"/>
        </w:rPr>
        <w:t>Washington, DC  20006</w:t>
      </w:r>
    </w:p>
    <w:p w:rsidR="0081415E" w:rsidRPr="0081415E" w:rsidRDefault="0081415E" w:rsidP="00324FCB">
      <w:pPr>
        <w:spacing w:after="0"/>
        <w:rPr>
          <w:rFonts w:eastAsia="Calibri" w:cs="Arial"/>
        </w:rPr>
      </w:pPr>
      <w:r w:rsidRPr="0081415E">
        <w:rPr>
          <w:rFonts w:eastAsia="Calibri" w:cs="Arial"/>
        </w:rPr>
        <w:t>ghull@eckertseamans.com</w:t>
      </w:r>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Direct Energy Services, LLC and Direct Energy Business, LLC</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Steven Beeler (0078076)</w:t>
      </w:r>
    </w:p>
    <w:p w:rsidR="0081415E" w:rsidRPr="0081415E" w:rsidRDefault="0081415E" w:rsidP="00324FCB">
      <w:pPr>
        <w:spacing w:after="0"/>
        <w:rPr>
          <w:rFonts w:eastAsia="Calibri" w:cs="Arial"/>
        </w:rPr>
      </w:pPr>
      <w:r w:rsidRPr="0081415E">
        <w:rPr>
          <w:rFonts w:eastAsia="Calibri" w:cs="Arial"/>
        </w:rPr>
        <w:t>Thomas Lindgren (0039210)</w:t>
      </w:r>
    </w:p>
    <w:p w:rsidR="0081415E" w:rsidRPr="0081415E" w:rsidRDefault="0081415E" w:rsidP="00324FCB">
      <w:pPr>
        <w:spacing w:after="0"/>
        <w:rPr>
          <w:rFonts w:eastAsia="Calibri" w:cs="Arial"/>
        </w:rPr>
      </w:pPr>
      <w:r w:rsidRPr="0081415E">
        <w:rPr>
          <w:rFonts w:eastAsia="Calibri" w:cs="Arial"/>
        </w:rPr>
        <w:t>Ryan O’Rourke (0082651)</w:t>
      </w:r>
    </w:p>
    <w:p w:rsidR="0081415E" w:rsidRPr="0081415E" w:rsidRDefault="0081415E" w:rsidP="00324FCB">
      <w:pPr>
        <w:spacing w:after="0"/>
        <w:rPr>
          <w:rFonts w:eastAsia="Calibri" w:cs="Arial"/>
        </w:rPr>
      </w:pPr>
      <w:r w:rsidRPr="0081415E">
        <w:rPr>
          <w:rFonts w:eastAsia="Calibri" w:cs="Arial"/>
        </w:rPr>
        <w:t>Assistant Attorneys General</w:t>
      </w:r>
    </w:p>
    <w:p w:rsidR="0081415E" w:rsidRPr="0081415E" w:rsidRDefault="0081415E" w:rsidP="00324FCB">
      <w:pPr>
        <w:spacing w:after="0"/>
        <w:rPr>
          <w:rFonts w:eastAsia="Calibri" w:cs="Arial"/>
        </w:rPr>
      </w:pPr>
      <w:r w:rsidRPr="0081415E">
        <w:rPr>
          <w:rFonts w:eastAsia="Calibri" w:cs="Arial"/>
        </w:rPr>
        <w:t>Public Utilities Commission of Ohio</w:t>
      </w:r>
    </w:p>
    <w:p w:rsidR="0081415E" w:rsidRPr="0081415E" w:rsidRDefault="0081415E" w:rsidP="00324FCB">
      <w:pPr>
        <w:spacing w:after="0"/>
        <w:rPr>
          <w:rFonts w:eastAsia="Calibri" w:cs="Arial"/>
        </w:rPr>
      </w:pPr>
      <w:r w:rsidRPr="0081415E">
        <w:rPr>
          <w:rFonts w:eastAsia="Calibri" w:cs="Arial"/>
        </w:rPr>
        <w:t>180 East Broad Street, 6</w:t>
      </w:r>
      <w:r w:rsidRPr="0081415E">
        <w:rPr>
          <w:rFonts w:eastAsia="Calibri" w:cs="Arial"/>
          <w:vertAlign w:val="superscript"/>
        </w:rPr>
        <w:t>th</w:t>
      </w:r>
      <w:r w:rsidRPr="0081415E">
        <w:rPr>
          <w:rFonts w:eastAsia="Calibri" w:cs="Arial"/>
        </w:rPr>
        <w:t xml:space="preserve"> Floor</w:t>
      </w:r>
    </w:p>
    <w:p w:rsidR="0081415E" w:rsidRPr="0081415E" w:rsidRDefault="0081415E" w:rsidP="00324FCB">
      <w:pPr>
        <w:spacing w:after="0"/>
        <w:rPr>
          <w:rFonts w:eastAsia="Calibri" w:cs="Arial"/>
        </w:rPr>
      </w:pPr>
      <w:r w:rsidRPr="0081415E">
        <w:rPr>
          <w:rFonts w:eastAsia="Calibri" w:cs="Arial"/>
        </w:rPr>
        <w:t>Columbus, OH  43215</w:t>
      </w:r>
    </w:p>
    <w:p w:rsidR="0081415E" w:rsidRPr="0081415E" w:rsidRDefault="002B30F0" w:rsidP="00324FCB">
      <w:pPr>
        <w:spacing w:after="0"/>
        <w:rPr>
          <w:rFonts w:eastAsia="Calibri" w:cs="Arial"/>
        </w:rPr>
      </w:pPr>
      <w:hyperlink r:id="rId35" w:history="1">
        <w:r w:rsidR="0081415E" w:rsidRPr="0081415E">
          <w:rPr>
            <w:rFonts w:eastAsia="Calibri" w:cs="Arial"/>
          </w:rPr>
          <w:t>Steven.Beeler@puc.state.oh.us</w:t>
        </w:r>
      </w:hyperlink>
    </w:p>
    <w:p w:rsidR="0081415E" w:rsidRPr="0081415E" w:rsidRDefault="002B30F0" w:rsidP="00324FCB">
      <w:pPr>
        <w:spacing w:after="0"/>
        <w:rPr>
          <w:rFonts w:eastAsia="Calibri" w:cs="Arial"/>
        </w:rPr>
      </w:pPr>
      <w:hyperlink r:id="rId36" w:history="1">
        <w:r w:rsidR="0081415E" w:rsidRPr="0081415E">
          <w:rPr>
            <w:rFonts w:eastAsia="Calibri" w:cs="Arial"/>
          </w:rPr>
          <w:t>Thomas.Lindgren@puc.state.oh</w:t>
        </w:r>
      </w:hyperlink>
    </w:p>
    <w:p w:rsidR="0081415E" w:rsidRPr="0081415E" w:rsidRDefault="002B30F0" w:rsidP="00324FCB">
      <w:pPr>
        <w:spacing w:after="0"/>
        <w:rPr>
          <w:rFonts w:eastAsia="Calibri" w:cs="Arial"/>
        </w:rPr>
      </w:pPr>
      <w:hyperlink r:id="rId37" w:history="1">
        <w:r w:rsidR="0081415E" w:rsidRPr="0081415E">
          <w:rPr>
            <w:rFonts w:eastAsia="Calibri" w:cs="Arial"/>
          </w:rPr>
          <w:t>Ryan.Orourke@puc.state.oh.us</w:t>
        </w:r>
      </w:hyperlink>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the Staff of the Public Utilities Commission of Ohio</w:t>
      </w:r>
    </w:p>
    <w:p w:rsidR="0081415E" w:rsidRPr="0081415E" w:rsidRDefault="0081415E" w:rsidP="00324FCB">
      <w:pPr>
        <w:spacing w:after="0"/>
        <w:rPr>
          <w:rFonts w:ascii="Arial Bold" w:eastAsia="Calibri" w:hAnsi="Arial Bold" w:cs="Arial"/>
          <w:b/>
          <w:smallCaps/>
        </w:rPr>
      </w:pPr>
    </w:p>
    <w:p w:rsidR="0081415E" w:rsidRPr="0081415E" w:rsidRDefault="0081415E" w:rsidP="00324FCB">
      <w:pPr>
        <w:spacing w:after="0"/>
        <w:rPr>
          <w:rFonts w:eastAsia="Calibri" w:cs="Arial"/>
        </w:rPr>
      </w:pPr>
      <w:r w:rsidRPr="0081415E">
        <w:rPr>
          <w:rFonts w:eastAsia="Calibri" w:cs="Arial"/>
        </w:rPr>
        <w:t>Colleen L. Mooney (0015668)</w:t>
      </w:r>
    </w:p>
    <w:p w:rsidR="0081415E" w:rsidRPr="0081415E" w:rsidRDefault="0081415E" w:rsidP="00324FCB">
      <w:pPr>
        <w:spacing w:after="0"/>
        <w:rPr>
          <w:rFonts w:eastAsia="Calibri" w:cs="Arial"/>
        </w:rPr>
      </w:pPr>
      <w:r w:rsidRPr="0081415E">
        <w:rPr>
          <w:rFonts w:eastAsia="Calibri" w:cs="Arial"/>
        </w:rPr>
        <w:t>Ohio Partners for Affordable Energy</w:t>
      </w:r>
    </w:p>
    <w:p w:rsidR="0081415E" w:rsidRPr="0081415E" w:rsidRDefault="0081415E" w:rsidP="00324FCB">
      <w:pPr>
        <w:spacing w:after="0"/>
        <w:rPr>
          <w:rFonts w:eastAsia="Calibri" w:cs="Arial"/>
        </w:rPr>
      </w:pPr>
      <w:r w:rsidRPr="0081415E">
        <w:rPr>
          <w:rFonts w:eastAsia="Calibri" w:cs="Arial"/>
        </w:rPr>
        <w:t>231 West Lima Street</w:t>
      </w:r>
    </w:p>
    <w:p w:rsidR="0081415E" w:rsidRPr="0081415E" w:rsidRDefault="0081415E" w:rsidP="00324FCB">
      <w:pPr>
        <w:spacing w:after="0"/>
        <w:rPr>
          <w:rFonts w:eastAsia="Calibri" w:cs="Arial"/>
        </w:rPr>
      </w:pPr>
      <w:r w:rsidRPr="0081415E">
        <w:rPr>
          <w:rFonts w:eastAsia="Calibri" w:cs="Arial"/>
        </w:rPr>
        <w:t>Findlay, OH  45839-1793</w:t>
      </w:r>
    </w:p>
    <w:p w:rsidR="0081415E" w:rsidRPr="0081415E" w:rsidRDefault="0081415E" w:rsidP="00324FCB">
      <w:pPr>
        <w:spacing w:after="0"/>
        <w:rPr>
          <w:rFonts w:eastAsia="Calibri" w:cs="Arial"/>
        </w:rPr>
      </w:pPr>
      <w:r w:rsidRPr="0081415E">
        <w:rPr>
          <w:rFonts w:eastAsia="Calibri" w:cs="Arial"/>
        </w:rPr>
        <w:t>cmooney@ohiopartners.org</w:t>
      </w:r>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Ohio Partners for Affordable Energy</w:t>
      </w:r>
    </w:p>
    <w:p w:rsidR="0081415E" w:rsidRPr="0081415E" w:rsidRDefault="0081415E" w:rsidP="00324FCB">
      <w:pPr>
        <w:spacing w:after="0"/>
        <w:rPr>
          <w:rFonts w:eastAsia="Calibri" w:cs="Arial"/>
        </w:rPr>
        <w:sectPr w:rsidR="0081415E" w:rsidRPr="0081415E">
          <w:pgSz w:w="12240" w:h="15840" w:code="1"/>
          <w:pgMar w:top="1440" w:right="1440" w:bottom="1141" w:left="1440" w:header="720" w:footer="720" w:gutter="0"/>
          <w:pgNumType w:start="1"/>
          <w:cols w:num="2" w:space="720"/>
          <w:titlePg/>
          <w:docGrid w:linePitch="326"/>
        </w:sectPr>
      </w:pPr>
    </w:p>
    <w:p w:rsidR="0081415E" w:rsidRPr="0081415E" w:rsidRDefault="0081415E" w:rsidP="00324FCB">
      <w:pPr>
        <w:spacing w:after="0"/>
        <w:rPr>
          <w:rFonts w:eastAsia="Calibri" w:cs="Arial"/>
        </w:rPr>
      </w:pPr>
      <w:r w:rsidRPr="0081415E">
        <w:rPr>
          <w:rFonts w:eastAsia="Calibri" w:cs="Arial"/>
        </w:rPr>
        <w:lastRenderedPageBreak/>
        <w:t>Steven T. Nourse (0046705)</w:t>
      </w:r>
    </w:p>
    <w:p w:rsidR="0081415E" w:rsidRPr="0081415E" w:rsidRDefault="0081415E" w:rsidP="00324FCB">
      <w:pPr>
        <w:spacing w:after="0"/>
        <w:rPr>
          <w:rFonts w:eastAsia="Calibri" w:cs="Arial"/>
        </w:rPr>
      </w:pPr>
      <w:r w:rsidRPr="0081415E">
        <w:rPr>
          <w:rFonts w:eastAsia="Calibri" w:cs="Arial"/>
        </w:rPr>
        <w:t>Matthew J. Satterwhite (0071972)</w:t>
      </w:r>
    </w:p>
    <w:p w:rsidR="0081415E" w:rsidRPr="0081415E" w:rsidRDefault="0081415E" w:rsidP="00324FCB">
      <w:pPr>
        <w:spacing w:after="0"/>
        <w:rPr>
          <w:rFonts w:eastAsia="Calibri" w:cs="Arial"/>
        </w:rPr>
      </w:pPr>
      <w:r w:rsidRPr="0081415E">
        <w:rPr>
          <w:rFonts w:eastAsia="Calibri" w:cs="Arial"/>
        </w:rPr>
        <w:t>Yazen Alami (0086371)</w:t>
      </w:r>
    </w:p>
    <w:p w:rsidR="0081415E" w:rsidRPr="0081415E" w:rsidRDefault="0081415E" w:rsidP="00324FCB">
      <w:pPr>
        <w:spacing w:after="0"/>
        <w:rPr>
          <w:rFonts w:eastAsia="Calibri" w:cs="Arial"/>
        </w:rPr>
      </w:pPr>
      <w:r w:rsidRPr="0081415E">
        <w:rPr>
          <w:rFonts w:eastAsia="Calibri" w:cs="Arial"/>
        </w:rPr>
        <w:t>American Electric Power Service Corp.</w:t>
      </w:r>
    </w:p>
    <w:p w:rsidR="0081415E" w:rsidRPr="0081415E" w:rsidRDefault="0081415E" w:rsidP="00324FCB">
      <w:pPr>
        <w:spacing w:after="0"/>
        <w:rPr>
          <w:rFonts w:eastAsia="Calibri" w:cs="Arial"/>
        </w:rPr>
      </w:pPr>
      <w:r w:rsidRPr="0081415E">
        <w:rPr>
          <w:rFonts w:eastAsia="Calibri" w:cs="Arial"/>
        </w:rPr>
        <w:t>1 Riverside Plaza, 29</w:t>
      </w:r>
      <w:r w:rsidRPr="0081415E">
        <w:rPr>
          <w:rFonts w:eastAsia="Calibri" w:cs="Arial"/>
          <w:vertAlign w:val="superscript"/>
        </w:rPr>
        <w:t>th</w:t>
      </w:r>
      <w:r w:rsidRPr="0081415E">
        <w:rPr>
          <w:rFonts w:eastAsia="Calibri" w:cs="Arial"/>
        </w:rPr>
        <w:t xml:space="preserve"> Floor</w:t>
      </w:r>
    </w:p>
    <w:p w:rsidR="0081415E" w:rsidRPr="0081415E" w:rsidRDefault="0081415E" w:rsidP="00324FCB">
      <w:pPr>
        <w:spacing w:after="0"/>
        <w:rPr>
          <w:rFonts w:eastAsia="Calibri" w:cs="Arial"/>
        </w:rPr>
      </w:pPr>
      <w:r w:rsidRPr="0081415E">
        <w:rPr>
          <w:rFonts w:eastAsia="Calibri" w:cs="Arial"/>
        </w:rPr>
        <w:t>Columbus, OH  43215</w:t>
      </w:r>
    </w:p>
    <w:p w:rsidR="0081415E" w:rsidRPr="0081415E" w:rsidRDefault="002B30F0" w:rsidP="00324FCB">
      <w:pPr>
        <w:spacing w:after="0"/>
        <w:rPr>
          <w:rFonts w:eastAsia="Calibri" w:cs="Arial"/>
        </w:rPr>
      </w:pPr>
      <w:hyperlink r:id="rId38" w:history="1">
        <w:r w:rsidR="0081415E" w:rsidRPr="0081415E">
          <w:rPr>
            <w:rFonts w:eastAsia="Calibri" w:cs="Arial"/>
          </w:rPr>
          <w:t>stnourse@aep.com</w:t>
        </w:r>
      </w:hyperlink>
    </w:p>
    <w:p w:rsidR="0081415E" w:rsidRPr="0081415E" w:rsidRDefault="002B30F0" w:rsidP="00324FCB">
      <w:pPr>
        <w:spacing w:after="0"/>
        <w:rPr>
          <w:rFonts w:eastAsia="Calibri" w:cs="Arial"/>
        </w:rPr>
      </w:pPr>
      <w:hyperlink r:id="rId39" w:history="1">
        <w:r w:rsidR="0081415E" w:rsidRPr="0081415E">
          <w:rPr>
            <w:rFonts w:eastAsia="Calibri" w:cs="Arial"/>
          </w:rPr>
          <w:t>mjsatterwhite@aep.com</w:t>
        </w:r>
      </w:hyperlink>
    </w:p>
    <w:p w:rsidR="0081415E" w:rsidRPr="0081415E" w:rsidRDefault="002B30F0" w:rsidP="00324FCB">
      <w:pPr>
        <w:spacing w:after="0"/>
        <w:rPr>
          <w:rFonts w:eastAsia="Calibri" w:cs="Arial"/>
        </w:rPr>
      </w:pPr>
      <w:hyperlink r:id="rId40" w:history="1">
        <w:r w:rsidR="0081415E" w:rsidRPr="0081415E">
          <w:rPr>
            <w:rFonts w:eastAsia="Calibri" w:cs="Arial"/>
          </w:rPr>
          <w:t>yalami@aep.com</w:t>
        </w:r>
      </w:hyperlink>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Ohio Power Company</w:t>
      </w:r>
    </w:p>
    <w:p w:rsidR="0081415E" w:rsidRPr="0081415E" w:rsidRDefault="0081415E" w:rsidP="00324FCB">
      <w:pPr>
        <w:spacing w:after="0"/>
        <w:rPr>
          <w:rFonts w:ascii="Arial Bold" w:eastAsia="Calibri" w:hAnsi="Arial Bold" w:cs="Arial"/>
          <w:b/>
          <w:smallCaps/>
        </w:rPr>
      </w:pPr>
    </w:p>
    <w:p w:rsidR="0081415E" w:rsidRPr="0081415E" w:rsidRDefault="0081415E" w:rsidP="00324FCB">
      <w:pPr>
        <w:spacing w:after="0"/>
        <w:rPr>
          <w:rFonts w:eastAsia="Calibri" w:cs="Arial"/>
        </w:rPr>
      </w:pPr>
      <w:r w:rsidRPr="0081415E">
        <w:rPr>
          <w:rFonts w:eastAsia="Calibri" w:cs="Arial"/>
        </w:rPr>
        <w:t>Trent Dougherty (0079817)</w:t>
      </w:r>
    </w:p>
    <w:p w:rsidR="0081415E" w:rsidRPr="0081415E" w:rsidRDefault="0081415E" w:rsidP="00324FCB">
      <w:pPr>
        <w:spacing w:after="0"/>
        <w:rPr>
          <w:rFonts w:eastAsia="Calibri" w:cs="Arial"/>
        </w:rPr>
      </w:pPr>
      <w:r w:rsidRPr="0081415E">
        <w:rPr>
          <w:rFonts w:eastAsia="Calibri" w:cs="Arial"/>
        </w:rPr>
        <w:t>1207 Grandview Avenue, Suite 201</w:t>
      </w:r>
      <w:r w:rsidRPr="0081415E">
        <w:rPr>
          <w:rFonts w:eastAsia="Calibri" w:cs="Arial"/>
        </w:rPr>
        <w:tab/>
      </w:r>
    </w:p>
    <w:p w:rsidR="0081415E" w:rsidRPr="0081415E" w:rsidRDefault="0081415E" w:rsidP="00324FCB">
      <w:pPr>
        <w:spacing w:after="0"/>
        <w:rPr>
          <w:rFonts w:eastAsia="Calibri" w:cs="Arial"/>
        </w:rPr>
      </w:pPr>
      <w:r w:rsidRPr="0081415E">
        <w:rPr>
          <w:rFonts w:eastAsia="Calibri" w:cs="Arial"/>
        </w:rPr>
        <w:t>Columbus, OH  43212-3449</w:t>
      </w:r>
    </w:p>
    <w:p w:rsidR="0081415E" w:rsidRPr="0081415E" w:rsidRDefault="0081415E" w:rsidP="00324FCB">
      <w:pPr>
        <w:spacing w:after="0"/>
        <w:rPr>
          <w:rFonts w:eastAsia="Calibri" w:cs="Arial"/>
        </w:rPr>
      </w:pPr>
      <w:r w:rsidRPr="0081415E">
        <w:rPr>
          <w:rFonts w:eastAsia="Calibri" w:cs="Arial"/>
        </w:rPr>
        <w:t>tdougherty@theOEC.org</w:t>
      </w:r>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the Ohio Environmental Council</w:t>
      </w:r>
    </w:p>
    <w:p w:rsidR="0081415E" w:rsidRPr="0081415E" w:rsidRDefault="0081415E" w:rsidP="00324FCB">
      <w:pPr>
        <w:spacing w:after="0"/>
        <w:rPr>
          <w:rFonts w:ascii="Arial Bold" w:eastAsia="Calibri" w:hAnsi="Arial Bold" w:cs="Arial"/>
          <w:b/>
          <w:smallCaps/>
        </w:rPr>
      </w:pPr>
    </w:p>
    <w:p w:rsidR="0081415E" w:rsidRPr="0081415E" w:rsidRDefault="0081415E" w:rsidP="00324FCB">
      <w:pPr>
        <w:spacing w:after="0"/>
        <w:rPr>
          <w:rFonts w:eastAsia="Calibri" w:cs="Arial"/>
        </w:rPr>
      </w:pPr>
      <w:r w:rsidRPr="0081415E">
        <w:rPr>
          <w:rFonts w:eastAsia="Calibri" w:cs="Arial"/>
        </w:rPr>
        <w:t>Christopher J. Allwein (0084914)</w:t>
      </w:r>
    </w:p>
    <w:p w:rsidR="0081415E" w:rsidRPr="0081415E" w:rsidRDefault="0081415E" w:rsidP="00324FCB">
      <w:pPr>
        <w:spacing w:after="0"/>
        <w:rPr>
          <w:rFonts w:eastAsia="Calibri" w:cs="Arial"/>
        </w:rPr>
      </w:pPr>
      <w:r w:rsidRPr="0081415E">
        <w:rPr>
          <w:rFonts w:eastAsia="Calibri" w:cs="Arial"/>
        </w:rPr>
        <w:t>Todd M. Williams (0083647)</w:t>
      </w:r>
    </w:p>
    <w:p w:rsidR="0081415E" w:rsidRPr="0081415E" w:rsidRDefault="0081415E" w:rsidP="00324FCB">
      <w:pPr>
        <w:spacing w:after="0"/>
        <w:rPr>
          <w:rFonts w:eastAsia="Calibri" w:cs="Arial"/>
        </w:rPr>
      </w:pPr>
      <w:r w:rsidRPr="0081415E">
        <w:rPr>
          <w:rFonts w:eastAsia="Calibri" w:cs="Arial"/>
        </w:rPr>
        <w:t>Williams Allwein and Moser, LLC</w:t>
      </w:r>
    </w:p>
    <w:p w:rsidR="0081415E" w:rsidRPr="0081415E" w:rsidRDefault="0081415E" w:rsidP="00324FCB">
      <w:pPr>
        <w:spacing w:after="0"/>
        <w:rPr>
          <w:rFonts w:eastAsia="Calibri" w:cs="Arial"/>
        </w:rPr>
      </w:pPr>
      <w:r w:rsidRPr="0081415E">
        <w:rPr>
          <w:rFonts w:eastAsia="Calibri" w:cs="Arial"/>
        </w:rPr>
        <w:t>1500 West Third Avenue, Suite 330</w:t>
      </w:r>
    </w:p>
    <w:p w:rsidR="0081415E" w:rsidRPr="0081415E" w:rsidRDefault="0081415E" w:rsidP="00324FCB">
      <w:pPr>
        <w:spacing w:after="0"/>
        <w:rPr>
          <w:rFonts w:eastAsia="Calibri" w:cs="Arial"/>
        </w:rPr>
      </w:pPr>
      <w:r w:rsidRPr="0081415E">
        <w:rPr>
          <w:rFonts w:eastAsia="Calibri" w:cs="Arial"/>
        </w:rPr>
        <w:t>Columbus, OH  43212</w:t>
      </w:r>
    </w:p>
    <w:p w:rsidR="0081415E" w:rsidRPr="0081415E" w:rsidRDefault="002B30F0" w:rsidP="00324FCB">
      <w:pPr>
        <w:spacing w:after="0"/>
        <w:rPr>
          <w:rFonts w:eastAsia="Calibri" w:cs="Arial"/>
        </w:rPr>
      </w:pPr>
      <w:hyperlink r:id="rId41" w:history="1">
        <w:r w:rsidR="0081415E" w:rsidRPr="0081415E">
          <w:rPr>
            <w:rFonts w:eastAsia="Calibri" w:cs="Arial"/>
          </w:rPr>
          <w:t>callwein@wamenergylaw.com</w:t>
        </w:r>
      </w:hyperlink>
    </w:p>
    <w:p w:rsidR="0081415E" w:rsidRPr="0081415E" w:rsidRDefault="002B30F0" w:rsidP="00324FCB">
      <w:pPr>
        <w:spacing w:after="0"/>
        <w:rPr>
          <w:rFonts w:eastAsia="Calibri" w:cs="Arial"/>
        </w:rPr>
      </w:pPr>
      <w:hyperlink r:id="rId42" w:history="1">
        <w:r w:rsidR="0081415E" w:rsidRPr="0081415E">
          <w:rPr>
            <w:rFonts w:eastAsia="Calibri" w:cs="Arial"/>
          </w:rPr>
          <w:t>toddm@wamenergylaw.com</w:t>
        </w:r>
      </w:hyperlink>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Tony G. Mendoza (PHV-5610-2014)</w:t>
      </w:r>
    </w:p>
    <w:p w:rsidR="0081415E" w:rsidRPr="0081415E" w:rsidRDefault="0081415E" w:rsidP="00324FCB">
      <w:pPr>
        <w:spacing w:after="0"/>
        <w:rPr>
          <w:rFonts w:eastAsia="Calibri" w:cs="Arial"/>
        </w:rPr>
      </w:pPr>
      <w:r w:rsidRPr="0081415E">
        <w:rPr>
          <w:rFonts w:eastAsia="Calibri" w:cs="Arial"/>
        </w:rPr>
        <w:t>Sierra Club</w:t>
      </w:r>
    </w:p>
    <w:p w:rsidR="0081415E" w:rsidRPr="0081415E" w:rsidRDefault="0081415E" w:rsidP="00324FCB">
      <w:pPr>
        <w:spacing w:after="0"/>
        <w:rPr>
          <w:rFonts w:eastAsia="Calibri" w:cs="Arial"/>
        </w:rPr>
      </w:pPr>
      <w:r w:rsidRPr="0081415E">
        <w:rPr>
          <w:rFonts w:eastAsia="Calibri" w:cs="Arial"/>
        </w:rPr>
        <w:t>Environmental Law Program</w:t>
      </w:r>
    </w:p>
    <w:p w:rsidR="0081415E" w:rsidRPr="0081415E" w:rsidRDefault="0081415E" w:rsidP="00324FCB">
      <w:pPr>
        <w:spacing w:after="0"/>
        <w:rPr>
          <w:rFonts w:eastAsia="Calibri" w:cs="Arial"/>
        </w:rPr>
      </w:pPr>
      <w:r w:rsidRPr="0081415E">
        <w:rPr>
          <w:rFonts w:eastAsia="Calibri" w:cs="Arial"/>
        </w:rPr>
        <w:t>85 Second Street, 2</w:t>
      </w:r>
      <w:r w:rsidRPr="0081415E">
        <w:rPr>
          <w:rFonts w:eastAsia="Calibri" w:cs="Arial"/>
          <w:vertAlign w:val="superscript"/>
        </w:rPr>
        <w:t>nd</w:t>
      </w:r>
      <w:r w:rsidRPr="0081415E">
        <w:rPr>
          <w:rFonts w:eastAsia="Calibri" w:cs="Arial"/>
        </w:rPr>
        <w:t xml:space="preserve"> Floor</w:t>
      </w:r>
    </w:p>
    <w:p w:rsidR="0081415E" w:rsidRPr="0081415E" w:rsidRDefault="0081415E" w:rsidP="00324FCB">
      <w:pPr>
        <w:spacing w:after="0"/>
        <w:rPr>
          <w:rFonts w:eastAsia="Calibri" w:cs="Arial"/>
        </w:rPr>
      </w:pPr>
      <w:r w:rsidRPr="0081415E">
        <w:rPr>
          <w:rFonts w:eastAsia="Calibri" w:cs="Arial"/>
        </w:rPr>
        <w:t>San Francisco, CA  94105-3459</w:t>
      </w:r>
    </w:p>
    <w:p w:rsidR="0081415E" w:rsidRPr="0081415E" w:rsidRDefault="0081415E" w:rsidP="00324FCB">
      <w:pPr>
        <w:spacing w:after="0"/>
        <w:rPr>
          <w:rFonts w:eastAsia="Calibri" w:cs="Arial"/>
        </w:rPr>
      </w:pPr>
      <w:r w:rsidRPr="0081415E">
        <w:rPr>
          <w:rFonts w:eastAsia="Calibri" w:cs="Arial"/>
        </w:rPr>
        <w:t>tony.mendoza@sierraclub.org</w:t>
      </w:r>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the Sierra Club</w:t>
      </w:r>
    </w:p>
    <w:p w:rsidR="0081415E" w:rsidRPr="0081415E" w:rsidRDefault="0081415E" w:rsidP="00324FCB">
      <w:pPr>
        <w:spacing w:after="0"/>
        <w:rPr>
          <w:rFonts w:ascii="Arial Bold" w:eastAsia="Calibri" w:hAnsi="Arial Bold" w:cs="Arial"/>
          <w:smallCaps/>
        </w:rPr>
      </w:pPr>
    </w:p>
    <w:p w:rsidR="0081415E" w:rsidRPr="0081415E" w:rsidRDefault="0081415E" w:rsidP="00324FCB">
      <w:pPr>
        <w:spacing w:after="0"/>
        <w:rPr>
          <w:rFonts w:eastAsia="Calibri" w:cs="Arial"/>
        </w:rPr>
      </w:pPr>
      <w:r w:rsidRPr="0081415E">
        <w:rPr>
          <w:rFonts w:eastAsia="Calibri" w:cs="Arial"/>
        </w:rPr>
        <w:br w:type="column"/>
      </w:r>
      <w:r w:rsidRPr="0081415E">
        <w:rPr>
          <w:rFonts w:eastAsia="Calibri" w:cs="Arial"/>
        </w:rPr>
        <w:lastRenderedPageBreak/>
        <w:t>M. Howard Petricoff (0008287)</w:t>
      </w:r>
    </w:p>
    <w:p w:rsidR="0081415E" w:rsidRPr="0081415E" w:rsidRDefault="0081415E" w:rsidP="00324FCB">
      <w:pPr>
        <w:spacing w:after="0"/>
        <w:rPr>
          <w:rFonts w:eastAsia="Calibri" w:cs="Arial"/>
        </w:rPr>
      </w:pPr>
      <w:r w:rsidRPr="0081415E">
        <w:rPr>
          <w:rFonts w:eastAsia="Calibri" w:cs="Arial"/>
        </w:rPr>
        <w:t>Michael J. Settineri (0073369)</w:t>
      </w:r>
    </w:p>
    <w:p w:rsidR="0081415E" w:rsidRPr="0081415E" w:rsidRDefault="0081415E" w:rsidP="00324FCB">
      <w:pPr>
        <w:spacing w:after="0"/>
        <w:rPr>
          <w:rFonts w:eastAsia="Calibri" w:cs="Arial"/>
        </w:rPr>
      </w:pPr>
      <w:r w:rsidRPr="0081415E">
        <w:rPr>
          <w:rFonts w:eastAsia="Calibri" w:cs="Arial"/>
        </w:rPr>
        <w:t>Gretchen L. Petrucci (0046608)</w:t>
      </w:r>
    </w:p>
    <w:p w:rsidR="0081415E" w:rsidRPr="0081415E" w:rsidRDefault="0081415E" w:rsidP="00324FCB">
      <w:pPr>
        <w:spacing w:after="0"/>
        <w:rPr>
          <w:rFonts w:eastAsia="Calibri" w:cs="Arial"/>
        </w:rPr>
      </w:pPr>
      <w:r w:rsidRPr="0081415E">
        <w:rPr>
          <w:rFonts w:eastAsia="Calibri" w:cs="Arial"/>
        </w:rPr>
        <w:t>Vorys, Sater, Seymour and Pease LLP</w:t>
      </w:r>
    </w:p>
    <w:p w:rsidR="0081415E" w:rsidRPr="0081415E" w:rsidRDefault="0081415E" w:rsidP="00324FCB">
      <w:pPr>
        <w:spacing w:after="0"/>
        <w:rPr>
          <w:rFonts w:eastAsia="Calibri" w:cs="Arial"/>
        </w:rPr>
      </w:pPr>
      <w:r w:rsidRPr="0081415E">
        <w:rPr>
          <w:rFonts w:eastAsia="Calibri" w:cs="Arial"/>
        </w:rPr>
        <w:t>52 East Gay Street</w:t>
      </w:r>
    </w:p>
    <w:p w:rsidR="0081415E" w:rsidRPr="0081415E" w:rsidRDefault="0081415E" w:rsidP="00324FCB">
      <w:pPr>
        <w:spacing w:after="0"/>
        <w:rPr>
          <w:rFonts w:eastAsia="Calibri" w:cs="Arial"/>
        </w:rPr>
      </w:pPr>
      <w:r w:rsidRPr="0081415E">
        <w:rPr>
          <w:rFonts w:eastAsia="Calibri" w:cs="Arial"/>
        </w:rPr>
        <w:t>P.O. Box 1008</w:t>
      </w:r>
    </w:p>
    <w:p w:rsidR="0081415E" w:rsidRPr="0081415E" w:rsidRDefault="0081415E" w:rsidP="00324FCB">
      <w:pPr>
        <w:spacing w:after="0"/>
        <w:rPr>
          <w:rFonts w:eastAsia="Calibri" w:cs="Arial"/>
        </w:rPr>
      </w:pPr>
      <w:r w:rsidRPr="0081415E">
        <w:rPr>
          <w:rFonts w:eastAsia="Calibri" w:cs="Arial"/>
        </w:rPr>
        <w:t>Columbus, OH  43216-1008</w:t>
      </w:r>
    </w:p>
    <w:p w:rsidR="0081415E" w:rsidRPr="0081415E" w:rsidRDefault="0081415E" w:rsidP="00324FCB">
      <w:pPr>
        <w:spacing w:after="0"/>
        <w:rPr>
          <w:rFonts w:eastAsia="Calibri" w:cs="Arial"/>
        </w:rPr>
      </w:pPr>
      <w:r w:rsidRPr="0081415E">
        <w:rPr>
          <w:rFonts w:eastAsia="Calibri" w:cs="Arial"/>
        </w:rPr>
        <w:t>mhpetricoff@vorys.com</w:t>
      </w:r>
    </w:p>
    <w:p w:rsidR="0081415E" w:rsidRPr="0081415E" w:rsidRDefault="0081415E" w:rsidP="00324FCB">
      <w:pPr>
        <w:spacing w:after="0"/>
        <w:rPr>
          <w:rFonts w:eastAsia="Calibri" w:cs="Arial"/>
        </w:rPr>
      </w:pPr>
      <w:r w:rsidRPr="0081415E">
        <w:rPr>
          <w:rFonts w:eastAsia="Calibri" w:cs="Arial"/>
        </w:rPr>
        <w:t>mjsettineri@vorys.com</w:t>
      </w:r>
    </w:p>
    <w:p w:rsidR="0081415E" w:rsidRPr="0081415E" w:rsidRDefault="0081415E" w:rsidP="00324FCB">
      <w:pPr>
        <w:spacing w:after="0"/>
        <w:rPr>
          <w:rFonts w:eastAsia="Calibri" w:cs="Arial"/>
        </w:rPr>
      </w:pPr>
      <w:r w:rsidRPr="0081415E">
        <w:rPr>
          <w:rFonts w:eastAsia="Calibri" w:cs="Arial"/>
        </w:rPr>
        <w:t>glpetrucci@vorys.com</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ascii="Arial Bold" w:eastAsia="Calibri" w:hAnsi="Arial Bold" w:cs="Arial"/>
          <w:b/>
          <w:smallCaps/>
        </w:rPr>
        <w:t>On Behalf of Constellation NewEnergy, Inc. and Exelon Generation Company, LLC, Miami University, University of Cincinnati, Retail Energy Supply Association</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Andrew J. Sonderman (0008610)</w:t>
      </w:r>
    </w:p>
    <w:p w:rsidR="0081415E" w:rsidRPr="0081415E" w:rsidRDefault="0081415E" w:rsidP="00324FCB">
      <w:pPr>
        <w:spacing w:after="0"/>
        <w:rPr>
          <w:rFonts w:eastAsia="Calibri" w:cs="Arial"/>
        </w:rPr>
      </w:pPr>
      <w:r w:rsidRPr="0081415E">
        <w:rPr>
          <w:rFonts w:eastAsia="Calibri" w:cs="Arial"/>
        </w:rPr>
        <w:t>Margeaux Kimbrough(0085152)</w:t>
      </w:r>
    </w:p>
    <w:p w:rsidR="0081415E" w:rsidRPr="0081415E" w:rsidRDefault="0081415E" w:rsidP="00324FCB">
      <w:pPr>
        <w:spacing w:after="0"/>
        <w:rPr>
          <w:rFonts w:eastAsia="Calibri" w:cs="Arial"/>
        </w:rPr>
      </w:pPr>
      <w:r w:rsidRPr="0081415E">
        <w:rPr>
          <w:rFonts w:eastAsia="Calibri" w:cs="Arial"/>
        </w:rPr>
        <w:t>Kegler Brown Hill &amp; Ritter LPA</w:t>
      </w:r>
    </w:p>
    <w:p w:rsidR="0081415E" w:rsidRPr="0081415E" w:rsidRDefault="0081415E" w:rsidP="00324FCB">
      <w:pPr>
        <w:spacing w:after="0"/>
        <w:rPr>
          <w:rFonts w:eastAsia="Calibri" w:cs="Arial"/>
        </w:rPr>
      </w:pPr>
      <w:r w:rsidRPr="0081415E">
        <w:rPr>
          <w:rFonts w:eastAsia="Calibri" w:cs="Arial"/>
        </w:rPr>
        <w:t>Capitol Square, Suite 1800</w:t>
      </w:r>
    </w:p>
    <w:p w:rsidR="0081415E" w:rsidRPr="0081415E" w:rsidRDefault="0081415E" w:rsidP="00324FCB">
      <w:pPr>
        <w:spacing w:after="0"/>
        <w:rPr>
          <w:rFonts w:eastAsia="Calibri" w:cs="Arial"/>
        </w:rPr>
      </w:pPr>
      <w:r w:rsidRPr="0081415E">
        <w:rPr>
          <w:rFonts w:eastAsia="Calibri" w:cs="Arial"/>
        </w:rPr>
        <w:t>65 East State Street</w:t>
      </w:r>
    </w:p>
    <w:p w:rsidR="0081415E" w:rsidRPr="0081415E" w:rsidRDefault="0081415E" w:rsidP="00324FCB">
      <w:pPr>
        <w:spacing w:after="0"/>
        <w:rPr>
          <w:rFonts w:eastAsia="Calibri" w:cs="Arial"/>
        </w:rPr>
      </w:pPr>
      <w:r w:rsidRPr="0081415E">
        <w:rPr>
          <w:rFonts w:eastAsia="Calibri" w:cs="Arial"/>
        </w:rPr>
        <w:t>Columbus, OH  43215-4294</w:t>
      </w:r>
    </w:p>
    <w:p w:rsidR="0081415E" w:rsidRPr="0081415E" w:rsidRDefault="0081415E" w:rsidP="00324FCB">
      <w:pPr>
        <w:spacing w:after="0"/>
        <w:rPr>
          <w:rFonts w:eastAsia="Calibri" w:cs="Arial"/>
        </w:rPr>
      </w:pPr>
      <w:r w:rsidRPr="0081415E">
        <w:rPr>
          <w:rFonts w:eastAsia="Calibri" w:cs="Arial"/>
        </w:rPr>
        <w:t>asonderman@keglerbrown.com</w:t>
      </w:r>
    </w:p>
    <w:p w:rsidR="0081415E" w:rsidRPr="0081415E" w:rsidRDefault="0081415E" w:rsidP="00324FCB">
      <w:pPr>
        <w:spacing w:after="0"/>
        <w:rPr>
          <w:rFonts w:eastAsia="Calibri" w:cs="Arial"/>
        </w:rPr>
      </w:pPr>
      <w:r w:rsidRPr="0081415E">
        <w:rPr>
          <w:rFonts w:eastAsia="Calibri" w:cs="Arial"/>
        </w:rPr>
        <w:t>mkimbrough@keglerbrown.com</w:t>
      </w:r>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People Working Cooperatively, Inc.</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sectPr w:rsidR="0081415E" w:rsidRPr="0081415E">
          <w:pgSz w:w="12240" w:h="15840" w:code="1"/>
          <w:pgMar w:top="1440" w:right="1440" w:bottom="1141" w:left="1440" w:header="720" w:footer="720" w:gutter="0"/>
          <w:pgNumType w:start="1"/>
          <w:cols w:num="2" w:space="720"/>
          <w:titlePg/>
          <w:docGrid w:linePitch="326"/>
        </w:sectPr>
      </w:pPr>
    </w:p>
    <w:p w:rsidR="0081415E" w:rsidRPr="0081415E" w:rsidRDefault="0081415E" w:rsidP="00324FCB">
      <w:pPr>
        <w:spacing w:after="0"/>
        <w:rPr>
          <w:rFonts w:eastAsia="Calibri" w:cs="Arial"/>
        </w:rPr>
      </w:pPr>
      <w:r w:rsidRPr="0081415E">
        <w:rPr>
          <w:rFonts w:eastAsia="Calibri" w:cs="Arial"/>
        </w:rPr>
        <w:lastRenderedPageBreak/>
        <w:t>David I. Fein</w:t>
      </w:r>
    </w:p>
    <w:p w:rsidR="0081415E" w:rsidRPr="0081415E" w:rsidRDefault="0081415E" w:rsidP="00324FCB">
      <w:pPr>
        <w:spacing w:after="0"/>
        <w:rPr>
          <w:rFonts w:eastAsia="Calibri" w:cs="Arial"/>
        </w:rPr>
      </w:pPr>
      <w:r w:rsidRPr="0081415E">
        <w:rPr>
          <w:rFonts w:eastAsia="Calibri" w:cs="Arial"/>
        </w:rPr>
        <w:t>Vice President, State Government Affairs—East</w:t>
      </w:r>
    </w:p>
    <w:p w:rsidR="0081415E" w:rsidRPr="0081415E" w:rsidRDefault="0081415E" w:rsidP="00324FCB">
      <w:pPr>
        <w:spacing w:after="0"/>
        <w:rPr>
          <w:rFonts w:eastAsia="Calibri" w:cs="Arial"/>
        </w:rPr>
      </w:pPr>
      <w:r w:rsidRPr="0081415E">
        <w:rPr>
          <w:rFonts w:eastAsia="Calibri" w:cs="Arial"/>
        </w:rPr>
        <w:t>Exelon Corporation</w:t>
      </w:r>
    </w:p>
    <w:p w:rsidR="0081415E" w:rsidRPr="0081415E" w:rsidRDefault="0081415E" w:rsidP="00324FCB">
      <w:pPr>
        <w:spacing w:after="0"/>
        <w:rPr>
          <w:rFonts w:eastAsia="Calibri" w:cs="Arial"/>
        </w:rPr>
      </w:pPr>
      <w:r w:rsidRPr="0081415E">
        <w:rPr>
          <w:rFonts w:eastAsia="Calibri" w:cs="Arial"/>
        </w:rPr>
        <w:t>10 South Dearborn Street, 47</w:t>
      </w:r>
      <w:r w:rsidRPr="0081415E">
        <w:rPr>
          <w:rFonts w:eastAsia="Calibri" w:cs="Arial"/>
          <w:vertAlign w:val="superscript"/>
        </w:rPr>
        <w:t>th</w:t>
      </w:r>
      <w:r w:rsidRPr="0081415E">
        <w:rPr>
          <w:rFonts w:eastAsia="Calibri" w:cs="Arial"/>
        </w:rPr>
        <w:t xml:space="preserve"> Floor</w:t>
      </w:r>
    </w:p>
    <w:p w:rsidR="0081415E" w:rsidRPr="0081415E" w:rsidRDefault="0081415E" w:rsidP="00324FCB">
      <w:pPr>
        <w:spacing w:after="0"/>
        <w:rPr>
          <w:rFonts w:eastAsia="Calibri" w:cs="Arial"/>
        </w:rPr>
      </w:pPr>
      <w:r w:rsidRPr="0081415E">
        <w:rPr>
          <w:rFonts w:eastAsia="Calibri" w:cs="Arial"/>
        </w:rPr>
        <w:t>Chicago, IL  60603</w:t>
      </w:r>
    </w:p>
    <w:p w:rsidR="0081415E" w:rsidRPr="0081415E" w:rsidRDefault="0081415E" w:rsidP="00324FCB">
      <w:pPr>
        <w:spacing w:after="0"/>
        <w:rPr>
          <w:rFonts w:eastAsia="Calibri" w:cs="Arial"/>
        </w:rPr>
      </w:pPr>
      <w:r w:rsidRPr="0081415E">
        <w:rPr>
          <w:rFonts w:eastAsia="Calibri" w:cs="Arial"/>
        </w:rPr>
        <w:t>david.fein@exeloncorp.com</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Cynthia Fonner Brady</w:t>
      </w:r>
    </w:p>
    <w:p w:rsidR="0081415E" w:rsidRPr="0081415E" w:rsidRDefault="0081415E" w:rsidP="00324FCB">
      <w:pPr>
        <w:spacing w:after="0"/>
        <w:rPr>
          <w:rFonts w:eastAsia="Calibri" w:cs="Arial"/>
        </w:rPr>
      </w:pPr>
      <w:r w:rsidRPr="0081415E">
        <w:rPr>
          <w:rFonts w:eastAsia="Calibri" w:cs="Arial"/>
        </w:rPr>
        <w:t>Assistant General Counsel</w:t>
      </w:r>
    </w:p>
    <w:p w:rsidR="0081415E" w:rsidRPr="0081415E" w:rsidRDefault="0081415E" w:rsidP="00324FCB">
      <w:pPr>
        <w:spacing w:after="0"/>
        <w:rPr>
          <w:rFonts w:eastAsia="Calibri" w:cs="Arial"/>
        </w:rPr>
      </w:pPr>
      <w:r w:rsidRPr="0081415E">
        <w:rPr>
          <w:rFonts w:eastAsia="Calibri" w:cs="Arial"/>
        </w:rPr>
        <w:t>Exelon Business Services Company</w:t>
      </w:r>
    </w:p>
    <w:p w:rsidR="0081415E" w:rsidRPr="0081415E" w:rsidRDefault="0081415E" w:rsidP="00324FCB">
      <w:pPr>
        <w:spacing w:after="0"/>
        <w:rPr>
          <w:rFonts w:eastAsia="Calibri" w:cs="Arial"/>
        </w:rPr>
      </w:pPr>
      <w:r w:rsidRPr="0081415E">
        <w:rPr>
          <w:rFonts w:eastAsia="Calibri" w:cs="Arial"/>
        </w:rPr>
        <w:t>4300 Winfield Road</w:t>
      </w:r>
    </w:p>
    <w:p w:rsidR="0081415E" w:rsidRPr="0081415E" w:rsidRDefault="0081415E" w:rsidP="00324FCB">
      <w:pPr>
        <w:spacing w:after="0"/>
        <w:rPr>
          <w:rFonts w:eastAsia="Calibri" w:cs="Arial"/>
        </w:rPr>
      </w:pPr>
      <w:r w:rsidRPr="0081415E">
        <w:rPr>
          <w:rFonts w:eastAsia="Calibri" w:cs="Arial"/>
        </w:rPr>
        <w:t>Warrenville, IL  60555</w:t>
      </w:r>
    </w:p>
    <w:p w:rsidR="0081415E" w:rsidRPr="0081415E" w:rsidRDefault="0081415E" w:rsidP="00324FCB">
      <w:pPr>
        <w:spacing w:after="0"/>
        <w:rPr>
          <w:rFonts w:eastAsia="Calibri" w:cs="Arial"/>
        </w:rPr>
      </w:pPr>
      <w:r w:rsidRPr="0081415E">
        <w:rPr>
          <w:rFonts w:eastAsia="Calibri" w:cs="Arial"/>
        </w:rPr>
        <w:t>cynthia.brady@constellation.com</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Lael Campbell</w:t>
      </w:r>
    </w:p>
    <w:p w:rsidR="0081415E" w:rsidRPr="0081415E" w:rsidRDefault="0081415E" w:rsidP="00324FCB">
      <w:pPr>
        <w:spacing w:after="0"/>
        <w:rPr>
          <w:rFonts w:eastAsia="Calibri" w:cs="Arial"/>
        </w:rPr>
      </w:pPr>
      <w:r w:rsidRPr="0081415E">
        <w:rPr>
          <w:rFonts w:eastAsia="Calibri" w:cs="Arial"/>
        </w:rPr>
        <w:t>Exelon</w:t>
      </w:r>
    </w:p>
    <w:p w:rsidR="0081415E" w:rsidRPr="0081415E" w:rsidRDefault="0081415E" w:rsidP="00324FCB">
      <w:pPr>
        <w:spacing w:after="0"/>
        <w:rPr>
          <w:rFonts w:eastAsia="Calibri" w:cs="Arial"/>
        </w:rPr>
      </w:pPr>
      <w:r w:rsidRPr="0081415E">
        <w:rPr>
          <w:rFonts w:eastAsia="Calibri" w:cs="Arial"/>
        </w:rPr>
        <w:t>101 Constitution Ave, NW</w:t>
      </w:r>
    </w:p>
    <w:p w:rsidR="0081415E" w:rsidRPr="0081415E" w:rsidRDefault="0081415E" w:rsidP="00324FCB">
      <w:pPr>
        <w:spacing w:after="0"/>
        <w:rPr>
          <w:rFonts w:eastAsia="Calibri" w:cs="Arial"/>
        </w:rPr>
      </w:pPr>
      <w:r w:rsidRPr="0081415E">
        <w:rPr>
          <w:rFonts w:eastAsia="Calibri" w:cs="Arial"/>
        </w:rPr>
        <w:t>Washington, DC  20001</w:t>
      </w:r>
    </w:p>
    <w:p w:rsidR="0081415E" w:rsidRPr="0081415E" w:rsidRDefault="0081415E" w:rsidP="00324FCB">
      <w:pPr>
        <w:spacing w:after="0"/>
        <w:rPr>
          <w:rFonts w:eastAsia="Calibri" w:cs="Arial"/>
        </w:rPr>
      </w:pPr>
      <w:r w:rsidRPr="0081415E">
        <w:rPr>
          <w:rFonts w:eastAsia="Calibri" w:cs="Arial"/>
        </w:rPr>
        <w:t>Lael.Campbell@constellation.com</w:t>
      </w:r>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Constellation NewEnergy, Inc. and Exelon Generation Company, LLC</w:t>
      </w:r>
    </w:p>
    <w:p w:rsidR="0081415E" w:rsidRPr="0081415E" w:rsidRDefault="0081415E" w:rsidP="00324FCB">
      <w:pPr>
        <w:spacing w:after="0"/>
        <w:rPr>
          <w:rFonts w:ascii="Arial Bold" w:eastAsia="Calibri" w:hAnsi="Arial Bold" w:cs="Arial"/>
          <w:b/>
          <w:smallCaps/>
        </w:rPr>
      </w:pPr>
    </w:p>
    <w:p w:rsidR="0081415E" w:rsidRPr="0081415E" w:rsidRDefault="0081415E" w:rsidP="00324FCB">
      <w:pPr>
        <w:spacing w:after="0"/>
        <w:rPr>
          <w:rFonts w:eastAsia="Calibri" w:cs="Arial"/>
        </w:rPr>
      </w:pPr>
      <w:r w:rsidRPr="0081415E">
        <w:rPr>
          <w:rFonts w:eastAsia="Calibri" w:cs="Arial"/>
        </w:rPr>
        <w:t>Justin Vickers</w:t>
      </w:r>
    </w:p>
    <w:p w:rsidR="0081415E" w:rsidRPr="0081415E" w:rsidRDefault="0081415E" w:rsidP="00324FCB">
      <w:pPr>
        <w:spacing w:after="0"/>
        <w:rPr>
          <w:rFonts w:eastAsia="Calibri" w:cs="Arial"/>
        </w:rPr>
      </w:pPr>
      <w:r w:rsidRPr="0081415E">
        <w:rPr>
          <w:rFonts w:eastAsia="Calibri" w:cs="Arial"/>
        </w:rPr>
        <w:t>35 East Wacker Drive, Suite 1600</w:t>
      </w:r>
    </w:p>
    <w:p w:rsidR="0081415E" w:rsidRPr="0081415E" w:rsidRDefault="0081415E" w:rsidP="00324FCB">
      <w:pPr>
        <w:spacing w:after="0"/>
        <w:rPr>
          <w:rFonts w:eastAsia="Calibri" w:cs="Arial"/>
        </w:rPr>
      </w:pPr>
      <w:r w:rsidRPr="0081415E">
        <w:rPr>
          <w:rFonts w:eastAsia="Calibri" w:cs="Arial"/>
        </w:rPr>
        <w:t>Chicago, IL  60601</w:t>
      </w:r>
    </w:p>
    <w:p w:rsidR="0081415E" w:rsidRPr="0081415E" w:rsidRDefault="0081415E" w:rsidP="00324FCB">
      <w:pPr>
        <w:spacing w:after="0"/>
        <w:rPr>
          <w:rFonts w:eastAsia="Calibri" w:cs="Arial"/>
        </w:rPr>
      </w:pPr>
      <w:r w:rsidRPr="0081415E">
        <w:rPr>
          <w:rFonts w:eastAsia="Calibri" w:cs="Arial"/>
        </w:rPr>
        <w:t>jvickers@elpc.org</w:t>
      </w:r>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the Environmental Law &amp; Policy Center</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Samantha Williams</w:t>
      </w:r>
    </w:p>
    <w:p w:rsidR="0081415E" w:rsidRPr="0081415E" w:rsidRDefault="0081415E" w:rsidP="00324FCB">
      <w:pPr>
        <w:spacing w:after="0"/>
        <w:rPr>
          <w:rFonts w:eastAsia="Calibri" w:cs="Arial"/>
        </w:rPr>
      </w:pPr>
      <w:r w:rsidRPr="0081415E">
        <w:rPr>
          <w:rFonts w:eastAsia="Calibri" w:cs="Arial"/>
        </w:rPr>
        <w:t>Staff Attorney</w:t>
      </w:r>
    </w:p>
    <w:p w:rsidR="0081415E" w:rsidRPr="0081415E" w:rsidRDefault="0081415E" w:rsidP="00324FCB">
      <w:pPr>
        <w:spacing w:after="0"/>
        <w:rPr>
          <w:rFonts w:eastAsia="Calibri" w:cs="Arial"/>
        </w:rPr>
      </w:pPr>
      <w:r w:rsidRPr="0081415E">
        <w:rPr>
          <w:rFonts w:eastAsia="Calibri" w:cs="Arial"/>
        </w:rPr>
        <w:t>Natural Resources Defense Council</w:t>
      </w:r>
    </w:p>
    <w:p w:rsidR="0081415E" w:rsidRPr="0081415E" w:rsidRDefault="0081415E" w:rsidP="00324FCB">
      <w:pPr>
        <w:spacing w:after="0"/>
        <w:rPr>
          <w:rFonts w:eastAsia="Calibri" w:cs="Arial"/>
        </w:rPr>
      </w:pPr>
      <w:r w:rsidRPr="0081415E">
        <w:rPr>
          <w:rFonts w:eastAsia="Calibri" w:cs="Arial"/>
        </w:rPr>
        <w:t>20 N Wacker Drive, Suite 1600</w:t>
      </w:r>
    </w:p>
    <w:p w:rsidR="0081415E" w:rsidRPr="0081415E" w:rsidRDefault="0081415E" w:rsidP="00324FCB">
      <w:pPr>
        <w:spacing w:after="0"/>
        <w:rPr>
          <w:rFonts w:eastAsia="Calibri" w:cs="Arial"/>
        </w:rPr>
      </w:pPr>
      <w:r w:rsidRPr="0081415E">
        <w:rPr>
          <w:rFonts w:eastAsia="Calibri" w:cs="Arial"/>
        </w:rPr>
        <w:t>Chicago, IL  60606</w:t>
      </w:r>
    </w:p>
    <w:p w:rsidR="0081415E" w:rsidRPr="0081415E" w:rsidRDefault="0081415E" w:rsidP="00324FCB">
      <w:pPr>
        <w:spacing w:after="0"/>
        <w:rPr>
          <w:rFonts w:eastAsia="Calibri" w:cs="Arial"/>
        </w:rPr>
      </w:pPr>
      <w:r w:rsidRPr="0081415E">
        <w:rPr>
          <w:rFonts w:eastAsia="Calibri" w:cs="Arial"/>
        </w:rPr>
        <w:t>swilliams@nrdc.org</w:t>
      </w:r>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the Natural Resources Defense Council</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br w:type="column"/>
      </w:r>
      <w:r w:rsidRPr="0081415E">
        <w:rPr>
          <w:rFonts w:eastAsia="Calibri" w:cs="Arial"/>
        </w:rPr>
        <w:lastRenderedPageBreak/>
        <w:t>Douglas E. Hart (0005600)</w:t>
      </w:r>
    </w:p>
    <w:p w:rsidR="0081415E" w:rsidRPr="0081415E" w:rsidRDefault="0081415E" w:rsidP="00324FCB">
      <w:pPr>
        <w:spacing w:after="0"/>
        <w:rPr>
          <w:rFonts w:eastAsia="Calibri" w:cs="Arial"/>
        </w:rPr>
      </w:pPr>
      <w:r w:rsidRPr="0081415E">
        <w:rPr>
          <w:rFonts w:eastAsia="Calibri" w:cs="Arial"/>
        </w:rPr>
        <w:t>441 Vine Street, Suite 4192</w:t>
      </w:r>
    </w:p>
    <w:p w:rsidR="0081415E" w:rsidRPr="0081415E" w:rsidRDefault="0081415E" w:rsidP="00324FCB">
      <w:pPr>
        <w:spacing w:after="0"/>
        <w:rPr>
          <w:rFonts w:eastAsia="Calibri" w:cs="Arial"/>
        </w:rPr>
      </w:pPr>
      <w:r w:rsidRPr="0081415E">
        <w:rPr>
          <w:rFonts w:eastAsia="Calibri" w:cs="Arial"/>
        </w:rPr>
        <w:t>Cincinnati, OH  45202</w:t>
      </w:r>
    </w:p>
    <w:p w:rsidR="0081415E" w:rsidRPr="0081415E" w:rsidRDefault="0081415E" w:rsidP="00324FCB">
      <w:pPr>
        <w:spacing w:after="0"/>
        <w:rPr>
          <w:rFonts w:eastAsia="Calibri" w:cs="Arial"/>
        </w:rPr>
      </w:pPr>
      <w:r w:rsidRPr="0081415E">
        <w:rPr>
          <w:rFonts w:eastAsia="Calibri" w:cs="Arial"/>
        </w:rPr>
        <w:t>dhart@douglasehart.com</w:t>
      </w:r>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The Greater Cincinnati Health Council</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Rebecca L. Hussey (0079444)</w:t>
      </w:r>
    </w:p>
    <w:p w:rsidR="0081415E" w:rsidRPr="0081415E" w:rsidRDefault="0081415E" w:rsidP="00324FCB">
      <w:pPr>
        <w:spacing w:after="0"/>
        <w:rPr>
          <w:rFonts w:eastAsia="Calibri" w:cs="Arial"/>
        </w:rPr>
      </w:pPr>
      <w:r w:rsidRPr="0081415E">
        <w:rPr>
          <w:rFonts w:eastAsia="Calibri" w:cs="Arial"/>
        </w:rPr>
        <w:t>Carpenter Lipps &amp; Leland LLP</w:t>
      </w:r>
    </w:p>
    <w:p w:rsidR="0081415E" w:rsidRPr="0081415E" w:rsidRDefault="0081415E" w:rsidP="00324FCB">
      <w:pPr>
        <w:spacing w:after="0"/>
        <w:rPr>
          <w:rFonts w:eastAsia="Calibri" w:cs="Arial"/>
        </w:rPr>
      </w:pPr>
      <w:r w:rsidRPr="0081415E">
        <w:rPr>
          <w:rFonts w:eastAsia="Calibri" w:cs="Arial"/>
        </w:rPr>
        <w:t>280 Plaza, Suite 1300</w:t>
      </w:r>
    </w:p>
    <w:p w:rsidR="0081415E" w:rsidRPr="0081415E" w:rsidRDefault="0081415E" w:rsidP="00324FCB">
      <w:pPr>
        <w:spacing w:after="0"/>
        <w:rPr>
          <w:rFonts w:eastAsia="Calibri" w:cs="Arial"/>
        </w:rPr>
      </w:pPr>
      <w:r w:rsidRPr="0081415E">
        <w:rPr>
          <w:rFonts w:eastAsia="Calibri" w:cs="Arial"/>
        </w:rPr>
        <w:t>280 North High Street</w:t>
      </w:r>
    </w:p>
    <w:p w:rsidR="0081415E" w:rsidRPr="0081415E" w:rsidRDefault="0081415E" w:rsidP="00324FCB">
      <w:pPr>
        <w:spacing w:after="0"/>
        <w:rPr>
          <w:rFonts w:eastAsia="Calibri" w:cs="Arial"/>
        </w:rPr>
      </w:pPr>
      <w:r w:rsidRPr="0081415E">
        <w:rPr>
          <w:rFonts w:eastAsia="Calibri" w:cs="Arial"/>
        </w:rPr>
        <w:t>Columbus, OH  43215</w:t>
      </w:r>
    </w:p>
    <w:p w:rsidR="0081415E" w:rsidRPr="0081415E" w:rsidRDefault="0081415E" w:rsidP="00324FCB">
      <w:pPr>
        <w:spacing w:after="0"/>
        <w:rPr>
          <w:rFonts w:eastAsia="Calibri" w:cs="Arial"/>
        </w:rPr>
      </w:pPr>
      <w:r w:rsidRPr="0081415E">
        <w:rPr>
          <w:rFonts w:eastAsia="Calibri" w:cs="Arial"/>
        </w:rPr>
        <w:t>Hussey@carpenterlipps.com</w:t>
      </w:r>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The Kroger Company</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Gregory J. Poulos</w:t>
      </w:r>
    </w:p>
    <w:p w:rsidR="0081415E" w:rsidRPr="0081415E" w:rsidRDefault="0081415E" w:rsidP="00324FCB">
      <w:pPr>
        <w:spacing w:after="0"/>
        <w:rPr>
          <w:rFonts w:eastAsia="Calibri" w:cs="Arial"/>
        </w:rPr>
      </w:pPr>
      <w:r w:rsidRPr="0081415E">
        <w:rPr>
          <w:rFonts w:eastAsia="Calibri" w:cs="Arial"/>
        </w:rPr>
        <w:t>EnerNOC, Inc.</w:t>
      </w:r>
    </w:p>
    <w:p w:rsidR="0081415E" w:rsidRPr="0081415E" w:rsidRDefault="0081415E" w:rsidP="00324FCB">
      <w:pPr>
        <w:spacing w:after="0"/>
        <w:rPr>
          <w:rFonts w:eastAsia="Calibri" w:cs="Arial"/>
        </w:rPr>
      </w:pPr>
      <w:r w:rsidRPr="0081415E">
        <w:rPr>
          <w:rFonts w:eastAsia="Calibri" w:cs="Arial"/>
        </w:rPr>
        <w:t>471 E. Broad Street, Suite 1520</w:t>
      </w:r>
    </w:p>
    <w:p w:rsidR="0081415E" w:rsidRPr="0081415E" w:rsidRDefault="0081415E" w:rsidP="00324FCB">
      <w:pPr>
        <w:spacing w:after="0"/>
        <w:rPr>
          <w:rFonts w:eastAsia="Calibri" w:cs="Arial"/>
        </w:rPr>
      </w:pPr>
      <w:r w:rsidRPr="0081415E">
        <w:rPr>
          <w:rFonts w:eastAsia="Calibri" w:cs="Arial"/>
        </w:rPr>
        <w:t>Columbus, OH  43054</w:t>
      </w:r>
    </w:p>
    <w:p w:rsidR="0081415E" w:rsidRPr="0081415E" w:rsidRDefault="0081415E" w:rsidP="00324FCB">
      <w:pPr>
        <w:spacing w:after="0"/>
        <w:rPr>
          <w:rFonts w:eastAsia="Calibri" w:cs="Arial"/>
        </w:rPr>
      </w:pPr>
      <w:r w:rsidRPr="0081415E">
        <w:rPr>
          <w:rFonts w:eastAsia="Calibri" w:cs="Arial"/>
        </w:rPr>
        <w:t>gpoulos@enernoc.com</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Joel E. Sechler (0076320)</w:t>
      </w:r>
    </w:p>
    <w:p w:rsidR="0081415E" w:rsidRPr="0081415E" w:rsidRDefault="0081415E" w:rsidP="00324FCB">
      <w:pPr>
        <w:spacing w:after="0"/>
        <w:rPr>
          <w:rFonts w:eastAsia="Calibri" w:cs="Arial"/>
        </w:rPr>
      </w:pPr>
      <w:r w:rsidRPr="0081415E">
        <w:rPr>
          <w:rFonts w:eastAsia="Calibri" w:cs="Arial"/>
        </w:rPr>
        <w:t>Carpenter Lipps &amp; Leland LLP</w:t>
      </w:r>
    </w:p>
    <w:p w:rsidR="0081415E" w:rsidRPr="0081415E" w:rsidRDefault="0081415E" w:rsidP="00324FCB">
      <w:pPr>
        <w:spacing w:after="0"/>
        <w:rPr>
          <w:rFonts w:eastAsia="Calibri" w:cs="Arial"/>
        </w:rPr>
      </w:pPr>
      <w:r w:rsidRPr="0081415E">
        <w:rPr>
          <w:rFonts w:eastAsia="Calibri" w:cs="Arial"/>
        </w:rPr>
        <w:t>280 North High Street, Suite 1300</w:t>
      </w:r>
    </w:p>
    <w:p w:rsidR="0081415E" w:rsidRPr="0081415E" w:rsidRDefault="0081415E" w:rsidP="00324FCB">
      <w:pPr>
        <w:spacing w:after="0"/>
        <w:rPr>
          <w:rFonts w:eastAsia="Calibri" w:cs="Arial"/>
        </w:rPr>
      </w:pPr>
      <w:r w:rsidRPr="0081415E">
        <w:rPr>
          <w:rFonts w:eastAsia="Calibri" w:cs="Arial"/>
        </w:rPr>
        <w:t>Columbus, OH  43215</w:t>
      </w:r>
    </w:p>
    <w:p w:rsidR="0081415E" w:rsidRPr="0081415E" w:rsidRDefault="0081415E" w:rsidP="00324FCB">
      <w:pPr>
        <w:spacing w:after="0"/>
        <w:rPr>
          <w:rFonts w:eastAsia="Calibri" w:cs="Arial"/>
        </w:rPr>
      </w:pPr>
      <w:r w:rsidRPr="0081415E">
        <w:rPr>
          <w:rFonts w:eastAsia="Calibri" w:cs="Arial"/>
        </w:rPr>
        <w:t>Sechler@carpenterlipps.com</w:t>
      </w:r>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EnerNOC, Inc.</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Thomas J. O’Brien</w:t>
      </w:r>
    </w:p>
    <w:p w:rsidR="0081415E" w:rsidRPr="0081415E" w:rsidRDefault="0081415E" w:rsidP="00324FCB">
      <w:pPr>
        <w:spacing w:after="0"/>
        <w:rPr>
          <w:rFonts w:eastAsia="Calibri" w:cs="Arial"/>
        </w:rPr>
      </w:pPr>
      <w:r w:rsidRPr="0081415E">
        <w:rPr>
          <w:rFonts w:eastAsia="Calibri" w:cs="Arial"/>
        </w:rPr>
        <w:t>Bricker &amp; Eckler LLP</w:t>
      </w:r>
    </w:p>
    <w:p w:rsidR="0081415E" w:rsidRPr="0081415E" w:rsidRDefault="0081415E" w:rsidP="00324FCB">
      <w:pPr>
        <w:spacing w:after="0"/>
        <w:rPr>
          <w:rFonts w:eastAsia="Calibri" w:cs="Arial"/>
        </w:rPr>
      </w:pPr>
      <w:r w:rsidRPr="0081415E">
        <w:rPr>
          <w:rFonts w:eastAsia="Calibri" w:cs="Arial"/>
        </w:rPr>
        <w:t>100 South Third Street</w:t>
      </w:r>
    </w:p>
    <w:p w:rsidR="0081415E" w:rsidRPr="0081415E" w:rsidRDefault="0081415E" w:rsidP="00324FCB">
      <w:pPr>
        <w:spacing w:after="0"/>
        <w:rPr>
          <w:rFonts w:eastAsia="Calibri" w:cs="Arial"/>
        </w:rPr>
      </w:pPr>
      <w:r w:rsidRPr="0081415E">
        <w:rPr>
          <w:rFonts w:eastAsia="Calibri" w:cs="Arial"/>
        </w:rPr>
        <w:t>Columbus, OH  43215-4291</w:t>
      </w:r>
    </w:p>
    <w:p w:rsidR="0081415E" w:rsidRPr="0081415E" w:rsidRDefault="0081415E" w:rsidP="00324FCB">
      <w:pPr>
        <w:spacing w:after="0"/>
        <w:rPr>
          <w:rFonts w:eastAsia="Calibri" w:cs="Arial"/>
        </w:rPr>
      </w:pPr>
      <w:r w:rsidRPr="0081415E">
        <w:rPr>
          <w:rFonts w:eastAsia="Calibri" w:cs="Arial"/>
        </w:rPr>
        <w:t>tobrien@bricker.com</w:t>
      </w:r>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the City of Cincinnati</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sectPr w:rsidR="0081415E" w:rsidRPr="0081415E">
          <w:pgSz w:w="12240" w:h="15840" w:code="1"/>
          <w:pgMar w:top="1440" w:right="1440" w:bottom="1141" w:left="1440" w:header="720" w:footer="720" w:gutter="0"/>
          <w:pgNumType w:start="1"/>
          <w:cols w:num="2" w:space="720"/>
          <w:titlePg/>
          <w:docGrid w:linePitch="326"/>
        </w:sectPr>
      </w:pPr>
    </w:p>
    <w:p w:rsidR="0081415E" w:rsidRPr="0081415E" w:rsidRDefault="0081415E" w:rsidP="00324FCB">
      <w:pPr>
        <w:spacing w:after="0"/>
        <w:rPr>
          <w:rFonts w:eastAsia="Calibri" w:cs="Arial"/>
        </w:rPr>
      </w:pPr>
      <w:r w:rsidRPr="0081415E">
        <w:rPr>
          <w:rFonts w:eastAsia="Calibri" w:cs="Arial"/>
        </w:rPr>
        <w:lastRenderedPageBreak/>
        <w:t>Donald L. Mason (0042739)</w:t>
      </w:r>
    </w:p>
    <w:p w:rsidR="0081415E" w:rsidRPr="0081415E" w:rsidRDefault="0081415E" w:rsidP="00324FCB">
      <w:pPr>
        <w:spacing w:after="0"/>
        <w:rPr>
          <w:rFonts w:eastAsia="Calibri" w:cs="Arial"/>
        </w:rPr>
      </w:pPr>
      <w:r w:rsidRPr="0081415E">
        <w:rPr>
          <w:rFonts w:eastAsia="Calibri" w:cs="Arial"/>
        </w:rPr>
        <w:t>Michael R. Traven (0081158)</w:t>
      </w:r>
    </w:p>
    <w:p w:rsidR="0081415E" w:rsidRPr="0081415E" w:rsidRDefault="0081415E" w:rsidP="00324FCB">
      <w:pPr>
        <w:spacing w:after="0"/>
        <w:rPr>
          <w:rFonts w:eastAsia="Calibri" w:cs="Arial"/>
        </w:rPr>
      </w:pPr>
      <w:r w:rsidRPr="0081415E">
        <w:rPr>
          <w:rFonts w:eastAsia="Calibri" w:cs="Arial"/>
        </w:rPr>
        <w:t>Roetzel &amp; Andress, LPA</w:t>
      </w:r>
    </w:p>
    <w:p w:rsidR="0081415E" w:rsidRPr="0081415E" w:rsidRDefault="0081415E" w:rsidP="00324FCB">
      <w:pPr>
        <w:spacing w:after="0"/>
        <w:rPr>
          <w:rFonts w:eastAsia="Calibri" w:cs="Arial"/>
        </w:rPr>
      </w:pPr>
      <w:r w:rsidRPr="0081415E">
        <w:rPr>
          <w:rFonts w:eastAsia="Calibri" w:cs="Arial"/>
        </w:rPr>
        <w:t>155 E. Broad Street, 12</w:t>
      </w:r>
      <w:r w:rsidRPr="0081415E">
        <w:rPr>
          <w:rFonts w:eastAsia="Calibri" w:cs="Arial"/>
          <w:vertAlign w:val="superscript"/>
        </w:rPr>
        <w:t>th</w:t>
      </w:r>
      <w:r w:rsidRPr="0081415E">
        <w:rPr>
          <w:rFonts w:eastAsia="Calibri" w:cs="Arial"/>
        </w:rPr>
        <w:t xml:space="preserve"> Floor</w:t>
      </w:r>
    </w:p>
    <w:p w:rsidR="0081415E" w:rsidRPr="0081415E" w:rsidRDefault="0081415E" w:rsidP="00324FCB">
      <w:pPr>
        <w:spacing w:after="0"/>
        <w:rPr>
          <w:rFonts w:eastAsia="Calibri" w:cs="Arial"/>
        </w:rPr>
      </w:pPr>
      <w:r w:rsidRPr="0081415E">
        <w:rPr>
          <w:rFonts w:eastAsia="Calibri" w:cs="Arial"/>
        </w:rPr>
        <w:t>Columbus, OH  43215</w:t>
      </w:r>
    </w:p>
    <w:p w:rsidR="0081415E" w:rsidRPr="0081415E" w:rsidRDefault="0081415E" w:rsidP="00324FCB">
      <w:pPr>
        <w:spacing w:after="0"/>
        <w:rPr>
          <w:rFonts w:eastAsia="Calibri" w:cs="Arial"/>
        </w:rPr>
      </w:pPr>
      <w:r w:rsidRPr="0081415E">
        <w:rPr>
          <w:rFonts w:eastAsia="Calibri" w:cs="Arial"/>
        </w:rPr>
        <w:t>dmason@ralaw.com</w:t>
      </w:r>
    </w:p>
    <w:p w:rsidR="0081415E" w:rsidRPr="0081415E" w:rsidRDefault="0081415E" w:rsidP="00324FCB">
      <w:pPr>
        <w:spacing w:after="0"/>
        <w:rPr>
          <w:rFonts w:eastAsia="Calibri" w:cs="Arial"/>
        </w:rPr>
      </w:pPr>
      <w:r w:rsidRPr="0081415E">
        <w:rPr>
          <w:rFonts w:eastAsia="Calibri" w:cs="Arial"/>
        </w:rPr>
        <w:t>mtraven@ralaw.com</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Rick D. Chamberlain</w:t>
      </w:r>
    </w:p>
    <w:p w:rsidR="0081415E" w:rsidRPr="0081415E" w:rsidRDefault="0081415E" w:rsidP="00324FCB">
      <w:pPr>
        <w:spacing w:after="0"/>
        <w:rPr>
          <w:rFonts w:eastAsia="Calibri" w:cs="Arial"/>
        </w:rPr>
      </w:pPr>
      <w:r w:rsidRPr="0081415E">
        <w:rPr>
          <w:rFonts w:eastAsia="Calibri" w:cs="Arial"/>
        </w:rPr>
        <w:t>(Counsel of Record)</w:t>
      </w:r>
    </w:p>
    <w:p w:rsidR="0081415E" w:rsidRPr="0081415E" w:rsidRDefault="0081415E" w:rsidP="00324FCB">
      <w:pPr>
        <w:spacing w:after="0"/>
        <w:rPr>
          <w:rFonts w:eastAsia="Calibri" w:cs="Arial"/>
        </w:rPr>
      </w:pPr>
      <w:r w:rsidRPr="0081415E">
        <w:rPr>
          <w:rFonts w:eastAsia="Calibri" w:cs="Arial"/>
        </w:rPr>
        <w:t>Oklahoma Bar Association # 11255</w:t>
      </w:r>
    </w:p>
    <w:p w:rsidR="0081415E" w:rsidRPr="0081415E" w:rsidRDefault="0081415E" w:rsidP="00324FCB">
      <w:pPr>
        <w:spacing w:after="0"/>
        <w:rPr>
          <w:rFonts w:eastAsia="Calibri" w:cs="Arial"/>
        </w:rPr>
      </w:pPr>
      <w:r w:rsidRPr="0081415E">
        <w:rPr>
          <w:rFonts w:eastAsia="Calibri" w:cs="Arial"/>
        </w:rPr>
        <w:t>State Bar of Texas #24081827)</w:t>
      </w:r>
    </w:p>
    <w:p w:rsidR="0081415E" w:rsidRPr="0081415E" w:rsidRDefault="0081415E" w:rsidP="00324FCB">
      <w:pPr>
        <w:spacing w:after="0"/>
        <w:rPr>
          <w:rFonts w:eastAsia="Calibri" w:cs="Arial"/>
        </w:rPr>
      </w:pPr>
      <w:r w:rsidRPr="0081415E">
        <w:rPr>
          <w:rFonts w:eastAsia="Calibri" w:cs="Arial"/>
        </w:rPr>
        <w:t>Behrens, Wheeler &amp; Chamberlain</w:t>
      </w:r>
    </w:p>
    <w:p w:rsidR="0081415E" w:rsidRPr="0081415E" w:rsidRDefault="0081415E" w:rsidP="00324FCB">
      <w:pPr>
        <w:spacing w:after="0"/>
        <w:rPr>
          <w:rFonts w:eastAsia="Calibri" w:cs="Arial"/>
        </w:rPr>
      </w:pPr>
      <w:r w:rsidRPr="0081415E">
        <w:rPr>
          <w:rFonts w:eastAsia="Calibri" w:cs="Arial"/>
        </w:rPr>
        <w:t>6 N.E. 63</w:t>
      </w:r>
      <w:r w:rsidRPr="0081415E">
        <w:rPr>
          <w:rFonts w:eastAsia="Calibri" w:cs="Arial"/>
          <w:vertAlign w:val="superscript"/>
        </w:rPr>
        <w:t>rd</w:t>
      </w:r>
      <w:r w:rsidRPr="0081415E">
        <w:rPr>
          <w:rFonts w:eastAsia="Calibri" w:cs="Arial"/>
        </w:rPr>
        <w:t xml:space="preserve"> Street, Suite 400</w:t>
      </w:r>
    </w:p>
    <w:p w:rsidR="0081415E" w:rsidRPr="0081415E" w:rsidRDefault="0081415E" w:rsidP="00324FCB">
      <w:pPr>
        <w:spacing w:after="0"/>
        <w:rPr>
          <w:rFonts w:eastAsia="Calibri" w:cs="Arial"/>
        </w:rPr>
      </w:pPr>
      <w:r w:rsidRPr="0081415E">
        <w:rPr>
          <w:rFonts w:eastAsia="Calibri" w:cs="Arial"/>
        </w:rPr>
        <w:t>Oklahoma City, OK  73105</w:t>
      </w:r>
    </w:p>
    <w:p w:rsidR="0081415E" w:rsidRPr="0081415E" w:rsidRDefault="0081415E" w:rsidP="00324FCB">
      <w:pPr>
        <w:spacing w:after="0"/>
        <w:rPr>
          <w:rFonts w:eastAsia="Calibri" w:cs="Arial"/>
        </w:rPr>
      </w:pPr>
      <w:r w:rsidRPr="0081415E">
        <w:rPr>
          <w:rFonts w:eastAsia="Calibri" w:cs="Arial"/>
        </w:rPr>
        <w:t>rchamberlain@okenergylaw.com</w:t>
      </w:r>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Wal-Mart Stores East, LP, and Sam’s East, Inc.</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Dane Stinson (0019101)</w:t>
      </w:r>
    </w:p>
    <w:p w:rsidR="0081415E" w:rsidRPr="0081415E" w:rsidRDefault="0081415E" w:rsidP="00324FCB">
      <w:pPr>
        <w:spacing w:after="0"/>
        <w:rPr>
          <w:rFonts w:eastAsia="Calibri" w:cs="Arial"/>
        </w:rPr>
      </w:pPr>
      <w:r w:rsidRPr="0081415E">
        <w:rPr>
          <w:rFonts w:eastAsia="Calibri" w:cs="Arial"/>
        </w:rPr>
        <w:t>Dylan Borchers (0090690)</w:t>
      </w:r>
    </w:p>
    <w:p w:rsidR="0081415E" w:rsidRPr="0081415E" w:rsidRDefault="0081415E" w:rsidP="00324FCB">
      <w:pPr>
        <w:spacing w:after="0"/>
        <w:rPr>
          <w:rFonts w:eastAsia="Calibri" w:cs="Arial"/>
        </w:rPr>
      </w:pPr>
      <w:r w:rsidRPr="0081415E">
        <w:rPr>
          <w:rFonts w:eastAsia="Calibri" w:cs="Arial"/>
        </w:rPr>
        <w:t>Bricker &amp; Eckler LLP</w:t>
      </w:r>
    </w:p>
    <w:p w:rsidR="0081415E" w:rsidRPr="0081415E" w:rsidRDefault="0081415E" w:rsidP="00324FCB">
      <w:pPr>
        <w:spacing w:after="0"/>
        <w:rPr>
          <w:rFonts w:eastAsia="Calibri" w:cs="Arial"/>
        </w:rPr>
      </w:pPr>
      <w:r w:rsidRPr="0081415E">
        <w:rPr>
          <w:rFonts w:eastAsia="Calibri" w:cs="Arial"/>
        </w:rPr>
        <w:t>100 South Third Street</w:t>
      </w:r>
    </w:p>
    <w:p w:rsidR="0081415E" w:rsidRPr="0081415E" w:rsidRDefault="0081415E" w:rsidP="00324FCB">
      <w:pPr>
        <w:spacing w:after="0"/>
        <w:rPr>
          <w:rFonts w:eastAsia="Calibri" w:cs="Arial"/>
        </w:rPr>
      </w:pPr>
      <w:r w:rsidRPr="0081415E">
        <w:rPr>
          <w:rFonts w:eastAsia="Calibri" w:cs="Arial"/>
        </w:rPr>
        <w:t>Columbus, OH  43215-4291</w:t>
      </w:r>
    </w:p>
    <w:p w:rsidR="0081415E" w:rsidRPr="0081415E" w:rsidRDefault="0081415E" w:rsidP="00324FCB">
      <w:pPr>
        <w:spacing w:after="0"/>
        <w:rPr>
          <w:rFonts w:eastAsia="Calibri" w:cs="Arial"/>
        </w:rPr>
      </w:pPr>
      <w:r w:rsidRPr="0081415E">
        <w:rPr>
          <w:rFonts w:eastAsia="Calibri" w:cs="Arial"/>
        </w:rPr>
        <w:t>dstinson@bricker.com</w:t>
      </w:r>
    </w:p>
    <w:p w:rsidR="0081415E" w:rsidRPr="0081415E" w:rsidRDefault="0081415E" w:rsidP="00324FCB">
      <w:pPr>
        <w:spacing w:after="0"/>
        <w:rPr>
          <w:rFonts w:eastAsia="Calibri" w:cs="Arial"/>
        </w:rPr>
      </w:pPr>
      <w:r w:rsidRPr="0081415E">
        <w:rPr>
          <w:rFonts w:eastAsia="Calibri" w:cs="Arial"/>
        </w:rPr>
        <w:t>dborchers@bricker.com</w:t>
      </w:r>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Ohio Development Services Agency</w:t>
      </w:r>
    </w:p>
    <w:p w:rsidR="0081415E" w:rsidRPr="0081415E" w:rsidRDefault="0081415E" w:rsidP="00324FCB">
      <w:pPr>
        <w:spacing w:after="0"/>
        <w:rPr>
          <w:rFonts w:eastAsia="Calibri" w:cs="Arial"/>
        </w:rPr>
      </w:pPr>
    </w:p>
    <w:p w:rsidR="0081415E" w:rsidRPr="0081415E" w:rsidRDefault="0081415E" w:rsidP="00324FCB">
      <w:pPr>
        <w:spacing w:after="0"/>
        <w:rPr>
          <w:rFonts w:eastAsia="Calibri" w:cs="Arial"/>
        </w:rPr>
      </w:pPr>
      <w:r w:rsidRPr="0081415E">
        <w:rPr>
          <w:rFonts w:eastAsia="Calibri" w:cs="Arial"/>
        </w:rPr>
        <w:t>Christine M.T. Pirik</w:t>
      </w:r>
    </w:p>
    <w:p w:rsidR="0081415E" w:rsidRPr="0081415E" w:rsidRDefault="0081415E" w:rsidP="00324FCB">
      <w:pPr>
        <w:spacing w:after="0"/>
        <w:rPr>
          <w:rFonts w:eastAsia="Calibri" w:cs="Arial"/>
        </w:rPr>
      </w:pPr>
      <w:r w:rsidRPr="0081415E">
        <w:rPr>
          <w:rFonts w:eastAsia="Calibri" w:cs="Arial"/>
        </w:rPr>
        <w:t>Nicholas Walstra</w:t>
      </w:r>
    </w:p>
    <w:p w:rsidR="0081415E" w:rsidRPr="0081415E" w:rsidRDefault="0081415E" w:rsidP="00324FCB">
      <w:pPr>
        <w:spacing w:after="0"/>
        <w:rPr>
          <w:rFonts w:eastAsia="Calibri" w:cs="Arial"/>
        </w:rPr>
      </w:pPr>
      <w:r w:rsidRPr="0081415E">
        <w:rPr>
          <w:rFonts w:eastAsia="Calibri" w:cs="Arial"/>
        </w:rPr>
        <w:t>180 East Broad Street, 6</w:t>
      </w:r>
      <w:r w:rsidRPr="0081415E">
        <w:rPr>
          <w:rFonts w:eastAsia="Calibri" w:cs="Arial"/>
          <w:vertAlign w:val="superscript"/>
        </w:rPr>
        <w:t>th</w:t>
      </w:r>
      <w:r w:rsidRPr="0081415E">
        <w:rPr>
          <w:rFonts w:eastAsia="Calibri" w:cs="Arial"/>
        </w:rPr>
        <w:t xml:space="preserve"> Floor</w:t>
      </w:r>
    </w:p>
    <w:p w:rsidR="0081415E" w:rsidRPr="0081415E" w:rsidRDefault="0081415E" w:rsidP="00324FCB">
      <w:pPr>
        <w:spacing w:after="0"/>
        <w:rPr>
          <w:rFonts w:eastAsia="Calibri" w:cs="Arial"/>
        </w:rPr>
      </w:pPr>
      <w:r w:rsidRPr="0081415E">
        <w:rPr>
          <w:rFonts w:eastAsia="Calibri" w:cs="Arial"/>
        </w:rPr>
        <w:t>Columbus, OH  43215</w:t>
      </w:r>
    </w:p>
    <w:p w:rsidR="0081415E" w:rsidRPr="0081415E" w:rsidRDefault="0081415E" w:rsidP="00324FCB">
      <w:pPr>
        <w:spacing w:after="0"/>
        <w:rPr>
          <w:rFonts w:eastAsia="Calibri" w:cs="Arial"/>
        </w:rPr>
      </w:pPr>
      <w:r w:rsidRPr="0081415E">
        <w:rPr>
          <w:rFonts w:eastAsia="Calibri" w:cs="Arial"/>
        </w:rPr>
        <w:t>christine.pirik@puc.state.oh.us</w:t>
      </w:r>
    </w:p>
    <w:p w:rsidR="0081415E" w:rsidRPr="0081415E" w:rsidRDefault="0081415E" w:rsidP="00324FCB">
      <w:pPr>
        <w:spacing w:after="0"/>
        <w:rPr>
          <w:rFonts w:eastAsia="Calibri" w:cs="Arial"/>
        </w:rPr>
      </w:pPr>
      <w:r w:rsidRPr="0081415E">
        <w:rPr>
          <w:rFonts w:eastAsia="Calibri" w:cs="Arial"/>
        </w:rPr>
        <w:t>nicholas.walstra@puc.state.oh.us</w:t>
      </w:r>
    </w:p>
    <w:p w:rsidR="0081415E" w:rsidRPr="0081415E" w:rsidRDefault="0081415E" w:rsidP="00324FCB">
      <w:pPr>
        <w:spacing w:after="0"/>
        <w:rPr>
          <w:rFonts w:ascii="Arial Bold" w:eastAsia="Calibri" w:hAnsi="Arial Bold" w:cs="Arial"/>
          <w:b/>
          <w:smallCaps/>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Attorney Examiners</w:t>
      </w:r>
    </w:p>
    <w:p w:rsidR="0081415E" w:rsidRPr="0081415E" w:rsidRDefault="0081415E" w:rsidP="00324FCB">
      <w:pPr>
        <w:spacing w:after="0"/>
        <w:rPr>
          <w:rFonts w:ascii="Arial Bold" w:eastAsia="Calibri" w:hAnsi="Arial Bold" w:cs="Arial"/>
          <w:b/>
          <w:smallCaps/>
        </w:rPr>
      </w:pPr>
    </w:p>
    <w:p w:rsidR="0081415E" w:rsidRPr="0081415E" w:rsidRDefault="0081415E" w:rsidP="00324FCB">
      <w:pPr>
        <w:spacing w:after="0"/>
        <w:rPr>
          <w:rFonts w:eastAsia="Calibri" w:cs="Arial"/>
        </w:rPr>
      </w:pPr>
      <w:r w:rsidRPr="0081415E">
        <w:rPr>
          <w:rFonts w:eastAsia="Calibri" w:cs="Arial"/>
        </w:rPr>
        <w:br w:type="column"/>
      </w:r>
      <w:r w:rsidRPr="0081415E">
        <w:rPr>
          <w:rFonts w:eastAsia="Calibri" w:cs="Arial"/>
        </w:rPr>
        <w:lastRenderedPageBreak/>
        <w:t>Michael J. Castiglione</w:t>
      </w:r>
    </w:p>
    <w:p w:rsidR="0081415E" w:rsidRPr="0081415E" w:rsidRDefault="0081415E" w:rsidP="00324FCB">
      <w:pPr>
        <w:spacing w:after="0"/>
        <w:rPr>
          <w:rFonts w:eastAsia="Calibri" w:cs="Arial"/>
        </w:rPr>
      </w:pPr>
      <w:r w:rsidRPr="0081415E">
        <w:rPr>
          <w:rFonts w:eastAsia="Calibri" w:cs="Arial"/>
        </w:rPr>
        <w:t>PHV-5784-2014</w:t>
      </w:r>
    </w:p>
    <w:p w:rsidR="0081415E" w:rsidRPr="0081415E" w:rsidRDefault="0081415E" w:rsidP="00324FCB">
      <w:pPr>
        <w:spacing w:after="0"/>
        <w:rPr>
          <w:rFonts w:eastAsia="Calibri" w:cs="Arial"/>
        </w:rPr>
      </w:pPr>
      <w:r w:rsidRPr="0081415E">
        <w:rPr>
          <w:rFonts w:eastAsia="Calibri" w:cs="Arial"/>
        </w:rPr>
        <w:t>Brian Chisling (0063402)</w:t>
      </w:r>
    </w:p>
    <w:p w:rsidR="0081415E" w:rsidRPr="0081415E" w:rsidRDefault="0081415E" w:rsidP="00324FCB">
      <w:pPr>
        <w:spacing w:after="0"/>
        <w:rPr>
          <w:rFonts w:eastAsia="Calibri" w:cs="Arial"/>
        </w:rPr>
      </w:pPr>
      <w:r w:rsidRPr="0081415E">
        <w:rPr>
          <w:rFonts w:eastAsia="Calibri" w:cs="Arial"/>
        </w:rPr>
        <w:t>Simpson Thacher &amp; Bartlett</w:t>
      </w:r>
    </w:p>
    <w:p w:rsidR="0081415E" w:rsidRPr="0081415E" w:rsidRDefault="0081415E" w:rsidP="00324FCB">
      <w:pPr>
        <w:spacing w:after="0"/>
        <w:rPr>
          <w:rFonts w:eastAsia="Calibri" w:cs="Arial"/>
        </w:rPr>
      </w:pPr>
      <w:r w:rsidRPr="0081415E">
        <w:rPr>
          <w:rFonts w:eastAsia="Calibri" w:cs="Arial"/>
        </w:rPr>
        <w:t>425 Lexington Avenue</w:t>
      </w:r>
    </w:p>
    <w:p w:rsidR="0081415E" w:rsidRPr="0081415E" w:rsidRDefault="0081415E" w:rsidP="00324FCB">
      <w:pPr>
        <w:spacing w:after="0"/>
        <w:rPr>
          <w:rFonts w:eastAsia="Calibri" w:cs="Arial"/>
        </w:rPr>
      </w:pPr>
      <w:r w:rsidRPr="0081415E">
        <w:rPr>
          <w:rFonts w:eastAsia="Calibri" w:cs="Arial"/>
        </w:rPr>
        <w:t>New York, NY  10017</w:t>
      </w:r>
    </w:p>
    <w:p w:rsidR="0081415E" w:rsidRPr="0081415E" w:rsidRDefault="0081415E" w:rsidP="00324FCB">
      <w:pPr>
        <w:spacing w:after="0"/>
        <w:rPr>
          <w:rFonts w:eastAsia="Calibri" w:cs="Arial"/>
        </w:rPr>
      </w:pPr>
      <w:r w:rsidRPr="0081415E">
        <w:rPr>
          <w:rFonts w:eastAsia="Calibri" w:cs="Arial"/>
        </w:rPr>
        <w:t>mcastiglione@stblaw.com</w:t>
      </w:r>
    </w:p>
    <w:p w:rsidR="0081415E" w:rsidRPr="0081415E" w:rsidRDefault="002B30F0" w:rsidP="00324FCB">
      <w:pPr>
        <w:spacing w:after="0"/>
        <w:rPr>
          <w:rFonts w:eastAsia="Calibri" w:cs="Arial"/>
        </w:rPr>
      </w:pPr>
      <w:hyperlink r:id="rId43" w:history="1">
        <w:r w:rsidR="0081415E" w:rsidRPr="0081415E">
          <w:rPr>
            <w:rFonts w:eastAsia="Calibri" w:cs="Arial"/>
          </w:rPr>
          <w:t>bchisling@stblaw.com</w:t>
        </w:r>
      </w:hyperlink>
    </w:p>
    <w:p w:rsidR="0081415E" w:rsidRPr="0081415E" w:rsidRDefault="0081415E" w:rsidP="00324FCB">
      <w:pPr>
        <w:spacing w:after="0"/>
        <w:rPr>
          <w:rFonts w:eastAsia="Calibri" w:cs="Arial"/>
        </w:rPr>
      </w:pPr>
    </w:p>
    <w:p w:rsidR="0081415E" w:rsidRPr="0081415E" w:rsidRDefault="0081415E" w:rsidP="00324FCB">
      <w:pPr>
        <w:spacing w:after="0"/>
        <w:rPr>
          <w:rFonts w:ascii="Arial Bold" w:eastAsia="Calibri" w:hAnsi="Arial Bold" w:cs="Arial"/>
          <w:b/>
          <w:smallCaps/>
        </w:rPr>
      </w:pPr>
      <w:r w:rsidRPr="0081415E">
        <w:rPr>
          <w:rFonts w:ascii="Arial Bold" w:eastAsia="Calibri" w:hAnsi="Arial Bold" w:cs="Arial"/>
          <w:b/>
          <w:smallCaps/>
        </w:rPr>
        <w:t>On Behalf of Non-Party Ohio Valley Electric Corporation</w:t>
      </w:r>
    </w:p>
    <w:p w:rsidR="00C9232C" w:rsidRDefault="00C9232C" w:rsidP="00324FCB">
      <w:pPr>
        <w:spacing w:after="0"/>
        <w:jc w:val="both"/>
      </w:pPr>
    </w:p>
    <w:sectPr w:rsidR="00C9232C" w:rsidSect="00AC4529">
      <w:headerReference w:type="even" r:id="rId44"/>
      <w:headerReference w:type="default" r:id="rId45"/>
      <w:footerReference w:type="even" r:id="rId46"/>
      <w:footerReference w:type="default" r:id="rId47"/>
      <w:headerReference w:type="first" r:id="rId48"/>
      <w:footerReference w:type="first" r:id="rId49"/>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DE" w:rsidRDefault="000C2DDE" w:rsidP="002B08A8">
      <w:r>
        <w:separator/>
      </w:r>
    </w:p>
  </w:endnote>
  <w:endnote w:type="continuationSeparator" w:id="0">
    <w:p w:rsidR="000C2DDE" w:rsidRDefault="000C2DDE" w:rsidP="002B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38" w:rsidRDefault="00AA1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DE" w:rsidRPr="00555B0B" w:rsidRDefault="002B30F0" w:rsidP="006C001B">
    <w:pPr>
      <w:pStyle w:val="Footer"/>
    </w:pPr>
    <w:r w:rsidRPr="002B30F0">
      <w:rPr>
        <w:noProof/>
        <w:sz w:val="16"/>
      </w:rPr>
      <w:t>{C46305: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DE" w:rsidRDefault="000C2DDE">
    <w:pPr>
      <w:pStyle w:val="Footer"/>
    </w:pPr>
    <w:r w:rsidRPr="00AA7C2B">
      <w:rPr>
        <w:noProof/>
        <w:sz w:val="16"/>
      </w:rPr>
      <w:t>{C46305: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DE" w:rsidRPr="00555B0B" w:rsidRDefault="002B30F0" w:rsidP="006C001B">
    <w:pPr>
      <w:pStyle w:val="Footer"/>
    </w:pPr>
    <w:r w:rsidRPr="002B30F0">
      <w:rPr>
        <w:noProof/>
        <w:sz w:val="16"/>
      </w:rPr>
      <w:t>{C46305: }</w:t>
    </w:r>
    <w:sdt>
      <w:sdtPr>
        <w:id w:val="128443276"/>
        <w:docPartObj>
          <w:docPartGallery w:val="Page Numbers (Bottom of Page)"/>
          <w:docPartUnique/>
        </w:docPartObj>
      </w:sdtPr>
      <w:sdtEndPr>
        <w:rPr>
          <w:noProof/>
        </w:rPr>
      </w:sdtEndPr>
      <w:sdtContent>
        <w:r w:rsidR="000C2DDE">
          <w:tab/>
        </w:r>
        <w:r w:rsidR="000C2DDE" w:rsidRPr="00555B0B">
          <w:fldChar w:fldCharType="begin"/>
        </w:r>
        <w:r w:rsidR="000C2DDE" w:rsidRPr="00555B0B">
          <w:instrText xml:space="preserve"> PAGE   \* MERGEFORMAT </w:instrText>
        </w:r>
        <w:r w:rsidR="000C2DDE" w:rsidRPr="00555B0B">
          <w:fldChar w:fldCharType="separate"/>
        </w:r>
        <w:r>
          <w:rPr>
            <w:noProof/>
          </w:rPr>
          <w:t>i</w:t>
        </w:r>
        <w:r w:rsidR="000C2DDE" w:rsidRPr="00555B0B">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DE" w:rsidRDefault="000C2D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DE" w:rsidRPr="005D71B8" w:rsidRDefault="002B30F0">
    <w:pPr>
      <w:pStyle w:val="Footer"/>
    </w:pPr>
    <w:r w:rsidRPr="002B30F0">
      <w:rPr>
        <w:noProof/>
        <w:sz w:val="16"/>
      </w:rPr>
      <w:t>{C46305: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DE" w:rsidRPr="005D71B8" w:rsidRDefault="002B30F0">
    <w:pPr>
      <w:pStyle w:val="Footer"/>
    </w:pPr>
    <w:r w:rsidRPr="002B30F0">
      <w:rPr>
        <w:noProof/>
        <w:sz w:val="16"/>
      </w:rPr>
      <w:t>{C46305: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DE" w:rsidRDefault="000C2DDE" w:rsidP="002B08A8">
      <w:pPr>
        <w:rPr>
          <w:noProof/>
        </w:rPr>
      </w:pPr>
      <w:r>
        <w:rPr>
          <w:noProof/>
        </w:rPr>
        <w:separator/>
      </w:r>
    </w:p>
  </w:footnote>
  <w:footnote w:type="continuationSeparator" w:id="0">
    <w:p w:rsidR="000C2DDE" w:rsidRDefault="000C2DDE" w:rsidP="002B08A8">
      <w:r>
        <w:continuationSeparator/>
      </w:r>
    </w:p>
  </w:footnote>
  <w:footnote w:id="1">
    <w:p w:rsidR="000C2DDE" w:rsidRPr="00984538" w:rsidRDefault="000C2DDE" w:rsidP="00AC4529">
      <w:pPr>
        <w:pStyle w:val="FootnoteText"/>
        <w:jc w:val="both"/>
        <w:rPr>
          <w:rFonts w:cs="Arial"/>
        </w:rPr>
      </w:pPr>
      <w:r w:rsidRPr="00984538">
        <w:rPr>
          <w:rStyle w:val="FootnoteReference"/>
          <w:rFonts w:cs="Arial"/>
        </w:rPr>
        <w:footnoteRef/>
      </w:r>
      <w:r w:rsidRPr="00984538">
        <w:rPr>
          <w:rFonts w:cs="Arial"/>
        </w:rPr>
        <w:t xml:space="preserve"> Duke Ex. 1.</w:t>
      </w:r>
    </w:p>
  </w:footnote>
  <w:footnote w:id="2">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Duke’s contractual rights to obtain power from OVEC are referred to herein as the OVEC Entitlement.</w:t>
      </w:r>
    </w:p>
  </w:footnote>
  <w:footnote w:id="3">
    <w:p w:rsidR="000C2DDE" w:rsidRPr="00984538" w:rsidRDefault="000C2DDE" w:rsidP="00AC4529">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In re Columbus S. Power Co</w:t>
      </w:r>
      <w:r w:rsidRPr="00984538">
        <w:rPr>
          <w:rFonts w:cs="Arial"/>
        </w:rPr>
        <w:t>., 128 Ohio St.3d 512 (2011).</w:t>
      </w:r>
    </w:p>
  </w:footnote>
  <w:footnote w:id="4">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Duke Initial Brief at 18.</w:t>
      </w:r>
    </w:p>
  </w:footnote>
  <w:footnote w:id="5">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Mishr v. Poland Bd of Zoning Appeals</w:t>
      </w:r>
      <w:r w:rsidRPr="00984538">
        <w:rPr>
          <w:rFonts w:cs="Arial"/>
        </w:rPr>
        <w:t>, 76 Ohio St.3d 238, 240 (1996).</w:t>
      </w:r>
    </w:p>
  </w:footnote>
  <w:footnote w:id="6">
    <w:p w:rsidR="000C2DDE" w:rsidRPr="00984538" w:rsidRDefault="000C2DDE" w:rsidP="00AC4529">
      <w:pPr>
        <w:pStyle w:val="FootnoteText"/>
        <w:jc w:val="both"/>
        <w:rPr>
          <w:rFonts w:cs="Arial"/>
        </w:rPr>
      </w:pPr>
      <w:r w:rsidRPr="00984538">
        <w:rPr>
          <w:rStyle w:val="FootnoteReference"/>
          <w:rFonts w:cs="Arial"/>
        </w:rPr>
        <w:footnoteRef/>
      </w:r>
      <w:r w:rsidRPr="00984538">
        <w:rPr>
          <w:rFonts w:cs="Arial"/>
        </w:rPr>
        <w:t xml:space="preserve"> R.C. 1.47.  Additionally, “[i]f amendments to the same statute are enacted at the same or different sessions of the legislature, one amendment without reference to another, the amendments are to be harmonized, if possible, so that effect may be given to each.“  R.C. 1.52.</w:t>
      </w:r>
    </w:p>
  </w:footnote>
  <w:footnote w:id="7">
    <w:p w:rsidR="000C2DDE" w:rsidRDefault="000C2DDE">
      <w:pPr>
        <w:pStyle w:val="FootnoteText"/>
      </w:pPr>
      <w:r>
        <w:rPr>
          <w:rStyle w:val="FootnoteReference"/>
        </w:rPr>
        <w:footnoteRef/>
      </w:r>
      <w:r>
        <w:t xml:space="preserve"> R.C. 1.51.</w:t>
      </w:r>
    </w:p>
  </w:footnote>
  <w:footnote w:id="8">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In the Matter of the Application of Ohio Power Company for Approval of the Shutdown of Unit 5 of the Philip Sporn Generating Station and to Establish a Plant Shutdown Rider</w:t>
      </w:r>
      <w:r w:rsidRPr="00984538">
        <w:rPr>
          <w:rFonts w:cs="Arial"/>
        </w:rPr>
        <w:t>, Case No. 10-1454-EL-RDR, Reply Comments of Ohio Power Company at 7 (Apr. 21, 2011)</w:t>
      </w:r>
      <w:r>
        <w:rPr>
          <w:rFonts w:cs="Arial"/>
        </w:rPr>
        <w:t xml:space="preserve"> (“</w:t>
      </w:r>
      <w:r w:rsidRPr="00AC4529">
        <w:rPr>
          <w:rFonts w:cs="Arial"/>
          <w:i/>
        </w:rPr>
        <w:t>Sporn</w:t>
      </w:r>
      <w:r>
        <w:rPr>
          <w:rFonts w:cs="Arial"/>
        </w:rPr>
        <w:t>”)</w:t>
      </w:r>
      <w:r w:rsidRPr="00984538">
        <w:rPr>
          <w:rFonts w:cs="Arial"/>
        </w:rPr>
        <w:t>.</w:t>
      </w:r>
    </w:p>
  </w:footnote>
  <w:footnote w:id="9">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Id.</w:t>
      </w:r>
      <w:r w:rsidRPr="00984538">
        <w:rPr>
          <w:rFonts w:cs="Arial"/>
        </w:rPr>
        <w:t>, Finding and Order at 18-19 (emphasis added).</w:t>
      </w:r>
    </w:p>
  </w:footnote>
  <w:footnote w:id="10">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Id.</w:t>
      </w:r>
      <w:r w:rsidRPr="00984538">
        <w:rPr>
          <w:rFonts w:cs="Arial"/>
        </w:rPr>
        <w:t xml:space="preserve"> at 19.</w:t>
      </w:r>
    </w:p>
  </w:footnote>
  <w:footnote w:id="11">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In re Columbus S. Power Co.,</w:t>
      </w:r>
      <w:r w:rsidRPr="00984538">
        <w:rPr>
          <w:rFonts w:cs="Arial"/>
        </w:rPr>
        <w:t xml:space="preserve"> 128 Ohio St.3d 512 (2011) (the Commission may not authorize any term not expressly included in the list of items that may be included in an ESP).</w:t>
      </w:r>
    </w:p>
  </w:footnote>
  <w:footnote w:id="12">
    <w:p w:rsidR="000C2DDE" w:rsidRPr="00984538" w:rsidRDefault="000C2DDE" w:rsidP="00AC4529">
      <w:pPr>
        <w:pStyle w:val="FootnoteText"/>
        <w:jc w:val="both"/>
        <w:rPr>
          <w:rFonts w:cs="Arial"/>
        </w:rPr>
      </w:pPr>
      <w:r w:rsidRPr="00984538">
        <w:rPr>
          <w:rStyle w:val="FootnoteReference"/>
          <w:rFonts w:cs="Arial"/>
        </w:rPr>
        <w:footnoteRef/>
      </w:r>
      <w:r w:rsidRPr="00984538">
        <w:rPr>
          <w:rFonts w:cs="Arial"/>
        </w:rPr>
        <w:t xml:space="preserve"> Tr. Vol. II at 465-66.</w:t>
      </w:r>
    </w:p>
  </w:footnote>
  <w:footnote w:id="13">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Duke Ex. 6 at 12.</w:t>
      </w:r>
    </w:p>
  </w:footnote>
  <w:footnote w:id="14">
    <w:p w:rsidR="000C2DDE" w:rsidRPr="00984538" w:rsidRDefault="000C2DDE" w:rsidP="00AC4529">
      <w:pPr>
        <w:pStyle w:val="FootnoteText"/>
        <w:jc w:val="both"/>
        <w:rPr>
          <w:rFonts w:cs="Arial"/>
        </w:rPr>
      </w:pPr>
      <w:r w:rsidRPr="00984538">
        <w:rPr>
          <w:rStyle w:val="FootnoteReference"/>
          <w:rFonts w:cs="Arial"/>
        </w:rPr>
        <w:footnoteRef/>
      </w:r>
      <w:r w:rsidRPr="00984538">
        <w:rPr>
          <w:rFonts w:cs="Arial"/>
        </w:rPr>
        <w:t xml:space="preserve"> </w:t>
      </w:r>
      <w:r w:rsidRPr="00AC4529">
        <w:rPr>
          <w:rFonts w:cs="Arial"/>
          <w:i/>
        </w:rPr>
        <w:t>Id</w:t>
      </w:r>
      <w:r w:rsidRPr="00984538">
        <w:rPr>
          <w:rFonts w:cs="Arial"/>
        </w:rPr>
        <w:t xml:space="preserve">. </w:t>
      </w:r>
      <w:r>
        <w:rPr>
          <w:rFonts w:cs="Arial"/>
        </w:rPr>
        <w:t xml:space="preserve">at </w:t>
      </w:r>
      <w:r w:rsidRPr="00984538">
        <w:rPr>
          <w:rFonts w:cs="Arial"/>
        </w:rPr>
        <w:t>14.</w:t>
      </w:r>
    </w:p>
  </w:footnote>
  <w:footnote w:id="15">
    <w:p w:rsidR="000C2DDE" w:rsidRPr="00984538" w:rsidRDefault="000C2DDE" w:rsidP="00AC4529">
      <w:pPr>
        <w:pStyle w:val="FootnoteText"/>
        <w:jc w:val="both"/>
        <w:rPr>
          <w:rFonts w:cs="Arial"/>
        </w:rPr>
      </w:pPr>
      <w:r w:rsidRPr="00984538">
        <w:rPr>
          <w:rStyle w:val="FootnoteReference"/>
          <w:rFonts w:cs="Arial"/>
        </w:rPr>
        <w:footnoteRef/>
      </w:r>
      <w:r w:rsidRPr="00984538">
        <w:rPr>
          <w:rFonts w:cs="Arial"/>
        </w:rPr>
        <w:t xml:space="preserve"> For detailed discussion of Duke’s failure to support a finding that the PSR will provide stability or certainty in the provision of retail electric service, </w:t>
      </w:r>
      <w:r w:rsidRPr="000C2DDE">
        <w:rPr>
          <w:i/>
        </w:rPr>
        <w:t>see, e.g.</w:t>
      </w:r>
      <w:r w:rsidRPr="000C2DDE">
        <w:rPr>
          <w:rFonts w:cs="Arial"/>
          <w:i/>
        </w:rPr>
        <w:t>,</w:t>
      </w:r>
      <w:r w:rsidRPr="00984538">
        <w:rPr>
          <w:rFonts w:cs="Arial"/>
        </w:rPr>
        <w:t xml:space="preserve"> IEU-Ohio Initial Brief at 26-30 (Dec. 15, 2014).</w:t>
      </w:r>
    </w:p>
  </w:footnote>
  <w:footnote w:id="16">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Duke Initial Brief at 21-22.</w:t>
      </w:r>
    </w:p>
  </w:footnote>
  <w:footnote w:id="17">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Id.</w:t>
      </w:r>
      <w:r w:rsidRPr="00984538">
        <w:rPr>
          <w:rFonts w:cs="Arial"/>
        </w:rPr>
        <w:t xml:space="preserve"> at 20.</w:t>
      </w:r>
    </w:p>
  </w:footnote>
  <w:footnote w:id="18">
    <w:p w:rsidR="000C2DDE" w:rsidRPr="00984538" w:rsidRDefault="000C2DDE" w:rsidP="00AC4529">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Id</w:t>
      </w:r>
      <w:r w:rsidRPr="00984538">
        <w:rPr>
          <w:rFonts w:cs="Arial"/>
        </w:rPr>
        <w:t>.</w:t>
      </w:r>
    </w:p>
  </w:footnote>
  <w:footnote w:id="19">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Id.</w:t>
      </w:r>
      <w:r w:rsidRPr="00984538">
        <w:rPr>
          <w:rFonts w:cs="Arial"/>
        </w:rPr>
        <w:t xml:space="preserve"> at 22.</w:t>
      </w:r>
    </w:p>
  </w:footnote>
  <w:footnote w:id="20">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Tr. Vol. II at 472-73; Tr. Vol. X at 2697.  See</w:t>
      </w:r>
      <w:r w:rsidRPr="00984538">
        <w:rPr>
          <w:rFonts w:cs="Arial"/>
          <w:i/>
        </w:rPr>
        <w:t xml:space="preserve"> </w:t>
      </w:r>
      <w:r w:rsidRPr="00984538">
        <w:rPr>
          <w:rFonts w:cs="Arial"/>
        </w:rPr>
        <w:t>the Commission’s Apples to Apples Chart applicable to Duke, viewed at http://energychoice.ohio.gov/ApplesToApplesCategory.aspx?Category=Electric.</w:t>
      </w:r>
    </w:p>
  </w:footnote>
  <w:footnote w:id="21">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Staff Ex. 3, </w:t>
      </w:r>
      <w:r w:rsidRPr="00984538">
        <w:rPr>
          <w:rFonts w:cs="Arial"/>
          <w:i/>
        </w:rPr>
        <w:t>passim</w:t>
      </w:r>
      <w:r w:rsidRPr="00984538">
        <w:rPr>
          <w:rFonts w:cs="Arial"/>
        </w:rPr>
        <w:t>.</w:t>
      </w:r>
    </w:p>
  </w:footnote>
  <w:footnote w:id="22">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Duke Ex. 6 at 10-16.</w:t>
      </w:r>
    </w:p>
  </w:footnote>
  <w:footnote w:id="23">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Duke Ex. 18 at Ex. JEZ-3</w:t>
      </w:r>
      <w:r>
        <w:rPr>
          <w:rFonts w:cs="Arial"/>
        </w:rPr>
        <w:t>.</w:t>
      </w:r>
    </w:p>
  </w:footnote>
  <w:footnote w:id="24">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See, e.g.</w:t>
      </w:r>
      <w:r w:rsidRPr="00984538">
        <w:rPr>
          <w:rFonts w:cs="Arial"/>
        </w:rPr>
        <w:t>, OEG 1.</w:t>
      </w:r>
    </w:p>
  </w:footnote>
  <w:footnote w:id="25">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Duke Initial Brief at 20.</w:t>
      </w:r>
    </w:p>
  </w:footnote>
  <w:footnote w:id="26">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w:t>
      </w:r>
      <w:r w:rsidRPr="00AC4529">
        <w:rPr>
          <w:rFonts w:cs="Arial"/>
          <w:i/>
        </w:rPr>
        <w:t>Id</w:t>
      </w:r>
      <w:r>
        <w:rPr>
          <w:rFonts w:cs="Arial"/>
        </w:rPr>
        <w:t>.</w:t>
      </w:r>
      <w:r w:rsidRPr="00984538">
        <w:rPr>
          <w:rFonts w:cs="Arial"/>
        </w:rPr>
        <w:t xml:space="preserve"> at 21.</w:t>
      </w:r>
    </w:p>
  </w:footnote>
  <w:footnote w:id="27">
    <w:p w:rsidR="000C2DDE" w:rsidRPr="00984538" w:rsidRDefault="000C2DDE" w:rsidP="00D2420C">
      <w:pPr>
        <w:pStyle w:val="FootnoteText"/>
        <w:jc w:val="both"/>
        <w:rPr>
          <w:rFonts w:cs="Arial"/>
        </w:rPr>
      </w:pPr>
      <w:r w:rsidRPr="00984538">
        <w:rPr>
          <w:rStyle w:val="FootnoteReference"/>
          <w:rFonts w:cs="Arial"/>
        </w:rPr>
        <w:footnoteRef/>
      </w:r>
      <w:r w:rsidRPr="00984538">
        <w:rPr>
          <w:rFonts w:cs="Arial"/>
        </w:rPr>
        <w:t xml:space="preserve"> IEU-Ohio Ex. 3 &amp; 4.</w:t>
      </w:r>
    </w:p>
  </w:footnote>
  <w:footnote w:id="28">
    <w:p w:rsidR="000C2DDE" w:rsidRPr="00D2420C" w:rsidRDefault="000C2DDE" w:rsidP="00984538">
      <w:pPr>
        <w:pStyle w:val="FootnoteText"/>
        <w:jc w:val="both"/>
        <w:rPr>
          <w:rFonts w:cs="Arial"/>
        </w:rPr>
      </w:pPr>
      <w:r w:rsidRPr="00984538">
        <w:rPr>
          <w:rStyle w:val="FootnoteReference"/>
          <w:rFonts w:cs="Arial"/>
        </w:rPr>
        <w:footnoteRef/>
      </w:r>
      <w:r w:rsidRPr="00984538">
        <w:rPr>
          <w:rFonts w:cs="Arial"/>
        </w:rPr>
        <w:t xml:space="preserve"> The PJM auctions are for th</w:t>
      </w:r>
      <w:r>
        <w:rPr>
          <w:rFonts w:cs="Arial"/>
        </w:rPr>
        <w:t>e</w:t>
      </w:r>
      <w:r w:rsidRPr="00984538">
        <w:rPr>
          <w:rFonts w:cs="Arial"/>
        </w:rPr>
        <w:t xml:space="preserve"> delivery of capacity service three years forward.  The base residual auction for the 2017-2018 planning year was conducted in May 2014.</w:t>
      </w:r>
      <w:r w:rsidRPr="00D2420C">
        <w:rPr>
          <w:rFonts w:cs="Arial"/>
        </w:rPr>
        <w:t xml:space="preserve">  Staff Initial Brief at 9-10.</w:t>
      </w:r>
    </w:p>
  </w:footnote>
  <w:footnote w:id="29">
    <w:p w:rsidR="000C2DDE" w:rsidRPr="00984538" w:rsidRDefault="000C2DDE" w:rsidP="00AC4529">
      <w:pPr>
        <w:pStyle w:val="FootnoteText"/>
        <w:jc w:val="both"/>
        <w:rPr>
          <w:rFonts w:cs="Arial"/>
        </w:rPr>
      </w:pPr>
      <w:r w:rsidRPr="00984538">
        <w:rPr>
          <w:rStyle w:val="FootnoteReference"/>
          <w:rFonts w:cs="Arial"/>
        </w:rPr>
        <w:footnoteRef/>
      </w:r>
      <w:r w:rsidRPr="00984538">
        <w:rPr>
          <w:rFonts w:cs="Arial"/>
        </w:rPr>
        <w:t xml:space="preserve"> Duke Initial Brief at 21.</w:t>
      </w:r>
    </w:p>
  </w:footnote>
  <w:footnote w:id="30">
    <w:p w:rsidR="000C2DDE" w:rsidRPr="00D2420C" w:rsidRDefault="000C2DDE" w:rsidP="00984538">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Id</w:t>
      </w:r>
      <w:r w:rsidRPr="00984538">
        <w:rPr>
          <w:rFonts w:cs="Arial"/>
        </w:rPr>
        <w:t>.</w:t>
      </w:r>
      <w:r w:rsidRPr="00D2420C">
        <w:rPr>
          <w:rFonts w:cs="Arial"/>
        </w:rPr>
        <w:t xml:space="preserve"> at 21-23.</w:t>
      </w:r>
    </w:p>
  </w:footnote>
  <w:footnote w:id="31">
    <w:p w:rsidR="000C2DDE" w:rsidRPr="00984538" w:rsidRDefault="000C2DDE" w:rsidP="00AC4529">
      <w:pPr>
        <w:pStyle w:val="FootnoteText"/>
        <w:jc w:val="both"/>
        <w:rPr>
          <w:rFonts w:cs="Arial"/>
        </w:rPr>
      </w:pPr>
      <w:r w:rsidRPr="00984538">
        <w:rPr>
          <w:rStyle w:val="FootnoteReference"/>
          <w:rFonts w:cs="Arial"/>
        </w:rPr>
        <w:footnoteRef/>
      </w:r>
      <w:r w:rsidRPr="00984538">
        <w:rPr>
          <w:rFonts w:cs="Arial"/>
        </w:rPr>
        <w:t xml:space="preserve"> Duke Ex. 3 at 8.</w:t>
      </w:r>
    </w:p>
  </w:footnote>
  <w:footnote w:id="32">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Tr. Vol. II at 472-</w:t>
      </w:r>
      <w:r>
        <w:rPr>
          <w:rFonts w:cs="Arial"/>
        </w:rPr>
        <w:t>75.</w:t>
      </w:r>
    </w:p>
  </w:footnote>
  <w:footnote w:id="33">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Duke </w:t>
      </w:r>
      <w:r>
        <w:rPr>
          <w:rFonts w:cs="Arial"/>
        </w:rPr>
        <w:t xml:space="preserve">Initial </w:t>
      </w:r>
      <w:r w:rsidRPr="00984538">
        <w:rPr>
          <w:rFonts w:cs="Arial"/>
        </w:rPr>
        <w:t>Brief at 20.</w:t>
      </w:r>
    </w:p>
  </w:footnote>
  <w:footnote w:id="34">
    <w:p w:rsidR="000C2DDE" w:rsidRPr="00D2420C" w:rsidRDefault="000C2DDE" w:rsidP="00984538">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Columbus S. Power Co. v. Pub. Util. Comm’n of Ohio</w:t>
      </w:r>
      <w:r w:rsidRPr="00984538">
        <w:rPr>
          <w:rFonts w:cs="Arial"/>
        </w:rPr>
        <w:t>, 67 Ohio St.3d 535, 537 (1993</w:t>
      </w:r>
      <w:r w:rsidRPr="00D2420C">
        <w:rPr>
          <w:rFonts w:cs="Arial"/>
        </w:rPr>
        <w:t>).</w:t>
      </w:r>
    </w:p>
  </w:footnote>
  <w:footnote w:id="35">
    <w:p w:rsidR="000C2DDE" w:rsidRPr="00984538" w:rsidRDefault="000C2DDE" w:rsidP="00D2420C">
      <w:pPr>
        <w:pStyle w:val="FootnoteText"/>
        <w:jc w:val="both"/>
        <w:rPr>
          <w:rFonts w:cs="Arial"/>
        </w:rPr>
      </w:pPr>
      <w:r w:rsidRPr="00984538">
        <w:rPr>
          <w:rStyle w:val="FootnoteReference"/>
          <w:rFonts w:cs="Arial"/>
        </w:rPr>
        <w:footnoteRef/>
      </w:r>
      <w:r w:rsidRPr="00984538">
        <w:rPr>
          <w:rFonts w:cs="Arial"/>
        </w:rPr>
        <w:t xml:space="preserve"> R.C. 4928.03.</w:t>
      </w:r>
    </w:p>
  </w:footnote>
  <w:footnote w:id="36">
    <w:p w:rsidR="000C2DDE" w:rsidRPr="00984538" w:rsidRDefault="000C2DDE" w:rsidP="00D2420C">
      <w:pPr>
        <w:pStyle w:val="FootnoteText"/>
        <w:jc w:val="both"/>
        <w:rPr>
          <w:rFonts w:cs="Arial"/>
        </w:rPr>
      </w:pPr>
      <w:r w:rsidRPr="00984538">
        <w:rPr>
          <w:rStyle w:val="FootnoteReference"/>
          <w:rFonts w:cs="Arial"/>
        </w:rPr>
        <w:footnoteRef/>
      </w:r>
      <w:r w:rsidRPr="00984538">
        <w:rPr>
          <w:rFonts w:cs="Arial"/>
        </w:rPr>
        <w:t xml:space="preserve"> R.C. 4928.141 to R.C. 4928.143.</w:t>
      </w:r>
    </w:p>
  </w:footnote>
  <w:footnote w:id="37">
    <w:p w:rsidR="000C2DDE" w:rsidRPr="00984538" w:rsidRDefault="000C2DDE" w:rsidP="00D2420C">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In re Columbus S. Power Co</w:t>
      </w:r>
      <w:r w:rsidRPr="00984538">
        <w:rPr>
          <w:rFonts w:cs="Arial"/>
        </w:rPr>
        <w:t>., 128 Ohio St.3d 512 (2014).</w:t>
      </w:r>
    </w:p>
  </w:footnote>
  <w:footnote w:id="38">
    <w:p w:rsidR="000C2DDE" w:rsidRPr="00984538" w:rsidRDefault="000C2DDE" w:rsidP="00AC4529">
      <w:pPr>
        <w:pStyle w:val="FootnoteText"/>
        <w:jc w:val="both"/>
        <w:rPr>
          <w:rFonts w:cs="Arial"/>
        </w:rPr>
      </w:pPr>
      <w:r w:rsidRPr="00984538">
        <w:rPr>
          <w:rStyle w:val="FootnoteReference"/>
          <w:rFonts w:cs="Arial"/>
        </w:rPr>
        <w:footnoteRef/>
      </w:r>
      <w:r w:rsidRPr="00984538">
        <w:rPr>
          <w:rFonts w:cs="Arial"/>
        </w:rPr>
        <w:t xml:space="preserve"> For a detailed discussion of the requirements of R.C. 4928.143(B)(1) and (2), </w:t>
      </w:r>
      <w:r w:rsidRPr="00AC4529">
        <w:rPr>
          <w:rFonts w:cs="Arial"/>
        </w:rPr>
        <w:t>see</w:t>
      </w:r>
      <w:r w:rsidRPr="00984538">
        <w:rPr>
          <w:rFonts w:cs="Arial"/>
        </w:rPr>
        <w:t xml:space="preserve"> IEU-Ohio Initial Brief at 6-12.</w:t>
      </w:r>
    </w:p>
  </w:footnote>
  <w:footnote w:id="39">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IEU-Ohio Initial Brief at 12.</w:t>
      </w:r>
    </w:p>
  </w:footnote>
  <w:footnote w:id="40">
    <w:p w:rsidR="000C2DDE" w:rsidRPr="0020278B" w:rsidRDefault="000C2DDE" w:rsidP="00984538">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Id.</w:t>
      </w:r>
    </w:p>
  </w:footnote>
  <w:footnote w:id="41">
    <w:p w:rsidR="000C2DDE" w:rsidRPr="00984538" w:rsidRDefault="000C2DDE" w:rsidP="0020278B">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Id.</w:t>
      </w:r>
      <w:r w:rsidRPr="0020278B">
        <w:rPr>
          <w:rFonts w:cs="Arial"/>
        </w:rPr>
        <w:t xml:space="preserve"> at 12-14.  </w:t>
      </w:r>
      <w:r w:rsidRPr="0020278B">
        <w:rPr>
          <w:rFonts w:cs="Arial"/>
          <w:i/>
        </w:rPr>
        <w:t>See</w:t>
      </w:r>
      <w:r w:rsidR="00337115">
        <w:rPr>
          <w:rFonts w:cs="Arial"/>
          <w:i/>
        </w:rPr>
        <w:t>,</w:t>
      </w:r>
      <w:r w:rsidRPr="0020278B">
        <w:rPr>
          <w:rFonts w:cs="Arial"/>
        </w:rPr>
        <w:t xml:space="preserve"> </w:t>
      </w:r>
      <w:r>
        <w:rPr>
          <w:rFonts w:cs="Arial"/>
          <w:i/>
        </w:rPr>
        <w:t>Sporn</w:t>
      </w:r>
      <w:r>
        <w:rPr>
          <w:rFonts w:cs="Arial"/>
        </w:rPr>
        <w:t>, Finding and Order at 19</w:t>
      </w:r>
      <w:r w:rsidRPr="00984538">
        <w:rPr>
          <w:rFonts w:cs="Arial"/>
        </w:rPr>
        <w:t>.</w:t>
      </w:r>
    </w:p>
  </w:footnote>
  <w:footnote w:id="42">
    <w:p w:rsidR="000C2DDE" w:rsidRPr="0020278B" w:rsidRDefault="000C2DDE" w:rsidP="0020278B">
      <w:pPr>
        <w:pStyle w:val="FootnoteText"/>
        <w:jc w:val="both"/>
        <w:rPr>
          <w:rFonts w:cs="Arial"/>
        </w:rPr>
      </w:pPr>
      <w:r w:rsidRPr="00984538">
        <w:rPr>
          <w:rStyle w:val="FootnoteReference"/>
          <w:rFonts w:cs="Arial"/>
        </w:rPr>
        <w:footnoteRef/>
      </w:r>
      <w:r w:rsidRPr="00984538">
        <w:rPr>
          <w:rFonts w:cs="Arial"/>
        </w:rPr>
        <w:t xml:space="preserve"> R.C. 4905.02, R.C. 4905.03, &amp; R.C. 4928.01(A)(6) &amp; (7).  </w:t>
      </w:r>
      <w:r w:rsidRPr="0020278B">
        <w:rPr>
          <w:rFonts w:cs="Arial"/>
        </w:rPr>
        <w:t>For the detailed discussion of the Commission jurisdiction to establish retail prices, see IEU-Ohio Initial Brief at 19-20.</w:t>
      </w:r>
    </w:p>
  </w:footnote>
  <w:footnote w:id="43">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R.C. 4928.31 to R.C. 4928.40.</w:t>
      </w:r>
    </w:p>
  </w:footnote>
  <w:footnote w:id="44">
    <w:p w:rsidR="000C2DDE" w:rsidRPr="00984538" w:rsidRDefault="000C2DDE" w:rsidP="00904840">
      <w:pPr>
        <w:pStyle w:val="FootnoteText"/>
        <w:jc w:val="both"/>
        <w:rPr>
          <w:rFonts w:cs="Arial"/>
        </w:rPr>
      </w:pPr>
      <w:r w:rsidRPr="00984538">
        <w:rPr>
          <w:rStyle w:val="FootnoteReference"/>
          <w:rFonts w:cs="Arial"/>
        </w:rPr>
        <w:footnoteRef/>
      </w:r>
      <w:r w:rsidRPr="00984538">
        <w:rPr>
          <w:rFonts w:cs="Arial"/>
        </w:rPr>
        <w:t xml:space="preserve"> For a detailed discussion on the bar on the recovery of transition revenue or its equivalent, see IEU-Ohio Initial Brief at 15-19.</w:t>
      </w:r>
    </w:p>
  </w:footnote>
  <w:footnote w:id="45">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Duke Initial Brief at 24 n.79.  </w:t>
      </w:r>
    </w:p>
  </w:footnote>
  <w:footnote w:id="46">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RESA Ex. 3 at 13.</w:t>
      </w:r>
    </w:p>
  </w:footnote>
  <w:footnote w:id="47">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Tr. Vol. II at 428-29.</w:t>
      </w:r>
    </w:p>
  </w:footnote>
  <w:footnote w:id="48">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Tr. Vol. XVI at 4365.</w:t>
      </w:r>
    </w:p>
  </w:footnote>
  <w:footnote w:id="49">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Tr. Vol. XVI at 4365-66.</w:t>
      </w:r>
    </w:p>
  </w:footnote>
  <w:footnote w:id="50">
    <w:p w:rsidR="000C2DDE" w:rsidRPr="005C7A9A" w:rsidRDefault="000C2DDE" w:rsidP="00AC4529">
      <w:pPr>
        <w:pStyle w:val="FootnoteText"/>
        <w:jc w:val="both"/>
        <w:rPr>
          <w:rFonts w:cs="Arial"/>
        </w:rPr>
      </w:pPr>
      <w:r w:rsidRPr="00984538">
        <w:rPr>
          <w:rStyle w:val="FootnoteReference"/>
          <w:rFonts w:cs="Arial"/>
        </w:rPr>
        <w:footnoteRef/>
      </w:r>
      <w:r w:rsidRPr="00984538">
        <w:rPr>
          <w:rFonts w:cs="Arial"/>
        </w:rPr>
        <w:t xml:space="preserve"> Duke I</w:t>
      </w:r>
      <w:r w:rsidRPr="00280BA0">
        <w:rPr>
          <w:rFonts w:cs="Arial"/>
        </w:rPr>
        <w:t>nitial Brief at 41-49.</w:t>
      </w:r>
    </w:p>
  </w:footnote>
  <w:footnote w:id="51">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Id</w:t>
      </w:r>
      <w:r w:rsidRPr="00984538">
        <w:rPr>
          <w:rFonts w:cs="Arial"/>
        </w:rPr>
        <w:t>. at 42.</w:t>
      </w:r>
    </w:p>
  </w:footnote>
  <w:footnote w:id="52">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Duke Ex. 6 at 10-16.</w:t>
      </w:r>
    </w:p>
  </w:footnote>
  <w:footnote w:id="53">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See discussion above.</w:t>
      </w:r>
    </w:p>
  </w:footnote>
  <w:footnote w:id="54">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Duke Ex. 6 at 24-26</w:t>
      </w:r>
    </w:p>
  </w:footnote>
  <w:footnote w:id="55">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For the </w:t>
      </w:r>
      <w:r>
        <w:rPr>
          <w:rFonts w:cs="Arial"/>
        </w:rPr>
        <w:t xml:space="preserve">references to the </w:t>
      </w:r>
      <w:r w:rsidRPr="00984538">
        <w:rPr>
          <w:rFonts w:cs="Arial"/>
        </w:rPr>
        <w:t xml:space="preserve">extensive record demonstrating that the PSR does not operate as an effective hedge, see IEU-Ohio Brief at 26-30; OCC Initial Brief at 28-42; IGS Initial Brief at 26-31; </w:t>
      </w:r>
      <w:r>
        <w:rPr>
          <w:rFonts w:cs="Arial"/>
        </w:rPr>
        <w:t xml:space="preserve">and </w:t>
      </w:r>
      <w:r w:rsidRPr="00984538">
        <w:rPr>
          <w:rFonts w:cs="Arial"/>
        </w:rPr>
        <w:t>Sierra Club Initial Brief at 5-20.</w:t>
      </w:r>
    </w:p>
  </w:footnote>
  <w:footnote w:id="56">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Duke Initial Brief at 45.</w:t>
      </w:r>
    </w:p>
  </w:footnote>
  <w:footnote w:id="57">
    <w:p w:rsidR="000C2DDE" w:rsidRPr="00984538" w:rsidRDefault="000C2DDE" w:rsidP="00AC4529">
      <w:pPr>
        <w:pStyle w:val="FootnoteText"/>
        <w:jc w:val="both"/>
        <w:rPr>
          <w:rFonts w:cs="Arial"/>
        </w:rPr>
      </w:pPr>
      <w:r w:rsidRPr="00984538">
        <w:rPr>
          <w:rStyle w:val="FootnoteReference"/>
          <w:rFonts w:cs="Arial"/>
        </w:rPr>
        <w:footnoteRef/>
      </w:r>
      <w:r w:rsidRPr="00984538">
        <w:rPr>
          <w:rFonts w:cs="Arial"/>
        </w:rPr>
        <w:t xml:space="preserve"> IEU-Ohio Ex. 5.</w:t>
      </w:r>
    </w:p>
  </w:footnote>
  <w:footnote w:id="58">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Duke Ex. 6</w:t>
      </w:r>
      <w:r w:rsidRPr="00984538">
        <w:rPr>
          <w:rFonts w:cs="Arial"/>
          <w:i/>
        </w:rPr>
        <w:t xml:space="preserve"> </w:t>
      </w:r>
      <w:r w:rsidRPr="00984538">
        <w:rPr>
          <w:rFonts w:cs="Arial"/>
        </w:rPr>
        <w:t>at 16.</w:t>
      </w:r>
    </w:p>
  </w:footnote>
  <w:footnote w:id="59">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Sporn,</w:t>
      </w:r>
      <w:r w:rsidRPr="00984538">
        <w:rPr>
          <w:rFonts w:cs="Arial"/>
        </w:rPr>
        <w:t xml:space="preserve"> Finding and Order at 19.</w:t>
      </w:r>
    </w:p>
  </w:footnote>
  <w:footnote w:id="60">
    <w:p w:rsidR="000C2DDE" w:rsidRPr="00984538" w:rsidRDefault="000C2DDE">
      <w:pPr>
        <w:pStyle w:val="FootnoteText"/>
        <w:jc w:val="both"/>
        <w:rPr>
          <w:rFonts w:cs="Arial"/>
        </w:rPr>
      </w:pPr>
      <w:r w:rsidRPr="00984538">
        <w:rPr>
          <w:rStyle w:val="FootnoteReference"/>
          <w:rFonts w:cs="Arial"/>
        </w:rPr>
        <w:footnoteRef/>
      </w:r>
      <w:r w:rsidRPr="00984538">
        <w:rPr>
          <w:rFonts w:cs="Arial"/>
          <w:i/>
        </w:rPr>
        <w:t xml:space="preserve"> </w:t>
      </w:r>
      <w:r w:rsidRPr="00984538">
        <w:rPr>
          <w:rFonts w:cs="Arial"/>
        </w:rPr>
        <w:t>Duke Initial Brief at 49.</w:t>
      </w:r>
    </w:p>
  </w:footnote>
  <w:footnote w:id="61">
    <w:p w:rsidR="000C2DDE" w:rsidRPr="00984538" w:rsidRDefault="000C2DDE" w:rsidP="00B7316B">
      <w:pPr>
        <w:pStyle w:val="FootnoteText"/>
        <w:jc w:val="both"/>
        <w:rPr>
          <w:rFonts w:cs="Arial"/>
        </w:rPr>
      </w:pPr>
      <w:r w:rsidRPr="00984538">
        <w:rPr>
          <w:rStyle w:val="FootnoteReference"/>
          <w:rFonts w:cs="Arial"/>
        </w:rPr>
        <w:footnoteRef/>
      </w:r>
      <w:r w:rsidRPr="00984538">
        <w:rPr>
          <w:rFonts w:cs="Arial"/>
        </w:rPr>
        <w:t xml:space="preserve"> IEU-Ohio Initi</w:t>
      </w:r>
      <w:r w:rsidRPr="00D2420C">
        <w:rPr>
          <w:rFonts w:cs="Arial"/>
        </w:rPr>
        <w:t xml:space="preserve">al Brief at 20-25, discussing </w:t>
      </w:r>
      <w:r w:rsidRPr="00984538">
        <w:rPr>
          <w:rFonts w:cs="Arial"/>
          <w:i/>
        </w:rPr>
        <w:t>PPL EnergyPlus</w:t>
      </w:r>
      <w:r>
        <w:rPr>
          <w:rFonts w:cs="Arial"/>
          <w:i/>
        </w:rPr>
        <w:t>, LLC</w:t>
      </w:r>
      <w:r w:rsidRPr="00984538">
        <w:rPr>
          <w:rFonts w:cs="Arial"/>
          <w:i/>
        </w:rPr>
        <w:t xml:space="preserve"> v. Hanna</w:t>
      </w:r>
      <w:r w:rsidRPr="00984538">
        <w:rPr>
          <w:rFonts w:cs="Arial"/>
        </w:rPr>
        <w:t xml:space="preserve">, 977 F. Supp.2d 372, 393, (D. N.J. 2013), </w:t>
      </w:r>
      <w:r w:rsidRPr="00984538">
        <w:rPr>
          <w:rFonts w:cs="Arial"/>
          <w:i/>
        </w:rPr>
        <w:t>aff’d sub nom</w:t>
      </w:r>
      <w:r w:rsidRPr="00984538">
        <w:rPr>
          <w:rFonts w:cs="Arial"/>
        </w:rPr>
        <w:t xml:space="preserve">., </w:t>
      </w:r>
      <w:r w:rsidRPr="00984538">
        <w:rPr>
          <w:rFonts w:cs="Arial"/>
          <w:i/>
        </w:rPr>
        <w:t>PPL EnergyPlus LLC v. Solomon</w:t>
      </w:r>
      <w:r w:rsidRPr="00984538">
        <w:rPr>
          <w:rFonts w:cs="Arial"/>
        </w:rPr>
        <w:t xml:space="preserve">, 766 F.3d, 241, 253 (3d Cir. 2014) and </w:t>
      </w:r>
      <w:r w:rsidRPr="00984538">
        <w:rPr>
          <w:rFonts w:cs="Arial"/>
          <w:i/>
        </w:rPr>
        <w:t>PPL EnergyPlus, LLC v. Nazarian</w:t>
      </w:r>
      <w:r w:rsidRPr="00984538">
        <w:rPr>
          <w:rFonts w:cs="Arial"/>
        </w:rPr>
        <w:t xml:space="preserve">, 974 F. Supp.2d 790 (D. Md. 2013), </w:t>
      </w:r>
      <w:r w:rsidRPr="00984538">
        <w:rPr>
          <w:rFonts w:cs="Arial"/>
          <w:i/>
        </w:rPr>
        <w:t>aff’d</w:t>
      </w:r>
      <w:r w:rsidRPr="00984538">
        <w:rPr>
          <w:rFonts w:cs="Arial"/>
        </w:rPr>
        <w:t>, 753 F.3d 467 (4th</w:t>
      </w:r>
      <w:r w:rsidRPr="00984538">
        <w:rPr>
          <w:rFonts w:cs="Arial"/>
          <w:vertAlign w:val="superscript"/>
        </w:rPr>
        <w:t xml:space="preserve"> </w:t>
      </w:r>
      <w:r w:rsidRPr="00984538">
        <w:rPr>
          <w:rFonts w:cs="Arial"/>
        </w:rPr>
        <w:t>Cir. 2014).</w:t>
      </w:r>
    </w:p>
  </w:footnote>
  <w:footnote w:id="62">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OEG Initial Brief at 11-14.</w:t>
      </w:r>
    </w:p>
  </w:footnote>
  <w:footnote w:id="63">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w:t>
      </w:r>
      <w:r w:rsidRPr="003A45A7">
        <w:rPr>
          <w:rFonts w:cs="Arial"/>
          <w:i/>
        </w:rPr>
        <w:t>Id</w:t>
      </w:r>
      <w:r>
        <w:rPr>
          <w:rFonts w:cs="Arial"/>
        </w:rPr>
        <w:t>.</w:t>
      </w:r>
      <w:r w:rsidRPr="00984538">
        <w:rPr>
          <w:rFonts w:cs="Arial"/>
        </w:rPr>
        <w:t xml:space="preserve"> at 11.</w:t>
      </w:r>
    </w:p>
  </w:footnote>
  <w:footnote w:id="64">
    <w:p w:rsidR="000C2DDE" w:rsidRPr="00D2420C" w:rsidRDefault="000C2DDE">
      <w:pPr>
        <w:pStyle w:val="FootnoteText"/>
        <w:jc w:val="both"/>
        <w:rPr>
          <w:rFonts w:cs="Arial"/>
        </w:rPr>
      </w:pPr>
      <w:r w:rsidRPr="00984538">
        <w:rPr>
          <w:rStyle w:val="FootnoteReference"/>
          <w:rFonts w:cs="Arial"/>
        </w:rPr>
        <w:footnoteRef/>
      </w:r>
      <w:r w:rsidRPr="00984538">
        <w:rPr>
          <w:rFonts w:cs="Arial"/>
        </w:rPr>
        <w:t xml:space="preserve"> </w:t>
      </w:r>
      <w:r w:rsidRPr="00D2420C">
        <w:rPr>
          <w:rFonts w:cs="Arial"/>
          <w:i/>
        </w:rPr>
        <w:t>Id.</w:t>
      </w:r>
      <w:r w:rsidRPr="00D2420C">
        <w:rPr>
          <w:rFonts w:cs="Arial"/>
        </w:rPr>
        <w:t xml:space="preserve"> at 12</w:t>
      </w:r>
    </w:p>
  </w:footnote>
  <w:footnote w:id="65">
    <w:p w:rsidR="000C2DDE" w:rsidRPr="00D2420C" w:rsidRDefault="000C2DDE" w:rsidP="00AC4529">
      <w:pPr>
        <w:pStyle w:val="FootnoteText"/>
        <w:jc w:val="both"/>
        <w:rPr>
          <w:rFonts w:cs="Arial"/>
        </w:rPr>
      </w:pPr>
      <w:r w:rsidRPr="00984538">
        <w:rPr>
          <w:rStyle w:val="FootnoteReference"/>
          <w:rFonts w:cs="Arial"/>
        </w:rPr>
        <w:footnoteRef/>
      </w:r>
      <w:r w:rsidRPr="00984538">
        <w:rPr>
          <w:rFonts w:cs="Arial"/>
        </w:rPr>
        <w:t xml:space="preserve"> </w:t>
      </w:r>
      <w:r w:rsidRPr="00D2420C">
        <w:rPr>
          <w:rFonts w:cs="Arial"/>
          <w:i/>
        </w:rPr>
        <w:t>Id</w:t>
      </w:r>
      <w:r w:rsidRPr="00D2420C">
        <w:rPr>
          <w:rFonts w:cs="Arial"/>
        </w:rPr>
        <w:t>. at 12-13.</w:t>
      </w:r>
    </w:p>
  </w:footnote>
  <w:footnote w:id="66">
    <w:p w:rsidR="000C2DDE" w:rsidRPr="005C7A9A" w:rsidRDefault="000C2DDE" w:rsidP="00AC4529">
      <w:pPr>
        <w:pStyle w:val="FootnoteText"/>
        <w:jc w:val="both"/>
        <w:rPr>
          <w:rFonts w:cs="Arial"/>
        </w:rPr>
      </w:pPr>
      <w:r w:rsidRPr="00984538">
        <w:rPr>
          <w:rStyle w:val="FootnoteReference"/>
          <w:rFonts w:cs="Arial"/>
        </w:rPr>
        <w:footnoteRef/>
      </w:r>
      <w:r w:rsidRPr="00984538">
        <w:rPr>
          <w:rFonts w:cs="Arial"/>
        </w:rPr>
        <w:t xml:space="preserve"> </w:t>
      </w:r>
      <w:r w:rsidRPr="00D2420C">
        <w:rPr>
          <w:rFonts w:cs="Arial"/>
          <w:i/>
        </w:rPr>
        <w:t xml:space="preserve">PPL EnergyPlus, LLC v. Nazarian, </w:t>
      </w:r>
      <w:r w:rsidRPr="00D2420C">
        <w:rPr>
          <w:rFonts w:cs="Arial"/>
        </w:rPr>
        <w:t xml:space="preserve">974 F. Supp.2d </w:t>
      </w:r>
      <w:r>
        <w:rPr>
          <w:rFonts w:cs="Arial"/>
        </w:rPr>
        <w:t>at 822</w:t>
      </w:r>
      <w:r w:rsidRPr="00D2420C">
        <w:rPr>
          <w:rFonts w:cs="Arial"/>
        </w:rPr>
        <w:t xml:space="preserve">; </w:t>
      </w:r>
      <w:r w:rsidRPr="00D2420C">
        <w:rPr>
          <w:rFonts w:cs="Arial"/>
          <w:i/>
        </w:rPr>
        <w:t>PPL EnergyPlus, LLC v. Solomon</w:t>
      </w:r>
      <w:r w:rsidRPr="00280BA0">
        <w:rPr>
          <w:rFonts w:cs="Arial"/>
        </w:rPr>
        <w:t xml:space="preserve">, 766 F.3d </w:t>
      </w:r>
      <w:r>
        <w:rPr>
          <w:rFonts w:cs="Arial"/>
        </w:rPr>
        <w:t>at</w:t>
      </w:r>
      <w:r w:rsidRPr="00280BA0">
        <w:rPr>
          <w:rFonts w:cs="Arial"/>
        </w:rPr>
        <w:t xml:space="preserve"> 246.</w:t>
      </w:r>
    </w:p>
  </w:footnote>
  <w:footnote w:id="67">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PPL EnergyPlus, LLC v. Hanna</w:t>
      </w:r>
      <w:r w:rsidRPr="00984538">
        <w:rPr>
          <w:rFonts w:cs="Arial"/>
        </w:rPr>
        <w:t>, 977 F. Supp.2d at 410.</w:t>
      </w:r>
    </w:p>
  </w:footnote>
  <w:footnote w:id="68">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Rule 4901:1-35-03(C)(6), Ohio Administrative Code (“OAC”).  After an EDU files an application for a standard service offer, the Commission must set the application for hearing, and ”[a]t such hearing, the burden of proof to show that the proposals in the application are just and reasonable and are consistent with the policy of the state as delineated in divisions (A) to (N) of section 4928.02 of the Revised Code shall be upon the electric utility.”  Rule 4901:1-35-06, OAC.</w:t>
      </w:r>
    </w:p>
  </w:footnote>
  <w:footnote w:id="69">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Duke Ex. 1 at 19.</w:t>
      </w:r>
    </w:p>
  </w:footnote>
  <w:footnote w:id="70">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D</w:t>
      </w:r>
      <w:r>
        <w:rPr>
          <w:rFonts w:cs="Arial"/>
        </w:rPr>
        <w:t>uke Ex. 6 at 31</w:t>
      </w:r>
      <w:r w:rsidRPr="00984538">
        <w:rPr>
          <w:rFonts w:cs="Arial"/>
        </w:rPr>
        <w:t>.</w:t>
      </w:r>
    </w:p>
  </w:footnote>
  <w:footnote w:id="71">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Duke Initial Brief at 40.</w:t>
      </w:r>
    </w:p>
  </w:footnote>
  <w:footnote w:id="72">
    <w:p w:rsidR="000C2DDE" w:rsidRPr="00AC4529" w:rsidRDefault="000C2DDE">
      <w:pPr>
        <w:pStyle w:val="FootnoteText"/>
        <w:jc w:val="both"/>
        <w:rPr>
          <w:rFonts w:cs="Arial"/>
        </w:rPr>
      </w:pPr>
      <w:r w:rsidRPr="00984538">
        <w:rPr>
          <w:rStyle w:val="FootnoteReference"/>
          <w:rFonts w:cs="Arial"/>
        </w:rPr>
        <w:footnoteRef/>
      </w:r>
      <w:r w:rsidRPr="00984538">
        <w:rPr>
          <w:rFonts w:cs="Arial"/>
        </w:rPr>
        <w:t xml:space="preserve"> </w:t>
      </w:r>
      <w:r w:rsidRPr="00280BA0">
        <w:rPr>
          <w:rFonts w:cs="Arial"/>
          <w:i/>
        </w:rPr>
        <w:t xml:space="preserve">In the Matter of Application of Duke Energy Ohio, Inc. for Approval of a Market Rate Offer to Conduct a Competitive Bidding Process for a </w:t>
      </w:r>
      <w:r w:rsidRPr="005C7A9A">
        <w:rPr>
          <w:rFonts w:cs="Arial"/>
          <w:i/>
        </w:rPr>
        <w:t>Standard Service Offer Electric Generation Supply, Accounting Modifications, and Tariffs for Generation Service</w:t>
      </w:r>
      <w:r w:rsidRPr="00AC4529">
        <w:rPr>
          <w:rFonts w:cs="Arial"/>
        </w:rPr>
        <w:t>, Case No. 10-2586-EL-SSO, Opinion and Order at 26 (Feb. 23, 2011).</w:t>
      </w:r>
    </w:p>
  </w:footnote>
  <w:footnote w:id="73">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OEG Initial Brief at 14-15</w:t>
      </w:r>
    </w:p>
  </w:footnote>
  <w:footnote w:id="74">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Id.</w:t>
      </w:r>
      <w:r w:rsidRPr="00984538">
        <w:rPr>
          <w:rFonts w:cs="Arial"/>
        </w:rPr>
        <w:t xml:space="preserve"> at 5.</w:t>
      </w:r>
    </w:p>
  </w:footnote>
  <w:footnote w:id="75">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Duke Ex. 6 at 12.</w:t>
      </w:r>
    </w:p>
  </w:footnote>
  <w:footnote w:id="76">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OEG Initial Brief at 6-8.</w:t>
      </w:r>
    </w:p>
  </w:footnote>
  <w:footnote w:id="77">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Id.</w:t>
      </w:r>
      <w:r w:rsidRPr="00984538">
        <w:rPr>
          <w:rFonts w:cs="Arial"/>
        </w:rPr>
        <w:t xml:space="preserve"> at 7.</w:t>
      </w:r>
    </w:p>
  </w:footnote>
  <w:footnote w:id="78">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See discussion above.</w:t>
      </w:r>
    </w:p>
  </w:footnote>
  <w:footnote w:id="79">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OEG Initial Brief at 2-4.</w:t>
      </w:r>
    </w:p>
  </w:footnote>
  <w:footnote w:id="80">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Id.</w:t>
      </w:r>
      <w:r w:rsidRPr="00984538">
        <w:rPr>
          <w:rFonts w:cs="Arial"/>
        </w:rPr>
        <w:t xml:space="preserve"> at 10-13.</w:t>
      </w:r>
    </w:p>
  </w:footnote>
  <w:footnote w:id="81">
    <w:p w:rsidR="000C2DDE" w:rsidRPr="00984538" w:rsidRDefault="000C2DDE" w:rsidP="00AC4529">
      <w:pPr>
        <w:pStyle w:val="FootnoteText"/>
        <w:jc w:val="both"/>
        <w:rPr>
          <w:rFonts w:cs="Arial"/>
        </w:rPr>
      </w:pPr>
      <w:r w:rsidRPr="00984538">
        <w:rPr>
          <w:rStyle w:val="FootnoteReference"/>
          <w:rFonts w:cs="Arial"/>
        </w:rPr>
        <w:footnoteRef/>
      </w:r>
      <w:r w:rsidRPr="00984538">
        <w:rPr>
          <w:rFonts w:cs="Arial"/>
        </w:rPr>
        <w:t xml:space="preserve"> R.C. 4905.02, R.C. 4905.03, &amp; R.C. 4928.01.</w:t>
      </w:r>
    </w:p>
  </w:footnote>
  <w:footnote w:id="82">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Staff Ex. 1 at 14-15; IGS Ex. 12 at 9.</w:t>
      </w:r>
    </w:p>
  </w:footnote>
  <w:footnote w:id="83">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OEG Initial Brief</w:t>
      </w:r>
      <w:r w:rsidRPr="00984538">
        <w:rPr>
          <w:rFonts w:cs="Arial"/>
          <w:i/>
        </w:rPr>
        <w:t xml:space="preserve"> </w:t>
      </w:r>
      <w:r w:rsidRPr="00984538">
        <w:rPr>
          <w:rFonts w:cs="Arial"/>
        </w:rPr>
        <w:t>at 9.</w:t>
      </w:r>
    </w:p>
  </w:footnote>
  <w:footnote w:id="84">
    <w:p w:rsidR="000C2DDE" w:rsidRPr="005C7A9A" w:rsidRDefault="000C2DDE" w:rsidP="00AC4529">
      <w:pPr>
        <w:pStyle w:val="FootnoteText"/>
        <w:jc w:val="both"/>
        <w:rPr>
          <w:rFonts w:cs="Arial"/>
        </w:rPr>
      </w:pPr>
      <w:r w:rsidRPr="00984538">
        <w:rPr>
          <w:rStyle w:val="FootnoteReference"/>
          <w:rFonts w:cs="Arial"/>
        </w:rPr>
        <w:footnoteRef/>
      </w:r>
      <w:r w:rsidRPr="00984538">
        <w:rPr>
          <w:rFonts w:cs="Arial"/>
        </w:rPr>
        <w:t xml:space="preserve"> OEG Ex. 1, </w:t>
      </w:r>
      <w:r w:rsidRPr="00280BA0">
        <w:rPr>
          <w:rFonts w:cs="Arial"/>
          <w:i/>
        </w:rPr>
        <w:t>passim</w:t>
      </w:r>
      <w:r w:rsidRPr="005C7A9A">
        <w:rPr>
          <w:rFonts w:cs="Arial"/>
        </w:rPr>
        <w:t>.</w:t>
      </w:r>
    </w:p>
  </w:footnote>
  <w:footnote w:id="85">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OEG Initial Brief at 15.</w:t>
      </w:r>
    </w:p>
  </w:footnote>
  <w:footnote w:id="86">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R.C. 4928.143(C)(1).</w:t>
      </w:r>
    </w:p>
  </w:footnote>
  <w:footnote w:id="87">
    <w:p w:rsidR="000C2DDE" w:rsidRPr="00984538" w:rsidRDefault="000C2DDE">
      <w:pPr>
        <w:pStyle w:val="FootnoteText"/>
        <w:jc w:val="both"/>
        <w:rPr>
          <w:rFonts w:cs="Arial"/>
          <w:i/>
        </w:rPr>
      </w:pPr>
      <w:r w:rsidRPr="00984538">
        <w:rPr>
          <w:rStyle w:val="FootnoteReference"/>
          <w:rFonts w:cs="Arial"/>
        </w:rPr>
        <w:footnoteRef/>
      </w:r>
      <w:r w:rsidRPr="00984538">
        <w:rPr>
          <w:rFonts w:cs="Arial"/>
        </w:rPr>
        <w:t xml:space="preserve"> IEU-Ohio Initial Brief at 35-36 (</w:t>
      </w:r>
      <w:r w:rsidRPr="00984538">
        <w:rPr>
          <w:rFonts w:cs="Arial"/>
          <w:i/>
        </w:rPr>
        <w:t xml:space="preserve">citing </w:t>
      </w:r>
      <w:r w:rsidRPr="00984538">
        <w:rPr>
          <w:rFonts w:cs="Arial"/>
          <w:i/>
          <w:iCs/>
        </w:rPr>
        <w:t>Consumers' Counsel v. Pub. Util. Comm’n of Ohio</w:t>
      </w:r>
      <w:r w:rsidRPr="00984538">
        <w:rPr>
          <w:rFonts w:cs="Arial"/>
        </w:rPr>
        <w:t>, 61 Ohio St.3d 396, 406 (1991)).</w:t>
      </w:r>
    </w:p>
  </w:footnote>
  <w:footnote w:id="88">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IEU-Ohio Initial Brief at 33-34.  As discussed below, OCC witness Wilson demonstrated that Duke’s OVEC analysis, which produced the $22 million figure, likely understates the cost that would ultimately flow to customers </w:t>
      </w:r>
      <w:r>
        <w:rPr>
          <w:rFonts w:cs="Arial"/>
        </w:rPr>
        <w:t>because the $22 million was based on</w:t>
      </w:r>
      <w:r w:rsidRPr="00984538">
        <w:rPr>
          <w:rFonts w:cs="Arial"/>
        </w:rPr>
        <w:t xml:space="preserve"> the flawed assumptions and modeling.  OCC Initial Brief at 28-42.</w:t>
      </w:r>
    </w:p>
  </w:footnote>
  <w:footnote w:id="89">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IEU-Ohio Initial Brief at 34-40.</w:t>
      </w:r>
    </w:p>
  </w:footnote>
  <w:footnote w:id="90">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Duke Initial Brief at 27.</w:t>
      </w:r>
    </w:p>
  </w:footnote>
  <w:footnote w:id="91">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Id</w:t>
      </w:r>
      <w:r w:rsidRPr="00984538">
        <w:rPr>
          <w:rFonts w:cs="Arial"/>
        </w:rPr>
        <w:t>. at 27-32.</w:t>
      </w:r>
    </w:p>
  </w:footnote>
  <w:footnote w:id="92">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Id</w:t>
      </w:r>
      <w:r w:rsidRPr="00984538">
        <w:rPr>
          <w:rFonts w:cs="Arial"/>
        </w:rPr>
        <w:t>. at 27.</w:t>
      </w:r>
    </w:p>
  </w:footnote>
  <w:footnote w:id="93">
    <w:p w:rsidR="000C2DDE" w:rsidRPr="00984538" w:rsidRDefault="000C2DDE">
      <w:pPr>
        <w:pStyle w:val="FootnoteText"/>
        <w:jc w:val="both"/>
        <w:rPr>
          <w:rFonts w:cs="Arial"/>
          <w:i/>
        </w:rPr>
      </w:pPr>
      <w:r w:rsidRPr="00984538">
        <w:rPr>
          <w:rStyle w:val="FootnoteReference"/>
          <w:rFonts w:cs="Arial"/>
        </w:rPr>
        <w:footnoteRef/>
      </w:r>
      <w:r w:rsidRPr="00984538">
        <w:rPr>
          <w:rFonts w:cs="Arial"/>
        </w:rPr>
        <w:t xml:space="preserve"> </w:t>
      </w:r>
      <w:r w:rsidRPr="00984538">
        <w:rPr>
          <w:rFonts w:cs="Arial"/>
          <w:i/>
        </w:rPr>
        <w:t>Id.</w:t>
      </w:r>
    </w:p>
  </w:footnote>
  <w:footnote w:id="94">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OEG Ex. 1.</w:t>
      </w:r>
    </w:p>
  </w:footnote>
  <w:footnote w:id="95">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R.C. 4928.142.</w:t>
      </w:r>
    </w:p>
  </w:footnote>
  <w:footnote w:id="96">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Duke Initial Brief at 28-32.</w:t>
      </w:r>
    </w:p>
  </w:footnote>
  <w:footnote w:id="97">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Id</w:t>
      </w:r>
      <w:r w:rsidRPr="00984538">
        <w:rPr>
          <w:rFonts w:cs="Arial"/>
        </w:rPr>
        <w:t>.</w:t>
      </w:r>
    </w:p>
  </w:footnote>
  <w:footnote w:id="98">
    <w:p w:rsidR="000C2DDE" w:rsidRPr="00984538" w:rsidRDefault="000C2DDE" w:rsidP="00E07391">
      <w:pPr>
        <w:pStyle w:val="FootnoteText"/>
        <w:jc w:val="both"/>
        <w:rPr>
          <w:rFonts w:cs="Arial"/>
        </w:rPr>
      </w:pPr>
      <w:r w:rsidRPr="00984538">
        <w:rPr>
          <w:rStyle w:val="FootnoteReference"/>
          <w:rFonts w:cs="Arial"/>
        </w:rPr>
        <w:footnoteRef/>
      </w:r>
      <w:r w:rsidRPr="00984538">
        <w:rPr>
          <w:rFonts w:cs="Arial"/>
        </w:rPr>
        <w:t xml:space="preserve"> IEU-Ohio Initial Brief at 35-36.</w:t>
      </w:r>
    </w:p>
  </w:footnote>
  <w:footnote w:id="99">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iCs/>
        </w:rPr>
        <w:t>Consumers' Counsel v. Pub. Util. Comm’n of Ohio</w:t>
      </w:r>
      <w:r w:rsidRPr="00984538">
        <w:rPr>
          <w:rFonts w:cs="Arial"/>
        </w:rPr>
        <w:t>, 61 Ohio St.3d 396, 406 (1991) (</w:t>
      </w:r>
      <w:r w:rsidRPr="00984538">
        <w:rPr>
          <w:rFonts w:cs="Arial"/>
          <w:i/>
          <w:iCs/>
        </w:rPr>
        <w:t>quoting Columbus v. Pub. Util. Comm’n of Ohio</w:t>
      </w:r>
      <w:r w:rsidRPr="00984538">
        <w:rPr>
          <w:rFonts w:cs="Arial"/>
        </w:rPr>
        <w:t>, 58 Ohio St.2d 103, 104 (1979) (Brown, J., dissenting)).</w:t>
      </w:r>
    </w:p>
  </w:footnote>
  <w:footnote w:id="100">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w:t>
      </w:r>
      <w:r w:rsidRPr="005F4542">
        <w:rPr>
          <w:rFonts w:cs="Arial"/>
        </w:rPr>
        <w:t xml:space="preserve">IEU-Ohio Initial Brief </w:t>
      </w:r>
      <w:r w:rsidRPr="00984538">
        <w:rPr>
          <w:rFonts w:cs="Arial"/>
        </w:rPr>
        <w:t>at 36-37.</w:t>
      </w:r>
    </w:p>
  </w:footnote>
  <w:footnote w:id="101">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Id</w:t>
      </w:r>
      <w:r w:rsidRPr="00984538">
        <w:rPr>
          <w:rFonts w:cs="Arial"/>
        </w:rPr>
        <w:t>. at 38.</w:t>
      </w:r>
    </w:p>
  </w:footnote>
  <w:footnote w:id="102">
    <w:p w:rsidR="000C2DDE" w:rsidRPr="005C7A9A" w:rsidRDefault="000C2DDE" w:rsidP="00AC4529">
      <w:pPr>
        <w:pStyle w:val="FootnoteText"/>
        <w:jc w:val="both"/>
        <w:rPr>
          <w:rFonts w:cs="Arial"/>
        </w:rPr>
      </w:pPr>
      <w:r w:rsidRPr="00984538">
        <w:rPr>
          <w:rStyle w:val="FootnoteReference"/>
          <w:rFonts w:cs="Arial"/>
        </w:rPr>
        <w:footnoteRef/>
      </w:r>
      <w:r w:rsidRPr="00984538">
        <w:rPr>
          <w:rFonts w:cs="Arial"/>
        </w:rPr>
        <w:t xml:space="preserve"> OCC Ex. </w:t>
      </w:r>
      <w:r w:rsidRPr="00280BA0">
        <w:rPr>
          <w:rFonts w:cs="Arial"/>
        </w:rPr>
        <w:t>48 at 12.</w:t>
      </w:r>
    </w:p>
  </w:footnote>
  <w:footnote w:id="103">
    <w:p w:rsidR="000C2DDE" w:rsidRPr="00984538" w:rsidRDefault="000C2DDE" w:rsidP="00984538">
      <w:pPr>
        <w:pStyle w:val="FootnoteText"/>
        <w:jc w:val="both"/>
        <w:rPr>
          <w:rFonts w:cs="Arial"/>
        </w:rPr>
      </w:pPr>
      <w:r w:rsidRPr="00984538">
        <w:rPr>
          <w:rStyle w:val="FootnoteReference"/>
          <w:rFonts w:cs="Arial"/>
        </w:rPr>
        <w:footnoteRef/>
      </w:r>
      <w:r w:rsidRPr="00984538">
        <w:rPr>
          <w:rFonts w:cs="Arial"/>
        </w:rPr>
        <w:t xml:space="preserve"> OCC Ex. 43 at 7 &amp; 17.</w:t>
      </w:r>
    </w:p>
  </w:footnote>
  <w:footnote w:id="104">
    <w:p w:rsidR="000C2DDE" w:rsidRPr="00984538" w:rsidRDefault="000C2DDE">
      <w:pPr>
        <w:pStyle w:val="FootnoteText"/>
        <w:jc w:val="both"/>
        <w:rPr>
          <w:rFonts w:cs="Arial"/>
        </w:rPr>
      </w:pPr>
      <w:r w:rsidRPr="00984538">
        <w:rPr>
          <w:rStyle w:val="FootnoteReference"/>
          <w:rFonts w:cs="Arial"/>
        </w:rPr>
        <w:footnoteRef/>
      </w:r>
      <w:r w:rsidRPr="00984538">
        <w:rPr>
          <w:rFonts w:cs="Arial"/>
        </w:rPr>
        <w:t xml:space="preserve"> </w:t>
      </w:r>
      <w:r w:rsidRPr="00984538">
        <w:rPr>
          <w:rFonts w:cs="Arial"/>
          <w:i/>
        </w:rPr>
        <w:t>Id</w:t>
      </w:r>
      <w:r w:rsidRPr="00984538">
        <w:rPr>
          <w:rFonts w:cs="Arial"/>
        </w:rPr>
        <w:t xml:space="preserve">. at 24 (Duke’s OVEC analysis is “an unreliable estimate of the potential future net costs to customers of the OVEC entitlement through the proposed PSR, due to the uncertain and speculative nature of the assumptions used in the analysis, and also apparent shortcomings or simplifications that were adopted in performing the analysis”); </w:t>
      </w:r>
      <w:r w:rsidRPr="00984538">
        <w:rPr>
          <w:rFonts w:cs="Arial"/>
          <w:i/>
        </w:rPr>
        <w:t xml:space="preserve">see, also, </w:t>
      </w:r>
      <w:r w:rsidRPr="00984538">
        <w:rPr>
          <w:rFonts w:cs="Arial"/>
        </w:rPr>
        <w:t>OCC Initial Brief at 28-43.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38" w:rsidRDefault="00AA1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38" w:rsidRDefault="00AA1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38" w:rsidRDefault="00AA11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DE" w:rsidRDefault="000C2D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DE" w:rsidRDefault="000C2D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DE" w:rsidRDefault="000C2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612E"/>
    <w:multiLevelType w:val="multilevel"/>
    <w:tmpl w:val="5A746A60"/>
    <w:name w:val="Ind. Energy Users Group"/>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
    <w:nsid w:val="67B71568"/>
    <w:multiLevelType w:val="multilevel"/>
    <w:tmpl w:val="A508D10C"/>
    <w:lvl w:ilvl="0">
      <w:start w:val="1"/>
      <w:numFmt w:val="upperRoman"/>
      <w:lvlText w:val="%1."/>
      <w:lvlJc w:val="left"/>
      <w:pPr>
        <w:tabs>
          <w:tab w:val="num" w:pos="720"/>
        </w:tabs>
        <w:ind w:left="720" w:hanging="720"/>
      </w:pPr>
      <w:rPr>
        <w:b/>
        <w:caps w:val="0"/>
        <w:vanish w:val="0"/>
        <w:color w:val="010000"/>
        <w:u w:val="none"/>
      </w:rPr>
    </w:lvl>
    <w:lvl w:ilvl="1">
      <w:start w:val="1"/>
      <w:numFmt w:val="upperLetter"/>
      <w:lvlText w:val="%2."/>
      <w:lvlJc w:val="left"/>
      <w:pPr>
        <w:tabs>
          <w:tab w:val="num" w:pos="1440"/>
        </w:tabs>
        <w:ind w:left="1440" w:hanging="720"/>
      </w:pPr>
      <w:rPr>
        <w:b/>
        <w:caps w:val="0"/>
        <w:vanish w:val="0"/>
        <w:color w:val="010000"/>
        <w:u w:val="none"/>
      </w:rPr>
    </w:lvl>
    <w:lvl w:ilvl="2">
      <w:start w:val="1"/>
      <w:numFmt w:val="decimal"/>
      <w:lvlText w:val="%3."/>
      <w:lvlJc w:val="left"/>
      <w:pPr>
        <w:tabs>
          <w:tab w:val="num" w:pos="2160"/>
        </w:tabs>
        <w:ind w:left="2160" w:hanging="720"/>
      </w:pPr>
      <w:rPr>
        <w:b/>
        <w:i w:val="0"/>
        <w:caps w:val="0"/>
        <w:vanish w:val="0"/>
        <w:color w:val="010000"/>
        <w:u w:val="none"/>
      </w:rPr>
    </w:lvl>
    <w:lvl w:ilvl="3">
      <w:start w:val="1"/>
      <w:numFmt w:val="lowerLetter"/>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color w:val="010000"/>
        <w:u w:val="none"/>
      </w:rPr>
    </w:lvl>
    <w:lvl w:ilvl="5">
      <w:start w:val="1"/>
      <w:numFmt w:val="lowerLetter"/>
      <w:lvlText w:val="(%6)"/>
      <w:lvlJc w:val="left"/>
      <w:pPr>
        <w:tabs>
          <w:tab w:val="num" w:pos="4320"/>
        </w:tabs>
        <w:ind w:left="4320" w:hanging="720"/>
      </w:pPr>
      <w:rPr>
        <w:caps w:val="0"/>
        <w:vanish w:val="0"/>
        <w:color w:val="010000"/>
        <w:u w:val="none"/>
      </w:rPr>
    </w:lvl>
    <w:lvl w:ilvl="6">
      <w:start w:val="1"/>
      <w:numFmt w:val="decimal"/>
      <w:lvlText w:val="(%7)"/>
      <w:lvlJc w:val="left"/>
      <w:pPr>
        <w:tabs>
          <w:tab w:val="num" w:pos="5040"/>
        </w:tabs>
        <w:ind w:left="5040" w:hanging="720"/>
      </w:pPr>
      <w:rPr>
        <w:caps w:val="0"/>
        <w:vanish w:val="0"/>
        <w:color w:val="010000"/>
        <w:u w:val="none"/>
      </w:rPr>
    </w:lvl>
    <w:lvl w:ilvl="7">
      <w:start w:val="1"/>
      <w:numFmt w:val="lowerRoman"/>
      <w:lvlText w:val="%8)"/>
      <w:lvlJc w:val="left"/>
      <w:pPr>
        <w:tabs>
          <w:tab w:val="num" w:pos="5760"/>
        </w:tabs>
        <w:ind w:left="5760" w:hanging="720"/>
      </w:pPr>
      <w:rPr>
        <w:caps w:val="0"/>
        <w:vanish w:val="0"/>
        <w:color w:val="010000"/>
        <w:u w:val="none"/>
      </w:rPr>
    </w:lvl>
    <w:lvl w:ilvl="8">
      <w:start w:val="1"/>
      <w:numFmt w:val="lowerLetter"/>
      <w:lvlText w:val="%9)"/>
      <w:lvlJc w:val="left"/>
      <w:pPr>
        <w:tabs>
          <w:tab w:val="num" w:pos="6480"/>
        </w:tabs>
        <w:ind w:left="6480" w:hanging="720"/>
      </w:pPr>
      <w:rPr>
        <w:caps w:val="0"/>
        <w:vanish w:val="0"/>
        <w:color w:val="01000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dgnword-docGUID" w:val="{01677423-68A8-4762-A6BC-D5913EEE59F2}"/>
    <w:docVar w:name="dgnword-eventsink" w:val="233348104"/>
    <w:docVar w:name="ExcludeDirectFormattingInTOC" w:val="False"/>
    <w:docVar w:name="HyperlinkTOC" w:val="False"/>
    <w:docVar w:name="IncludeTOCAndPageHeadings" w:val="True"/>
    <w:docVar w:name="LastSchemeChoice" w:val="Ind. Energy Users Group"/>
    <w:docVar w:name="LastSchemeUniqueID" w:val="1"/>
    <w:docVar w:name="NoNumberLevel1TOC" w:val="False"/>
    <w:docVar w:name="Option0True" w:val="False"/>
    <w:docVar w:name="Option1True" w:val="False"/>
    <w:docVar w:name="Option2True" w:val="False"/>
    <w:docVar w:name="TOCFormatConst" w:val="0"/>
    <w:docVar w:name="TOCFormatPreference" w:val="Leave TOC styles 'as is' in current document (default)"/>
    <w:docVar w:name="TOCHeadingAllCaps" w:val="Tru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False"/>
    <w:docVar w:name="UnderlineTOCLevel1" w:val="False"/>
    <w:docVar w:name="UpperLevelTOC" w:val="3"/>
  </w:docVars>
  <w:rsids>
    <w:rsidRoot w:val="002B08A8"/>
    <w:rsid w:val="000249AE"/>
    <w:rsid w:val="000337B5"/>
    <w:rsid w:val="00040B24"/>
    <w:rsid w:val="00040DE3"/>
    <w:rsid w:val="000510DD"/>
    <w:rsid w:val="0007187C"/>
    <w:rsid w:val="000C2DDE"/>
    <w:rsid w:val="000F013D"/>
    <w:rsid w:val="001038D1"/>
    <w:rsid w:val="00113BA8"/>
    <w:rsid w:val="00121E17"/>
    <w:rsid w:val="001235FC"/>
    <w:rsid w:val="00135C29"/>
    <w:rsid w:val="001805E3"/>
    <w:rsid w:val="00195613"/>
    <w:rsid w:val="00196C46"/>
    <w:rsid w:val="001B5681"/>
    <w:rsid w:val="001C139E"/>
    <w:rsid w:val="001D381D"/>
    <w:rsid w:val="001E1456"/>
    <w:rsid w:val="001E7D93"/>
    <w:rsid w:val="001F4E8E"/>
    <w:rsid w:val="0020278B"/>
    <w:rsid w:val="00217036"/>
    <w:rsid w:val="002247C9"/>
    <w:rsid w:val="00233176"/>
    <w:rsid w:val="0027059E"/>
    <w:rsid w:val="00280BA0"/>
    <w:rsid w:val="00280C02"/>
    <w:rsid w:val="002B08A8"/>
    <w:rsid w:val="002B232B"/>
    <w:rsid w:val="002B30F0"/>
    <w:rsid w:val="002C019E"/>
    <w:rsid w:val="002C094E"/>
    <w:rsid w:val="002F2AF5"/>
    <w:rsid w:val="00301FC7"/>
    <w:rsid w:val="00323796"/>
    <w:rsid w:val="00324FCB"/>
    <w:rsid w:val="00325F0B"/>
    <w:rsid w:val="00337115"/>
    <w:rsid w:val="00370BE7"/>
    <w:rsid w:val="00373ACF"/>
    <w:rsid w:val="00390BC3"/>
    <w:rsid w:val="003A45A7"/>
    <w:rsid w:val="003B0077"/>
    <w:rsid w:val="00405361"/>
    <w:rsid w:val="00405AB9"/>
    <w:rsid w:val="0047507A"/>
    <w:rsid w:val="00484485"/>
    <w:rsid w:val="00484A75"/>
    <w:rsid w:val="004A0C27"/>
    <w:rsid w:val="004D6D9F"/>
    <w:rsid w:val="004F6061"/>
    <w:rsid w:val="004F76E9"/>
    <w:rsid w:val="005011F8"/>
    <w:rsid w:val="005072CB"/>
    <w:rsid w:val="005170C3"/>
    <w:rsid w:val="00555B0B"/>
    <w:rsid w:val="00562A99"/>
    <w:rsid w:val="00577898"/>
    <w:rsid w:val="005A0A1B"/>
    <w:rsid w:val="005C39BD"/>
    <w:rsid w:val="005C5797"/>
    <w:rsid w:val="005C6766"/>
    <w:rsid w:val="005C7303"/>
    <w:rsid w:val="005C7A9A"/>
    <w:rsid w:val="005D3939"/>
    <w:rsid w:val="005D71B8"/>
    <w:rsid w:val="005E344D"/>
    <w:rsid w:val="005F4542"/>
    <w:rsid w:val="005F5A57"/>
    <w:rsid w:val="006360F7"/>
    <w:rsid w:val="0066273B"/>
    <w:rsid w:val="006740E8"/>
    <w:rsid w:val="006A3A9E"/>
    <w:rsid w:val="006B1697"/>
    <w:rsid w:val="006C001B"/>
    <w:rsid w:val="006C48FF"/>
    <w:rsid w:val="006D13F0"/>
    <w:rsid w:val="006F2C48"/>
    <w:rsid w:val="0070040A"/>
    <w:rsid w:val="0072537E"/>
    <w:rsid w:val="00751233"/>
    <w:rsid w:val="00762840"/>
    <w:rsid w:val="00774872"/>
    <w:rsid w:val="00781922"/>
    <w:rsid w:val="007B62F8"/>
    <w:rsid w:val="007C47F1"/>
    <w:rsid w:val="008060BC"/>
    <w:rsid w:val="00807EBD"/>
    <w:rsid w:val="00810258"/>
    <w:rsid w:val="0081415E"/>
    <w:rsid w:val="00830DF6"/>
    <w:rsid w:val="00851FB8"/>
    <w:rsid w:val="00866D5B"/>
    <w:rsid w:val="008A140B"/>
    <w:rsid w:val="008A54A8"/>
    <w:rsid w:val="008C6DF9"/>
    <w:rsid w:val="008D48AB"/>
    <w:rsid w:val="008E3BF4"/>
    <w:rsid w:val="008F621E"/>
    <w:rsid w:val="008F736B"/>
    <w:rsid w:val="00904840"/>
    <w:rsid w:val="00954813"/>
    <w:rsid w:val="00957979"/>
    <w:rsid w:val="00974187"/>
    <w:rsid w:val="00984538"/>
    <w:rsid w:val="009A120E"/>
    <w:rsid w:val="009C2E0B"/>
    <w:rsid w:val="009D6370"/>
    <w:rsid w:val="009E00EE"/>
    <w:rsid w:val="009F442E"/>
    <w:rsid w:val="009F5D6F"/>
    <w:rsid w:val="00A4332F"/>
    <w:rsid w:val="00A83296"/>
    <w:rsid w:val="00AA1138"/>
    <w:rsid w:val="00AA7C2B"/>
    <w:rsid w:val="00AC4529"/>
    <w:rsid w:val="00AD2FA2"/>
    <w:rsid w:val="00AE0EA0"/>
    <w:rsid w:val="00AE5BBE"/>
    <w:rsid w:val="00B0022A"/>
    <w:rsid w:val="00B1065F"/>
    <w:rsid w:val="00B1435C"/>
    <w:rsid w:val="00B206B6"/>
    <w:rsid w:val="00B41DC2"/>
    <w:rsid w:val="00B438F2"/>
    <w:rsid w:val="00B46133"/>
    <w:rsid w:val="00B52F5C"/>
    <w:rsid w:val="00B627BB"/>
    <w:rsid w:val="00B65958"/>
    <w:rsid w:val="00B71A1B"/>
    <w:rsid w:val="00B7316B"/>
    <w:rsid w:val="00BA419D"/>
    <w:rsid w:val="00BC2A6F"/>
    <w:rsid w:val="00BC3EA6"/>
    <w:rsid w:val="00BD144E"/>
    <w:rsid w:val="00BE5B79"/>
    <w:rsid w:val="00BF7733"/>
    <w:rsid w:val="00C016FD"/>
    <w:rsid w:val="00C01DFF"/>
    <w:rsid w:val="00C0405A"/>
    <w:rsid w:val="00C169FA"/>
    <w:rsid w:val="00C16D40"/>
    <w:rsid w:val="00C47F44"/>
    <w:rsid w:val="00C5326C"/>
    <w:rsid w:val="00C776AA"/>
    <w:rsid w:val="00C9232C"/>
    <w:rsid w:val="00CC6BB8"/>
    <w:rsid w:val="00CD5244"/>
    <w:rsid w:val="00CE7571"/>
    <w:rsid w:val="00CF0266"/>
    <w:rsid w:val="00CF7269"/>
    <w:rsid w:val="00D01D6E"/>
    <w:rsid w:val="00D113B2"/>
    <w:rsid w:val="00D12A44"/>
    <w:rsid w:val="00D2420C"/>
    <w:rsid w:val="00D31DE7"/>
    <w:rsid w:val="00D403B6"/>
    <w:rsid w:val="00D87DA8"/>
    <w:rsid w:val="00DA553B"/>
    <w:rsid w:val="00DA68E1"/>
    <w:rsid w:val="00DC6EF6"/>
    <w:rsid w:val="00DE2E1B"/>
    <w:rsid w:val="00E07391"/>
    <w:rsid w:val="00E35A96"/>
    <w:rsid w:val="00E674BA"/>
    <w:rsid w:val="00EA5D54"/>
    <w:rsid w:val="00EB3566"/>
    <w:rsid w:val="00EB6AFF"/>
    <w:rsid w:val="00EC2C8A"/>
    <w:rsid w:val="00ED020B"/>
    <w:rsid w:val="00ED0F9F"/>
    <w:rsid w:val="00EE3468"/>
    <w:rsid w:val="00EF5F57"/>
    <w:rsid w:val="00F05865"/>
    <w:rsid w:val="00F10136"/>
    <w:rsid w:val="00F21DEB"/>
    <w:rsid w:val="00F41758"/>
    <w:rsid w:val="00F467A5"/>
    <w:rsid w:val="00F63FBA"/>
    <w:rsid w:val="00F66046"/>
    <w:rsid w:val="00FB7806"/>
    <w:rsid w:val="00FD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DE7"/>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D31DE7"/>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D31DE7"/>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unhideWhenUsed/>
    <w:qFormat/>
    <w:rsid w:val="00D31DE7"/>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D31DE7"/>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D31DE7"/>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D31DE7"/>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D31DE7"/>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D31DE7"/>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rsid w:val="002B08A8"/>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2B08A8"/>
    <w:rPr>
      <w:sz w:val="20"/>
      <w:szCs w:val="20"/>
    </w:r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unhideWhenUsed/>
    <w:rsid w:val="002B08A8"/>
    <w:rPr>
      <w:vertAlign w:val="superscript"/>
    </w:rPr>
  </w:style>
  <w:style w:type="paragraph" w:styleId="Header">
    <w:name w:val="header"/>
    <w:basedOn w:val="Normal"/>
    <w:link w:val="HeaderChar"/>
    <w:uiPriority w:val="99"/>
    <w:unhideWhenUsed/>
    <w:rsid w:val="005D71B8"/>
    <w:pPr>
      <w:tabs>
        <w:tab w:val="center" w:pos="4680"/>
        <w:tab w:val="right" w:pos="9360"/>
      </w:tabs>
    </w:pPr>
  </w:style>
  <w:style w:type="character" w:customStyle="1" w:styleId="HeaderChar">
    <w:name w:val="Header Char"/>
    <w:basedOn w:val="DefaultParagraphFont"/>
    <w:link w:val="Header"/>
    <w:uiPriority w:val="99"/>
    <w:rsid w:val="005D71B8"/>
  </w:style>
  <w:style w:type="paragraph" w:styleId="Footer">
    <w:name w:val="footer"/>
    <w:basedOn w:val="Normal"/>
    <w:link w:val="FooterChar"/>
    <w:uiPriority w:val="99"/>
    <w:unhideWhenUsed/>
    <w:rsid w:val="005D71B8"/>
    <w:pPr>
      <w:tabs>
        <w:tab w:val="center" w:pos="4680"/>
        <w:tab w:val="right" w:pos="9360"/>
      </w:tabs>
    </w:pPr>
  </w:style>
  <w:style w:type="character" w:customStyle="1" w:styleId="FooterChar">
    <w:name w:val="Footer Char"/>
    <w:basedOn w:val="DefaultParagraphFont"/>
    <w:link w:val="Footer"/>
    <w:uiPriority w:val="99"/>
    <w:rsid w:val="005D71B8"/>
  </w:style>
  <w:style w:type="character" w:customStyle="1" w:styleId="Heading1Char">
    <w:name w:val="Heading 1 Char"/>
    <w:basedOn w:val="DefaultParagraphFont"/>
    <w:link w:val="Heading1"/>
    <w:uiPriority w:val="9"/>
    <w:rsid w:val="00D31DE7"/>
    <w:rPr>
      <w:rFonts w:eastAsiaTheme="majorEastAsia" w:cs="Arial"/>
      <w:b/>
      <w:bCs/>
      <w:caps/>
      <w:szCs w:val="28"/>
      <w:u w:val="single"/>
    </w:rPr>
  </w:style>
  <w:style w:type="character" w:customStyle="1" w:styleId="Heading2Char">
    <w:name w:val="Heading 2 Char"/>
    <w:basedOn w:val="DefaultParagraphFont"/>
    <w:link w:val="Heading2"/>
    <w:uiPriority w:val="9"/>
    <w:rsid w:val="00D31DE7"/>
    <w:rPr>
      <w:rFonts w:eastAsiaTheme="majorEastAsia" w:cs="Arial"/>
      <w:b/>
      <w:bCs/>
      <w:szCs w:val="26"/>
    </w:rPr>
  </w:style>
  <w:style w:type="character" w:customStyle="1" w:styleId="Heading3Char">
    <w:name w:val="Heading 3 Char"/>
    <w:basedOn w:val="DefaultParagraphFont"/>
    <w:link w:val="Heading3"/>
    <w:uiPriority w:val="9"/>
    <w:rsid w:val="00D31DE7"/>
    <w:rPr>
      <w:rFonts w:eastAsiaTheme="majorEastAsia" w:cs="Arial"/>
      <w:b/>
      <w:bCs/>
    </w:rPr>
  </w:style>
  <w:style w:type="character" w:customStyle="1" w:styleId="Heading4Char">
    <w:name w:val="Heading 4 Char"/>
    <w:basedOn w:val="DefaultParagraphFont"/>
    <w:link w:val="Heading4"/>
    <w:uiPriority w:val="9"/>
    <w:semiHidden/>
    <w:rsid w:val="00D31DE7"/>
    <w:rPr>
      <w:rFonts w:eastAsiaTheme="majorEastAsia" w:cs="Arial"/>
      <w:b/>
      <w:bCs/>
      <w:i/>
      <w:iCs/>
    </w:rPr>
  </w:style>
  <w:style w:type="character" w:customStyle="1" w:styleId="Heading5Char">
    <w:name w:val="Heading 5 Char"/>
    <w:basedOn w:val="DefaultParagraphFont"/>
    <w:link w:val="Heading5"/>
    <w:uiPriority w:val="9"/>
    <w:semiHidden/>
    <w:rsid w:val="00D31DE7"/>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D31DE7"/>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D31DE7"/>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D31DE7"/>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D31DE7"/>
    <w:rPr>
      <w:rFonts w:asciiTheme="majorHAnsi" w:eastAsiaTheme="majorEastAsia" w:hAnsiTheme="majorHAnsi" w:cs="Arial"/>
      <w:iCs/>
      <w:color w:val="404040" w:themeColor="text1" w:themeTint="BF"/>
      <w:szCs w:val="20"/>
    </w:rPr>
  </w:style>
  <w:style w:type="character" w:styleId="Hyperlink">
    <w:name w:val="Hyperlink"/>
    <w:basedOn w:val="DefaultParagraphFont"/>
    <w:uiPriority w:val="99"/>
    <w:unhideWhenUsed/>
    <w:rsid w:val="00D12A44"/>
    <w:rPr>
      <w:color w:val="0000FF" w:themeColor="hyperlink"/>
      <w:u w:val="single"/>
    </w:rPr>
  </w:style>
  <w:style w:type="character" w:styleId="CommentReference">
    <w:name w:val="annotation reference"/>
    <w:basedOn w:val="DefaultParagraphFont"/>
    <w:uiPriority w:val="99"/>
    <w:semiHidden/>
    <w:unhideWhenUsed/>
    <w:rsid w:val="00113BA8"/>
    <w:rPr>
      <w:sz w:val="16"/>
      <w:szCs w:val="16"/>
    </w:rPr>
  </w:style>
  <w:style w:type="paragraph" w:styleId="CommentText">
    <w:name w:val="annotation text"/>
    <w:basedOn w:val="Normal"/>
    <w:link w:val="CommentTextChar"/>
    <w:uiPriority w:val="99"/>
    <w:semiHidden/>
    <w:unhideWhenUsed/>
    <w:rsid w:val="00113BA8"/>
    <w:rPr>
      <w:sz w:val="20"/>
      <w:szCs w:val="20"/>
    </w:rPr>
  </w:style>
  <w:style w:type="character" w:customStyle="1" w:styleId="CommentTextChar">
    <w:name w:val="Comment Text Char"/>
    <w:basedOn w:val="DefaultParagraphFont"/>
    <w:link w:val="CommentText"/>
    <w:uiPriority w:val="99"/>
    <w:semiHidden/>
    <w:rsid w:val="00113BA8"/>
    <w:rPr>
      <w:sz w:val="20"/>
      <w:szCs w:val="20"/>
    </w:rPr>
  </w:style>
  <w:style w:type="paragraph" w:styleId="CommentSubject">
    <w:name w:val="annotation subject"/>
    <w:basedOn w:val="CommentText"/>
    <w:next w:val="CommentText"/>
    <w:link w:val="CommentSubjectChar"/>
    <w:uiPriority w:val="99"/>
    <w:semiHidden/>
    <w:unhideWhenUsed/>
    <w:rsid w:val="00113BA8"/>
    <w:rPr>
      <w:b/>
      <w:bCs/>
    </w:rPr>
  </w:style>
  <w:style w:type="character" w:customStyle="1" w:styleId="CommentSubjectChar">
    <w:name w:val="Comment Subject Char"/>
    <w:basedOn w:val="CommentTextChar"/>
    <w:link w:val="CommentSubject"/>
    <w:uiPriority w:val="99"/>
    <w:semiHidden/>
    <w:rsid w:val="00113BA8"/>
    <w:rPr>
      <w:b/>
      <w:bCs/>
      <w:sz w:val="20"/>
      <w:szCs w:val="20"/>
    </w:rPr>
  </w:style>
  <w:style w:type="paragraph" w:styleId="BalloonText">
    <w:name w:val="Balloon Text"/>
    <w:basedOn w:val="Normal"/>
    <w:link w:val="BalloonTextChar"/>
    <w:uiPriority w:val="99"/>
    <w:semiHidden/>
    <w:unhideWhenUsed/>
    <w:rsid w:val="00113B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BA8"/>
    <w:rPr>
      <w:rFonts w:ascii="Tahoma" w:hAnsi="Tahoma" w:cs="Tahoma"/>
      <w:sz w:val="16"/>
      <w:szCs w:val="16"/>
    </w:rPr>
  </w:style>
  <w:style w:type="paragraph" w:styleId="TOCHeading">
    <w:name w:val="TOC Heading"/>
    <w:basedOn w:val="Normal"/>
    <w:next w:val="TOC1"/>
    <w:uiPriority w:val="39"/>
    <w:unhideWhenUsed/>
    <w:qFormat/>
    <w:rsid w:val="009C2E0B"/>
    <w:pPr>
      <w:keepNext/>
      <w:keepLines/>
      <w:spacing w:before="480" w:after="240"/>
      <w:jc w:val="center"/>
    </w:pPr>
    <w:rPr>
      <w:rFonts w:cs="Arial"/>
      <w:b/>
      <w:caps/>
      <w:color w:val="365F91" w:themeColor="accent1" w:themeShade="BF"/>
    </w:rPr>
  </w:style>
  <w:style w:type="paragraph" w:styleId="TOC1">
    <w:name w:val="toc 1"/>
    <w:basedOn w:val="Normal"/>
    <w:next w:val="Normal"/>
    <w:autoRedefine/>
    <w:uiPriority w:val="39"/>
    <w:unhideWhenUsed/>
    <w:rsid w:val="00AE5BBE"/>
    <w:pPr>
      <w:tabs>
        <w:tab w:val="left" w:pos="720"/>
        <w:tab w:val="right" w:leader="dot" w:pos="9350"/>
      </w:tabs>
      <w:spacing w:after="100"/>
    </w:pPr>
  </w:style>
  <w:style w:type="paragraph" w:styleId="TOC2">
    <w:name w:val="toc 2"/>
    <w:basedOn w:val="Normal"/>
    <w:next w:val="Normal"/>
    <w:autoRedefine/>
    <w:uiPriority w:val="39"/>
    <w:unhideWhenUsed/>
    <w:rsid w:val="00AA7C2B"/>
    <w:pPr>
      <w:tabs>
        <w:tab w:val="left" w:pos="1440"/>
        <w:tab w:val="right" w:leader="dot" w:pos="9360"/>
      </w:tabs>
      <w:spacing w:after="100"/>
      <w:ind w:left="720" w:right="720"/>
    </w:pPr>
  </w:style>
  <w:style w:type="paragraph" w:styleId="TOC3">
    <w:name w:val="toc 3"/>
    <w:basedOn w:val="Normal"/>
    <w:next w:val="Normal"/>
    <w:autoRedefine/>
    <w:uiPriority w:val="39"/>
    <w:unhideWhenUsed/>
    <w:rsid w:val="00AA7C2B"/>
    <w:pPr>
      <w:tabs>
        <w:tab w:val="left" w:pos="2160"/>
        <w:tab w:val="right" w:leader="dot" w:pos="9350"/>
      </w:tabs>
      <w:spacing w:after="100"/>
      <w:ind w:left="480" w:firstLine="960"/>
    </w:pPr>
  </w:style>
  <w:style w:type="paragraph" w:styleId="TOC4">
    <w:name w:val="toc 4"/>
    <w:basedOn w:val="Normal"/>
    <w:next w:val="Normal"/>
    <w:autoRedefine/>
    <w:uiPriority w:val="39"/>
    <w:semiHidden/>
    <w:unhideWhenUsed/>
    <w:rsid w:val="009C2E0B"/>
    <w:pPr>
      <w:spacing w:after="100"/>
      <w:ind w:left="720"/>
    </w:pPr>
  </w:style>
  <w:style w:type="paragraph" w:styleId="TOC5">
    <w:name w:val="toc 5"/>
    <w:basedOn w:val="Normal"/>
    <w:next w:val="Normal"/>
    <w:autoRedefine/>
    <w:uiPriority w:val="39"/>
    <w:semiHidden/>
    <w:unhideWhenUsed/>
    <w:rsid w:val="009C2E0B"/>
    <w:pPr>
      <w:spacing w:after="100"/>
      <w:ind w:left="960"/>
    </w:pPr>
  </w:style>
  <w:style w:type="paragraph" w:styleId="TOC6">
    <w:name w:val="toc 6"/>
    <w:basedOn w:val="Normal"/>
    <w:next w:val="Normal"/>
    <w:autoRedefine/>
    <w:uiPriority w:val="39"/>
    <w:semiHidden/>
    <w:unhideWhenUsed/>
    <w:rsid w:val="009C2E0B"/>
    <w:pPr>
      <w:spacing w:after="100"/>
      <w:ind w:left="1200"/>
    </w:pPr>
  </w:style>
  <w:style w:type="paragraph" w:styleId="TOC7">
    <w:name w:val="toc 7"/>
    <w:basedOn w:val="Normal"/>
    <w:next w:val="Normal"/>
    <w:autoRedefine/>
    <w:uiPriority w:val="39"/>
    <w:semiHidden/>
    <w:unhideWhenUsed/>
    <w:rsid w:val="009C2E0B"/>
    <w:pPr>
      <w:spacing w:after="100"/>
      <w:ind w:left="1440"/>
    </w:pPr>
  </w:style>
  <w:style w:type="paragraph" w:styleId="TOC8">
    <w:name w:val="toc 8"/>
    <w:basedOn w:val="Normal"/>
    <w:next w:val="Normal"/>
    <w:autoRedefine/>
    <w:uiPriority w:val="39"/>
    <w:semiHidden/>
    <w:unhideWhenUsed/>
    <w:rsid w:val="009C2E0B"/>
    <w:pPr>
      <w:spacing w:after="100"/>
      <w:ind w:left="1680"/>
    </w:pPr>
  </w:style>
  <w:style w:type="paragraph" w:styleId="TOC9">
    <w:name w:val="toc 9"/>
    <w:basedOn w:val="Normal"/>
    <w:next w:val="Normal"/>
    <w:autoRedefine/>
    <w:uiPriority w:val="39"/>
    <w:semiHidden/>
    <w:unhideWhenUsed/>
    <w:rsid w:val="009C2E0B"/>
    <w:pPr>
      <w:spacing w:after="100"/>
      <w:ind w:left="1920"/>
    </w:pPr>
  </w:style>
  <w:style w:type="paragraph" w:customStyle="1" w:styleId="TOCPage">
    <w:name w:val="TOC Page"/>
    <w:basedOn w:val="Normal"/>
    <w:rsid w:val="00AE5BBE"/>
    <w:pPr>
      <w:spacing w:after="240"/>
      <w:jc w:val="right"/>
    </w:pPr>
    <w:rPr>
      <w:rFonts w:eastAsia="Times New Roman" w:cs="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DE7"/>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D31DE7"/>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D31DE7"/>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unhideWhenUsed/>
    <w:qFormat/>
    <w:rsid w:val="00D31DE7"/>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D31DE7"/>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D31DE7"/>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D31DE7"/>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D31DE7"/>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D31DE7"/>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rsid w:val="002B08A8"/>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2B08A8"/>
    <w:rPr>
      <w:sz w:val="20"/>
      <w:szCs w:val="20"/>
    </w:r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unhideWhenUsed/>
    <w:rsid w:val="002B08A8"/>
    <w:rPr>
      <w:vertAlign w:val="superscript"/>
    </w:rPr>
  </w:style>
  <w:style w:type="paragraph" w:styleId="Header">
    <w:name w:val="header"/>
    <w:basedOn w:val="Normal"/>
    <w:link w:val="HeaderChar"/>
    <w:uiPriority w:val="99"/>
    <w:unhideWhenUsed/>
    <w:rsid w:val="005D71B8"/>
    <w:pPr>
      <w:tabs>
        <w:tab w:val="center" w:pos="4680"/>
        <w:tab w:val="right" w:pos="9360"/>
      </w:tabs>
    </w:pPr>
  </w:style>
  <w:style w:type="character" w:customStyle="1" w:styleId="HeaderChar">
    <w:name w:val="Header Char"/>
    <w:basedOn w:val="DefaultParagraphFont"/>
    <w:link w:val="Header"/>
    <w:uiPriority w:val="99"/>
    <w:rsid w:val="005D71B8"/>
  </w:style>
  <w:style w:type="paragraph" w:styleId="Footer">
    <w:name w:val="footer"/>
    <w:basedOn w:val="Normal"/>
    <w:link w:val="FooterChar"/>
    <w:uiPriority w:val="99"/>
    <w:unhideWhenUsed/>
    <w:rsid w:val="005D71B8"/>
    <w:pPr>
      <w:tabs>
        <w:tab w:val="center" w:pos="4680"/>
        <w:tab w:val="right" w:pos="9360"/>
      </w:tabs>
    </w:pPr>
  </w:style>
  <w:style w:type="character" w:customStyle="1" w:styleId="FooterChar">
    <w:name w:val="Footer Char"/>
    <w:basedOn w:val="DefaultParagraphFont"/>
    <w:link w:val="Footer"/>
    <w:uiPriority w:val="99"/>
    <w:rsid w:val="005D71B8"/>
  </w:style>
  <w:style w:type="character" w:customStyle="1" w:styleId="Heading1Char">
    <w:name w:val="Heading 1 Char"/>
    <w:basedOn w:val="DefaultParagraphFont"/>
    <w:link w:val="Heading1"/>
    <w:uiPriority w:val="9"/>
    <w:rsid w:val="00D31DE7"/>
    <w:rPr>
      <w:rFonts w:eastAsiaTheme="majorEastAsia" w:cs="Arial"/>
      <w:b/>
      <w:bCs/>
      <w:caps/>
      <w:szCs w:val="28"/>
      <w:u w:val="single"/>
    </w:rPr>
  </w:style>
  <w:style w:type="character" w:customStyle="1" w:styleId="Heading2Char">
    <w:name w:val="Heading 2 Char"/>
    <w:basedOn w:val="DefaultParagraphFont"/>
    <w:link w:val="Heading2"/>
    <w:uiPriority w:val="9"/>
    <w:rsid w:val="00D31DE7"/>
    <w:rPr>
      <w:rFonts w:eastAsiaTheme="majorEastAsia" w:cs="Arial"/>
      <w:b/>
      <w:bCs/>
      <w:szCs w:val="26"/>
    </w:rPr>
  </w:style>
  <w:style w:type="character" w:customStyle="1" w:styleId="Heading3Char">
    <w:name w:val="Heading 3 Char"/>
    <w:basedOn w:val="DefaultParagraphFont"/>
    <w:link w:val="Heading3"/>
    <w:uiPriority w:val="9"/>
    <w:rsid w:val="00D31DE7"/>
    <w:rPr>
      <w:rFonts w:eastAsiaTheme="majorEastAsia" w:cs="Arial"/>
      <w:b/>
      <w:bCs/>
    </w:rPr>
  </w:style>
  <w:style w:type="character" w:customStyle="1" w:styleId="Heading4Char">
    <w:name w:val="Heading 4 Char"/>
    <w:basedOn w:val="DefaultParagraphFont"/>
    <w:link w:val="Heading4"/>
    <w:uiPriority w:val="9"/>
    <w:semiHidden/>
    <w:rsid w:val="00D31DE7"/>
    <w:rPr>
      <w:rFonts w:eastAsiaTheme="majorEastAsia" w:cs="Arial"/>
      <w:b/>
      <w:bCs/>
      <w:i/>
      <w:iCs/>
    </w:rPr>
  </w:style>
  <w:style w:type="character" w:customStyle="1" w:styleId="Heading5Char">
    <w:name w:val="Heading 5 Char"/>
    <w:basedOn w:val="DefaultParagraphFont"/>
    <w:link w:val="Heading5"/>
    <w:uiPriority w:val="9"/>
    <w:semiHidden/>
    <w:rsid w:val="00D31DE7"/>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D31DE7"/>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D31DE7"/>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D31DE7"/>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D31DE7"/>
    <w:rPr>
      <w:rFonts w:asciiTheme="majorHAnsi" w:eastAsiaTheme="majorEastAsia" w:hAnsiTheme="majorHAnsi" w:cs="Arial"/>
      <w:iCs/>
      <w:color w:val="404040" w:themeColor="text1" w:themeTint="BF"/>
      <w:szCs w:val="20"/>
    </w:rPr>
  </w:style>
  <w:style w:type="character" w:styleId="Hyperlink">
    <w:name w:val="Hyperlink"/>
    <w:basedOn w:val="DefaultParagraphFont"/>
    <w:uiPriority w:val="99"/>
    <w:unhideWhenUsed/>
    <w:rsid w:val="00D12A44"/>
    <w:rPr>
      <w:color w:val="0000FF" w:themeColor="hyperlink"/>
      <w:u w:val="single"/>
    </w:rPr>
  </w:style>
  <w:style w:type="character" w:styleId="CommentReference">
    <w:name w:val="annotation reference"/>
    <w:basedOn w:val="DefaultParagraphFont"/>
    <w:uiPriority w:val="99"/>
    <w:semiHidden/>
    <w:unhideWhenUsed/>
    <w:rsid w:val="00113BA8"/>
    <w:rPr>
      <w:sz w:val="16"/>
      <w:szCs w:val="16"/>
    </w:rPr>
  </w:style>
  <w:style w:type="paragraph" w:styleId="CommentText">
    <w:name w:val="annotation text"/>
    <w:basedOn w:val="Normal"/>
    <w:link w:val="CommentTextChar"/>
    <w:uiPriority w:val="99"/>
    <w:semiHidden/>
    <w:unhideWhenUsed/>
    <w:rsid w:val="00113BA8"/>
    <w:rPr>
      <w:sz w:val="20"/>
      <w:szCs w:val="20"/>
    </w:rPr>
  </w:style>
  <w:style w:type="character" w:customStyle="1" w:styleId="CommentTextChar">
    <w:name w:val="Comment Text Char"/>
    <w:basedOn w:val="DefaultParagraphFont"/>
    <w:link w:val="CommentText"/>
    <w:uiPriority w:val="99"/>
    <w:semiHidden/>
    <w:rsid w:val="00113BA8"/>
    <w:rPr>
      <w:sz w:val="20"/>
      <w:szCs w:val="20"/>
    </w:rPr>
  </w:style>
  <w:style w:type="paragraph" w:styleId="CommentSubject">
    <w:name w:val="annotation subject"/>
    <w:basedOn w:val="CommentText"/>
    <w:next w:val="CommentText"/>
    <w:link w:val="CommentSubjectChar"/>
    <w:uiPriority w:val="99"/>
    <w:semiHidden/>
    <w:unhideWhenUsed/>
    <w:rsid w:val="00113BA8"/>
    <w:rPr>
      <w:b/>
      <w:bCs/>
    </w:rPr>
  </w:style>
  <w:style w:type="character" w:customStyle="1" w:styleId="CommentSubjectChar">
    <w:name w:val="Comment Subject Char"/>
    <w:basedOn w:val="CommentTextChar"/>
    <w:link w:val="CommentSubject"/>
    <w:uiPriority w:val="99"/>
    <w:semiHidden/>
    <w:rsid w:val="00113BA8"/>
    <w:rPr>
      <w:b/>
      <w:bCs/>
      <w:sz w:val="20"/>
      <w:szCs w:val="20"/>
    </w:rPr>
  </w:style>
  <w:style w:type="paragraph" w:styleId="BalloonText">
    <w:name w:val="Balloon Text"/>
    <w:basedOn w:val="Normal"/>
    <w:link w:val="BalloonTextChar"/>
    <w:uiPriority w:val="99"/>
    <w:semiHidden/>
    <w:unhideWhenUsed/>
    <w:rsid w:val="00113B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BA8"/>
    <w:rPr>
      <w:rFonts w:ascii="Tahoma" w:hAnsi="Tahoma" w:cs="Tahoma"/>
      <w:sz w:val="16"/>
      <w:szCs w:val="16"/>
    </w:rPr>
  </w:style>
  <w:style w:type="paragraph" w:styleId="TOCHeading">
    <w:name w:val="TOC Heading"/>
    <w:basedOn w:val="Normal"/>
    <w:next w:val="TOC1"/>
    <w:uiPriority w:val="39"/>
    <w:unhideWhenUsed/>
    <w:qFormat/>
    <w:rsid w:val="009C2E0B"/>
    <w:pPr>
      <w:keepNext/>
      <w:keepLines/>
      <w:spacing w:before="480" w:after="240"/>
      <w:jc w:val="center"/>
    </w:pPr>
    <w:rPr>
      <w:rFonts w:cs="Arial"/>
      <w:b/>
      <w:caps/>
      <w:color w:val="365F91" w:themeColor="accent1" w:themeShade="BF"/>
    </w:rPr>
  </w:style>
  <w:style w:type="paragraph" w:styleId="TOC1">
    <w:name w:val="toc 1"/>
    <w:basedOn w:val="Normal"/>
    <w:next w:val="Normal"/>
    <w:autoRedefine/>
    <w:uiPriority w:val="39"/>
    <w:unhideWhenUsed/>
    <w:rsid w:val="00AE5BBE"/>
    <w:pPr>
      <w:tabs>
        <w:tab w:val="left" w:pos="720"/>
        <w:tab w:val="right" w:leader="dot" w:pos="9350"/>
      </w:tabs>
      <w:spacing w:after="100"/>
    </w:pPr>
  </w:style>
  <w:style w:type="paragraph" w:styleId="TOC2">
    <w:name w:val="toc 2"/>
    <w:basedOn w:val="Normal"/>
    <w:next w:val="Normal"/>
    <w:autoRedefine/>
    <w:uiPriority w:val="39"/>
    <w:unhideWhenUsed/>
    <w:rsid w:val="00AA7C2B"/>
    <w:pPr>
      <w:tabs>
        <w:tab w:val="left" w:pos="1440"/>
        <w:tab w:val="right" w:leader="dot" w:pos="9360"/>
      </w:tabs>
      <w:spacing w:after="100"/>
      <w:ind w:left="720" w:right="720"/>
    </w:pPr>
  </w:style>
  <w:style w:type="paragraph" w:styleId="TOC3">
    <w:name w:val="toc 3"/>
    <w:basedOn w:val="Normal"/>
    <w:next w:val="Normal"/>
    <w:autoRedefine/>
    <w:uiPriority w:val="39"/>
    <w:unhideWhenUsed/>
    <w:rsid w:val="00AA7C2B"/>
    <w:pPr>
      <w:tabs>
        <w:tab w:val="left" w:pos="2160"/>
        <w:tab w:val="right" w:leader="dot" w:pos="9350"/>
      </w:tabs>
      <w:spacing w:after="100"/>
      <w:ind w:left="480" w:firstLine="960"/>
    </w:pPr>
  </w:style>
  <w:style w:type="paragraph" w:styleId="TOC4">
    <w:name w:val="toc 4"/>
    <w:basedOn w:val="Normal"/>
    <w:next w:val="Normal"/>
    <w:autoRedefine/>
    <w:uiPriority w:val="39"/>
    <w:semiHidden/>
    <w:unhideWhenUsed/>
    <w:rsid w:val="009C2E0B"/>
    <w:pPr>
      <w:spacing w:after="100"/>
      <w:ind w:left="720"/>
    </w:pPr>
  </w:style>
  <w:style w:type="paragraph" w:styleId="TOC5">
    <w:name w:val="toc 5"/>
    <w:basedOn w:val="Normal"/>
    <w:next w:val="Normal"/>
    <w:autoRedefine/>
    <w:uiPriority w:val="39"/>
    <w:semiHidden/>
    <w:unhideWhenUsed/>
    <w:rsid w:val="009C2E0B"/>
    <w:pPr>
      <w:spacing w:after="100"/>
      <w:ind w:left="960"/>
    </w:pPr>
  </w:style>
  <w:style w:type="paragraph" w:styleId="TOC6">
    <w:name w:val="toc 6"/>
    <w:basedOn w:val="Normal"/>
    <w:next w:val="Normal"/>
    <w:autoRedefine/>
    <w:uiPriority w:val="39"/>
    <w:semiHidden/>
    <w:unhideWhenUsed/>
    <w:rsid w:val="009C2E0B"/>
    <w:pPr>
      <w:spacing w:after="100"/>
      <w:ind w:left="1200"/>
    </w:pPr>
  </w:style>
  <w:style w:type="paragraph" w:styleId="TOC7">
    <w:name w:val="toc 7"/>
    <w:basedOn w:val="Normal"/>
    <w:next w:val="Normal"/>
    <w:autoRedefine/>
    <w:uiPriority w:val="39"/>
    <w:semiHidden/>
    <w:unhideWhenUsed/>
    <w:rsid w:val="009C2E0B"/>
    <w:pPr>
      <w:spacing w:after="100"/>
      <w:ind w:left="1440"/>
    </w:pPr>
  </w:style>
  <w:style w:type="paragraph" w:styleId="TOC8">
    <w:name w:val="toc 8"/>
    <w:basedOn w:val="Normal"/>
    <w:next w:val="Normal"/>
    <w:autoRedefine/>
    <w:uiPriority w:val="39"/>
    <w:semiHidden/>
    <w:unhideWhenUsed/>
    <w:rsid w:val="009C2E0B"/>
    <w:pPr>
      <w:spacing w:after="100"/>
      <w:ind w:left="1680"/>
    </w:pPr>
  </w:style>
  <w:style w:type="paragraph" w:styleId="TOC9">
    <w:name w:val="toc 9"/>
    <w:basedOn w:val="Normal"/>
    <w:next w:val="Normal"/>
    <w:autoRedefine/>
    <w:uiPriority w:val="39"/>
    <w:semiHidden/>
    <w:unhideWhenUsed/>
    <w:rsid w:val="009C2E0B"/>
    <w:pPr>
      <w:spacing w:after="100"/>
      <w:ind w:left="1920"/>
    </w:pPr>
  </w:style>
  <w:style w:type="paragraph" w:customStyle="1" w:styleId="TOCPage">
    <w:name w:val="TOC Page"/>
    <w:basedOn w:val="Normal"/>
    <w:rsid w:val="00AE5BBE"/>
    <w:pPr>
      <w:spacing w:after="240"/>
      <w:jc w:val="right"/>
    </w:pPr>
    <w:rPr>
      <w:rFonts w:eastAsia="Times New Roman"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5571">
      <w:bodyDiv w:val="1"/>
      <w:marLeft w:val="0"/>
      <w:marRight w:val="0"/>
      <w:marTop w:val="0"/>
      <w:marBottom w:val="0"/>
      <w:divBdr>
        <w:top w:val="none" w:sz="0" w:space="0" w:color="auto"/>
        <w:left w:val="none" w:sz="0" w:space="0" w:color="auto"/>
        <w:bottom w:val="none" w:sz="0" w:space="0" w:color="auto"/>
        <w:right w:val="none" w:sz="0" w:space="0" w:color="auto"/>
      </w:divBdr>
    </w:div>
    <w:div w:id="507065210">
      <w:bodyDiv w:val="1"/>
      <w:marLeft w:val="0"/>
      <w:marRight w:val="0"/>
      <w:marTop w:val="0"/>
      <w:marBottom w:val="0"/>
      <w:divBdr>
        <w:top w:val="none" w:sz="0" w:space="0" w:color="auto"/>
        <w:left w:val="none" w:sz="0" w:space="0" w:color="auto"/>
        <w:bottom w:val="none" w:sz="0" w:space="0" w:color="auto"/>
        <w:right w:val="none" w:sz="0" w:space="0" w:color="auto"/>
      </w:divBdr>
    </w:div>
    <w:div w:id="1711685082">
      <w:bodyDiv w:val="1"/>
      <w:marLeft w:val="0"/>
      <w:marRight w:val="0"/>
      <w:marTop w:val="0"/>
      <w:marBottom w:val="0"/>
      <w:divBdr>
        <w:top w:val="none" w:sz="0" w:space="0" w:color="auto"/>
        <w:left w:val="none" w:sz="0" w:space="0" w:color="auto"/>
        <w:bottom w:val="none" w:sz="0" w:space="0" w:color="auto"/>
        <w:right w:val="none" w:sz="0" w:space="0" w:color="auto"/>
      </w:divBdr>
    </w:div>
    <w:div w:id="20322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Jeanne.kingery@duke-energy.com" TargetMode="External"/><Relationship Id="rId26" Type="http://schemas.openxmlformats.org/officeDocument/2006/relationships/hyperlink" Target="mailto:jmcdermott@firstenergycorp.com" TargetMode="External"/><Relationship Id="rId39" Type="http://schemas.openxmlformats.org/officeDocument/2006/relationships/hyperlink" Target="mailto:mjsatterwhite@aep.com" TargetMode="External"/><Relationship Id="rId3" Type="http://schemas.openxmlformats.org/officeDocument/2006/relationships/styles" Target="styles.xml"/><Relationship Id="rId21" Type="http://schemas.openxmlformats.org/officeDocument/2006/relationships/hyperlink" Target="mailto:jkylercohn@BKLlawfirm.com" TargetMode="External"/><Relationship Id="rId34" Type="http://schemas.openxmlformats.org/officeDocument/2006/relationships/hyperlink" Target="mailto:joliker@igsenergy.com" TargetMode="External"/><Relationship Id="rId42" Type="http://schemas.openxmlformats.org/officeDocument/2006/relationships/hyperlink" Target="mailto:toddm@wamenergylaw.com" TargetMode="External"/><Relationship Id="rId47" Type="http://schemas.openxmlformats.org/officeDocument/2006/relationships/footer" Target="footer6.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Rocco.dascenzo@duke-energy.com" TargetMode="External"/><Relationship Id="rId25" Type="http://schemas.openxmlformats.org/officeDocument/2006/relationships/hyperlink" Target="mailto:scasto@firstenergycorp.com" TargetMode="External"/><Relationship Id="rId33" Type="http://schemas.openxmlformats.org/officeDocument/2006/relationships/hyperlink" Target="mailto:Allison@carpenterlipps.com" TargetMode="External"/><Relationship Id="rId38" Type="http://schemas.openxmlformats.org/officeDocument/2006/relationships/hyperlink" Target="mailto:stnourse@aep.com"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Amy.Spiller@duke-energy.com" TargetMode="External"/><Relationship Id="rId20" Type="http://schemas.openxmlformats.org/officeDocument/2006/relationships/hyperlink" Target="mailto:Dianne.Kuhnell@duke-energy.com" TargetMode="External"/><Relationship Id="rId29" Type="http://schemas.openxmlformats.org/officeDocument/2006/relationships/hyperlink" Target="mailto:Joseph.serio@occ.ohio.gov" TargetMode="External"/><Relationship Id="rId41" Type="http://schemas.openxmlformats.org/officeDocument/2006/relationships/hyperlink" Target="mailto:callwein@wamenergylaw.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haydenm@firstenergycorp.com" TargetMode="External"/><Relationship Id="rId32" Type="http://schemas.openxmlformats.org/officeDocument/2006/relationships/hyperlink" Target="mailto:bojko@carpenterlipps.com" TargetMode="External"/><Relationship Id="rId37" Type="http://schemas.openxmlformats.org/officeDocument/2006/relationships/hyperlink" Target="mailto:Ryan.Orourke@puc.state.oh.us" TargetMode="External"/><Relationship Id="rId40" Type="http://schemas.openxmlformats.org/officeDocument/2006/relationships/hyperlink" Target="mailto:yalami@aep.com" TargetMode="External"/><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mailto:mkurtz@BKLlawfirm.com" TargetMode="External"/><Relationship Id="rId28" Type="http://schemas.openxmlformats.org/officeDocument/2006/relationships/hyperlink" Target="mailto:Maureen.grady@occ.ohio.gov" TargetMode="External"/><Relationship Id="rId36" Type="http://schemas.openxmlformats.org/officeDocument/2006/relationships/hyperlink" Target="mailto:Thomas.Lindgren@puc.state.oh" TargetMode="External"/><Relationship Id="rId49"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mailto:Elizabeth.watts@duke-energy.com" TargetMode="External"/><Relationship Id="rId31" Type="http://schemas.openxmlformats.org/officeDocument/2006/relationships/hyperlink" Target="mailto:Judi.sobecki@aes.com"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boehm@BKLlawfirm.com" TargetMode="External"/><Relationship Id="rId27" Type="http://schemas.openxmlformats.org/officeDocument/2006/relationships/hyperlink" Target="mailto:Schmidt@sppgrp.com" TargetMode="External"/><Relationship Id="rId30" Type="http://schemas.openxmlformats.org/officeDocument/2006/relationships/hyperlink" Target="mailto:Edmund.berger@occ.ohio.gov" TargetMode="External"/><Relationship Id="rId35" Type="http://schemas.openxmlformats.org/officeDocument/2006/relationships/hyperlink" Target="mailto:Steven.Beeler@puc.state.oh.us" TargetMode="External"/><Relationship Id="rId43" Type="http://schemas.openxmlformats.org/officeDocument/2006/relationships/hyperlink" Target="mailto:bchisling@stblaw.com" TargetMode="External"/><Relationship Id="rId48"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025D-4731-466A-9459-B2679D19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Pages>33</Pages>
  <Words>7639</Words>
  <Characters>41962</Characters>
  <Application>Microsoft Office Word</Application>
  <DocSecurity>0</DocSecurity>
  <PresentationFormat/>
  <Lines>1005</Lines>
  <Paragraphs>424</Paragraphs>
  <ScaleCrop>false</ScaleCrop>
  <HeadingPairs>
    <vt:vector size="2" baseType="variant">
      <vt:variant>
        <vt:lpstr>Title</vt:lpstr>
      </vt:variant>
      <vt:variant>
        <vt:i4>1</vt:i4>
      </vt:variant>
    </vt:vector>
  </HeadingPairs>
  <TitlesOfParts>
    <vt:vector size="1" baseType="lpstr">
      <vt:lpstr>14-481; reply brief (C46305).DOCX</vt:lpstr>
    </vt:vector>
  </TitlesOfParts>
  <Company/>
  <LinksUpToDate>false</LinksUpToDate>
  <CharactersWithSpaces>49425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14-481; reply brief (C46305).DOCX</dc:title>
  <dc:subject>C46305: /font=8</dc:subject>
  <dc:creator>_</dc:creator>
  <cp:keywords/>
  <dc:description/>
  <cp:lastModifiedBy>Karen Bowman</cp:lastModifiedBy>
  <cp:revision>64</cp:revision>
  <cp:lastPrinted>2014-12-29T13:26:00Z</cp:lastPrinted>
  <dcterms:created xsi:type="dcterms:W3CDTF">2014-12-16T19:37:00Z</dcterms:created>
  <dcterms:modified xsi:type="dcterms:W3CDTF">2014-12-29T19:14:00Z</dcterms:modified>
</cp:coreProperties>
</file>