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7B" w:rsidRDefault="002B367B">
      <w:pPr>
        <w:tabs>
          <w:tab w:val="center" w:pos="4680"/>
        </w:tabs>
        <w:suppressAutoHyphens/>
        <w:jc w:val="center"/>
        <w:rPr>
          <w:sz w:val="24"/>
        </w:rPr>
      </w:pPr>
      <w:r>
        <w:rPr>
          <w:sz w:val="24"/>
        </w:rPr>
        <w:t>BEFORE</w:t>
      </w:r>
    </w:p>
    <w:p w:rsidR="002B367B" w:rsidRDefault="002B367B">
      <w:pPr>
        <w:tabs>
          <w:tab w:val="center" w:pos="4680"/>
        </w:tabs>
        <w:suppressAutoHyphens/>
        <w:jc w:val="center"/>
        <w:rPr>
          <w:sz w:val="24"/>
        </w:rPr>
      </w:pPr>
      <w:r>
        <w:rPr>
          <w:sz w:val="24"/>
        </w:rPr>
        <w:t>THE PUBLIC UTILITIES COMMISSION OF OHIO</w:t>
      </w:r>
    </w:p>
    <w:p w:rsidR="002B367B" w:rsidRDefault="002B367B">
      <w:pPr>
        <w:tabs>
          <w:tab w:val="left" w:pos="-720"/>
        </w:tabs>
        <w:suppressAutoHyphens/>
        <w:rPr>
          <w:sz w:val="24"/>
        </w:rPr>
      </w:pPr>
    </w:p>
    <w:p w:rsidR="00811312" w:rsidRDefault="00811312" w:rsidP="00811312">
      <w:pPr>
        <w:tabs>
          <w:tab w:val="left" w:pos="-720"/>
        </w:tabs>
        <w:suppressAutoHyphens/>
        <w:rPr>
          <w:sz w:val="24"/>
        </w:rPr>
      </w:pPr>
      <w:r>
        <w:rPr>
          <w:sz w:val="24"/>
        </w:rPr>
        <w:t>Nexus Communications, Inc.,</w:t>
      </w:r>
      <w:r>
        <w:rPr>
          <w:sz w:val="24"/>
        </w:rPr>
        <w:tab/>
      </w:r>
      <w:r>
        <w:rPr>
          <w:sz w:val="24"/>
        </w:rPr>
        <w:tab/>
      </w:r>
      <w:r>
        <w:rPr>
          <w:sz w:val="24"/>
        </w:rPr>
        <w:tab/>
      </w:r>
      <w:r>
        <w:rPr>
          <w:sz w:val="24"/>
        </w:rPr>
        <w:tab/>
      </w:r>
      <w:r>
        <w:rPr>
          <w:sz w:val="24"/>
        </w:rPr>
        <w:tab/>
        <w:t>)</w:t>
      </w:r>
    </w:p>
    <w:p w:rsidR="00811312" w:rsidRDefault="00811312" w:rsidP="00811312">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rsidR="00811312" w:rsidRDefault="00811312" w:rsidP="00811312">
      <w:pPr>
        <w:tabs>
          <w:tab w:val="left" w:pos="-720"/>
        </w:tabs>
        <w:suppressAutoHyphens/>
        <w:rPr>
          <w:sz w:val="24"/>
        </w:rPr>
      </w:pPr>
      <w:r>
        <w:rPr>
          <w:sz w:val="24"/>
        </w:rPr>
        <w:tab/>
      </w:r>
      <w:r>
        <w:rPr>
          <w:sz w:val="24"/>
        </w:rPr>
        <w:tab/>
      </w:r>
      <w:r>
        <w:rPr>
          <w:sz w:val="24"/>
        </w:rPr>
        <w:tab/>
        <w:t>Complainant,</w:t>
      </w:r>
      <w:r>
        <w:rPr>
          <w:sz w:val="24"/>
        </w:rPr>
        <w:tab/>
      </w:r>
      <w:r>
        <w:rPr>
          <w:sz w:val="24"/>
        </w:rPr>
        <w:tab/>
      </w:r>
      <w:r>
        <w:rPr>
          <w:sz w:val="24"/>
        </w:rPr>
        <w:tab/>
      </w:r>
      <w:r>
        <w:rPr>
          <w:sz w:val="24"/>
        </w:rPr>
        <w:tab/>
        <w:t>)</w:t>
      </w:r>
    </w:p>
    <w:p w:rsidR="00811312" w:rsidRDefault="00811312" w:rsidP="00811312">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rsidR="00811312" w:rsidRDefault="00811312" w:rsidP="00811312">
      <w:pPr>
        <w:tabs>
          <w:tab w:val="left" w:pos="-720"/>
        </w:tabs>
        <w:suppressAutoHyphens/>
        <w:rPr>
          <w:sz w:val="24"/>
        </w:rPr>
      </w:pPr>
      <w:r>
        <w:rPr>
          <w:sz w:val="24"/>
        </w:rPr>
        <w:tab/>
      </w:r>
      <w:r>
        <w:rPr>
          <w:sz w:val="24"/>
        </w:rPr>
        <w:tab/>
        <w:t xml:space="preserve">   v.</w:t>
      </w:r>
      <w:r>
        <w:rPr>
          <w:sz w:val="24"/>
        </w:rPr>
        <w:tab/>
      </w:r>
      <w:r>
        <w:rPr>
          <w:sz w:val="24"/>
        </w:rPr>
        <w:tab/>
      </w:r>
      <w:r>
        <w:rPr>
          <w:sz w:val="24"/>
        </w:rPr>
        <w:tab/>
      </w:r>
      <w:r>
        <w:rPr>
          <w:sz w:val="24"/>
        </w:rPr>
        <w:tab/>
      </w:r>
      <w:r>
        <w:rPr>
          <w:sz w:val="24"/>
        </w:rPr>
        <w:tab/>
      </w:r>
      <w:r>
        <w:rPr>
          <w:sz w:val="24"/>
        </w:rPr>
        <w:tab/>
        <w:t>)</w:t>
      </w:r>
      <w:r>
        <w:rPr>
          <w:sz w:val="24"/>
        </w:rPr>
        <w:tab/>
        <w:t>Case No. 10-2518-TP-CSS</w:t>
      </w:r>
    </w:p>
    <w:p w:rsidR="00811312" w:rsidRDefault="00811312" w:rsidP="00811312">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rsidR="00811312" w:rsidRDefault="00811312" w:rsidP="00811312">
      <w:pPr>
        <w:tabs>
          <w:tab w:val="left" w:pos="-720"/>
        </w:tabs>
        <w:suppressAutoHyphens/>
        <w:rPr>
          <w:sz w:val="24"/>
        </w:rPr>
      </w:pPr>
      <w:r>
        <w:rPr>
          <w:sz w:val="24"/>
        </w:rPr>
        <w:t>AT&amp;T Ohio,</w:t>
      </w:r>
      <w:r>
        <w:rPr>
          <w:sz w:val="24"/>
        </w:rPr>
        <w:tab/>
      </w:r>
      <w:r>
        <w:rPr>
          <w:sz w:val="24"/>
        </w:rPr>
        <w:tab/>
      </w:r>
      <w:r>
        <w:rPr>
          <w:sz w:val="24"/>
        </w:rPr>
        <w:tab/>
      </w:r>
      <w:r>
        <w:rPr>
          <w:sz w:val="24"/>
        </w:rPr>
        <w:tab/>
      </w:r>
      <w:r>
        <w:rPr>
          <w:sz w:val="24"/>
        </w:rPr>
        <w:tab/>
      </w:r>
      <w:r>
        <w:rPr>
          <w:sz w:val="24"/>
        </w:rPr>
        <w:tab/>
      </w:r>
      <w:r>
        <w:rPr>
          <w:sz w:val="24"/>
        </w:rPr>
        <w:tab/>
        <w:t>)</w:t>
      </w:r>
    </w:p>
    <w:p w:rsidR="00811312" w:rsidRDefault="00811312" w:rsidP="00811312">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rsidR="00811312" w:rsidRDefault="00811312" w:rsidP="00811312">
      <w:pPr>
        <w:tabs>
          <w:tab w:val="left" w:pos="-720"/>
        </w:tabs>
        <w:suppressAutoHyphens/>
        <w:rPr>
          <w:sz w:val="24"/>
        </w:rPr>
      </w:pPr>
      <w:r>
        <w:rPr>
          <w:sz w:val="24"/>
        </w:rPr>
        <w:tab/>
      </w:r>
      <w:r>
        <w:rPr>
          <w:sz w:val="24"/>
        </w:rPr>
        <w:tab/>
      </w:r>
      <w:r>
        <w:rPr>
          <w:sz w:val="24"/>
        </w:rPr>
        <w:tab/>
        <w:t>Respondent.</w:t>
      </w:r>
      <w:r>
        <w:rPr>
          <w:sz w:val="24"/>
        </w:rPr>
        <w:tab/>
      </w:r>
      <w:r>
        <w:rPr>
          <w:sz w:val="24"/>
        </w:rPr>
        <w:tab/>
      </w:r>
      <w:r>
        <w:rPr>
          <w:sz w:val="24"/>
        </w:rPr>
        <w:tab/>
      </w:r>
      <w:r>
        <w:rPr>
          <w:sz w:val="24"/>
        </w:rPr>
        <w:tab/>
        <w:t>)</w:t>
      </w:r>
    </w:p>
    <w:p w:rsidR="002B367B" w:rsidRDefault="002B367B">
      <w:pPr>
        <w:tabs>
          <w:tab w:val="left" w:pos="-720"/>
        </w:tabs>
        <w:suppressAutoHyphens/>
        <w:rPr>
          <w:sz w:val="24"/>
        </w:rPr>
      </w:pPr>
    </w:p>
    <w:p w:rsidR="002B367B" w:rsidRDefault="002B367B">
      <w:pPr>
        <w:tabs>
          <w:tab w:val="left" w:pos="-720"/>
        </w:tabs>
        <w:suppressAutoHyphens/>
        <w:rPr>
          <w:sz w:val="24"/>
        </w:rPr>
      </w:pPr>
      <w:r>
        <w:rPr>
          <w:sz w:val="24"/>
        </w:rPr>
        <w:t>______________________________________________________________________________</w:t>
      </w:r>
    </w:p>
    <w:p w:rsidR="002B367B" w:rsidRDefault="002B367B">
      <w:pPr>
        <w:tabs>
          <w:tab w:val="left" w:pos="-720"/>
        </w:tabs>
        <w:suppressAutoHyphens/>
        <w:rPr>
          <w:sz w:val="24"/>
        </w:rPr>
      </w:pPr>
    </w:p>
    <w:p w:rsidR="002B367B" w:rsidRDefault="009469D4">
      <w:pPr>
        <w:tabs>
          <w:tab w:val="center" w:pos="4680"/>
        </w:tabs>
        <w:suppressAutoHyphens/>
        <w:jc w:val="center"/>
        <w:rPr>
          <w:sz w:val="24"/>
        </w:rPr>
      </w:pPr>
      <w:r>
        <w:rPr>
          <w:sz w:val="24"/>
        </w:rPr>
        <w:t>AT&amp;T</w:t>
      </w:r>
      <w:r w:rsidR="002B367B">
        <w:rPr>
          <w:sz w:val="24"/>
        </w:rPr>
        <w:t xml:space="preserve"> OHIO'S </w:t>
      </w:r>
      <w:r w:rsidR="008D090F">
        <w:rPr>
          <w:sz w:val="24"/>
        </w:rPr>
        <w:t>REPLY</w:t>
      </w:r>
    </w:p>
    <w:p w:rsidR="002B367B" w:rsidRDefault="002B367B">
      <w:pPr>
        <w:tabs>
          <w:tab w:val="left" w:pos="-720"/>
        </w:tabs>
        <w:suppressAutoHyphens/>
        <w:rPr>
          <w:sz w:val="24"/>
        </w:rPr>
      </w:pPr>
      <w:r>
        <w:rPr>
          <w:sz w:val="24"/>
        </w:rPr>
        <w:t>______________________________________________________________________________</w:t>
      </w:r>
    </w:p>
    <w:p w:rsidR="002B367B" w:rsidRDefault="002B367B">
      <w:pPr>
        <w:tabs>
          <w:tab w:val="left" w:pos="-720"/>
        </w:tabs>
        <w:suppressAutoHyphens/>
        <w:spacing w:line="480" w:lineRule="auto"/>
        <w:rPr>
          <w:sz w:val="24"/>
        </w:rPr>
      </w:pPr>
    </w:p>
    <w:p w:rsidR="008D090F" w:rsidRDefault="002B367B" w:rsidP="00811312">
      <w:pPr>
        <w:tabs>
          <w:tab w:val="left" w:pos="-720"/>
        </w:tabs>
        <w:suppressAutoHyphens/>
        <w:spacing w:line="480" w:lineRule="auto"/>
        <w:rPr>
          <w:sz w:val="24"/>
        </w:rPr>
      </w:pPr>
      <w:r>
        <w:rPr>
          <w:sz w:val="24"/>
        </w:rPr>
        <w:tab/>
      </w:r>
      <w:r>
        <w:rPr>
          <w:sz w:val="24"/>
        </w:rPr>
        <w:tab/>
      </w:r>
      <w:r w:rsidR="009469D4">
        <w:rPr>
          <w:sz w:val="24"/>
        </w:rPr>
        <w:t>AT&amp;T</w:t>
      </w:r>
      <w:r>
        <w:rPr>
          <w:sz w:val="24"/>
        </w:rPr>
        <w:t xml:space="preserve"> Ohio, by its attorney</w:t>
      </w:r>
      <w:r w:rsidR="009469D4">
        <w:rPr>
          <w:sz w:val="24"/>
        </w:rPr>
        <w:t>s</w:t>
      </w:r>
      <w:r>
        <w:rPr>
          <w:sz w:val="24"/>
        </w:rPr>
        <w:t xml:space="preserve"> and pursuant to Section 4901:1-12</w:t>
      </w:r>
      <w:r w:rsidR="007F305C">
        <w:rPr>
          <w:sz w:val="24"/>
        </w:rPr>
        <w:t>(B)(2)</w:t>
      </w:r>
      <w:r>
        <w:rPr>
          <w:sz w:val="24"/>
        </w:rPr>
        <w:t xml:space="preserve"> of the Commission's rules, </w:t>
      </w:r>
      <w:r w:rsidR="008D090F">
        <w:rPr>
          <w:sz w:val="24"/>
        </w:rPr>
        <w:t xml:space="preserve">replies to the memorandum contra its motion to dismiss </w:t>
      </w:r>
      <w:r w:rsidR="00974AA9">
        <w:rPr>
          <w:sz w:val="24"/>
        </w:rPr>
        <w:t xml:space="preserve">the first amended complaint </w:t>
      </w:r>
      <w:r w:rsidR="008D090F">
        <w:rPr>
          <w:sz w:val="24"/>
        </w:rPr>
        <w:t xml:space="preserve">filed by Nexus Communications, Inc. on </w:t>
      </w:r>
      <w:r w:rsidR="00974AA9">
        <w:rPr>
          <w:sz w:val="24"/>
        </w:rPr>
        <w:t>March 9</w:t>
      </w:r>
      <w:r w:rsidR="008D090F">
        <w:rPr>
          <w:sz w:val="24"/>
        </w:rPr>
        <w:t>, 201</w:t>
      </w:r>
      <w:r w:rsidR="00974AA9">
        <w:rPr>
          <w:sz w:val="24"/>
        </w:rPr>
        <w:t>1</w:t>
      </w:r>
      <w:r w:rsidR="008D090F">
        <w:rPr>
          <w:sz w:val="24"/>
        </w:rPr>
        <w:t>.</w:t>
      </w:r>
      <w:r w:rsidR="00CC3F48">
        <w:rPr>
          <w:rStyle w:val="FootnoteReference"/>
          <w:sz w:val="24"/>
        </w:rPr>
        <w:footnoteReference w:id="1"/>
      </w:r>
    </w:p>
    <w:p w:rsidR="008D090F" w:rsidRDefault="008D090F" w:rsidP="00811312">
      <w:pPr>
        <w:tabs>
          <w:tab w:val="left" w:pos="-720"/>
        </w:tabs>
        <w:suppressAutoHyphens/>
        <w:spacing w:line="480" w:lineRule="auto"/>
        <w:rPr>
          <w:sz w:val="24"/>
        </w:rPr>
      </w:pPr>
    </w:p>
    <w:p w:rsidR="008D090F" w:rsidRDefault="008D090F" w:rsidP="00811312">
      <w:pPr>
        <w:tabs>
          <w:tab w:val="left" w:pos="-720"/>
        </w:tabs>
        <w:suppressAutoHyphens/>
        <w:spacing w:line="480" w:lineRule="auto"/>
        <w:rPr>
          <w:sz w:val="24"/>
        </w:rPr>
      </w:pPr>
      <w:r>
        <w:rPr>
          <w:sz w:val="24"/>
        </w:rPr>
        <w:tab/>
      </w:r>
      <w:r>
        <w:rPr>
          <w:sz w:val="24"/>
        </w:rPr>
        <w:tab/>
      </w:r>
      <w:r w:rsidR="00974AA9">
        <w:rPr>
          <w:sz w:val="24"/>
        </w:rPr>
        <w:t xml:space="preserve">As it did in its memorandum contra filed on December 14, 2010, Nexus again fails to distinguish the controlling precedent established by this Commission in the </w:t>
      </w:r>
      <w:r w:rsidR="00974AA9" w:rsidRPr="00E22F92">
        <w:rPr>
          <w:sz w:val="24"/>
          <w:u w:val="single"/>
        </w:rPr>
        <w:t>Revolution</w:t>
      </w:r>
      <w:r w:rsidR="00E22F92" w:rsidRPr="00E22F92">
        <w:rPr>
          <w:sz w:val="24"/>
          <w:u w:val="single"/>
        </w:rPr>
        <w:t xml:space="preserve"> Communications</w:t>
      </w:r>
      <w:r w:rsidR="00974AA9" w:rsidRPr="00E22F92">
        <w:rPr>
          <w:sz w:val="24"/>
        </w:rPr>
        <w:t xml:space="preserve"> </w:t>
      </w:r>
      <w:r w:rsidR="00974AA9">
        <w:rPr>
          <w:sz w:val="24"/>
        </w:rPr>
        <w:t xml:space="preserve">case that holds that parties to a bilateral, Commission-approved interconnection agreement ("ICA") must invoke and exhaust the pertinent dispute resolution provisions of such an agreement before proceeding to litigation.  Despite the passage of many months since its complaint was filed, </w:t>
      </w:r>
      <w:r>
        <w:rPr>
          <w:sz w:val="24"/>
        </w:rPr>
        <w:t>Nexus</w:t>
      </w:r>
      <w:r w:rsidR="00811312">
        <w:rPr>
          <w:sz w:val="24"/>
        </w:rPr>
        <w:t xml:space="preserve"> has </w:t>
      </w:r>
      <w:r w:rsidR="00974AA9">
        <w:rPr>
          <w:sz w:val="24"/>
        </w:rPr>
        <w:t xml:space="preserve">still </w:t>
      </w:r>
      <w:r w:rsidR="00811312">
        <w:rPr>
          <w:sz w:val="24"/>
        </w:rPr>
        <w:t xml:space="preserve">not </w:t>
      </w:r>
      <w:r w:rsidR="007F305C">
        <w:rPr>
          <w:sz w:val="24"/>
        </w:rPr>
        <w:t xml:space="preserve">invoked or </w:t>
      </w:r>
      <w:r w:rsidR="00811312">
        <w:rPr>
          <w:sz w:val="24"/>
        </w:rPr>
        <w:t xml:space="preserve">exhausted the dispute resolution provisions of the parties' </w:t>
      </w:r>
      <w:r w:rsidR="00974AA9">
        <w:rPr>
          <w:sz w:val="24"/>
        </w:rPr>
        <w:t>ICA here</w:t>
      </w:r>
      <w:r>
        <w:rPr>
          <w:sz w:val="24"/>
        </w:rPr>
        <w:t xml:space="preserve">.  </w:t>
      </w:r>
      <w:r w:rsidR="002447B9">
        <w:rPr>
          <w:sz w:val="24"/>
        </w:rPr>
        <w:t xml:space="preserve">Nor did Nexus give proper notice of its dispute.  </w:t>
      </w:r>
      <w:r>
        <w:rPr>
          <w:sz w:val="24"/>
        </w:rPr>
        <w:t xml:space="preserve">Nexus </w:t>
      </w:r>
      <w:r w:rsidR="00974AA9">
        <w:rPr>
          <w:sz w:val="24"/>
        </w:rPr>
        <w:t xml:space="preserve">again </w:t>
      </w:r>
      <w:r>
        <w:rPr>
          <w:sz w:val="24"/>
        </w:rPr>
        <w:t xml:space="preserve">argues that it should not have to do so and claims that requiring it to follow the agreed-to dispute resolution </w:t>
      </w:r>
      <w:r>
        <w:rPr>
          <w:sz w:val="24"/>
        </w:rPr>
        <w:lastRenderedPageBreak/>
        <w:t>provisions of its interconnection agreement would be "</w:t>
      </w:r>
      <w:r w:rsidR="00974AA9">
        <w:rPr>
          <w:sz w:val="24"/>
        </w:rPr>
        <w:t>an exercise in futility</w:t>
      </w:r>
      <w:r>
        <w:rPr>
          <w:sz w:val="24"/>
        </w:rPr>
        <w:t xml:space="preserve">."  </w:t>
      </w:r>
      <w:r w:rsidR="00974AA9">
        <w:rPr>
          <w:sz w:val="24"/>
        </w:rPr>
        <w:t>Memorandum Contra, pp. 2 and 3-6.</w:t>
      </w:r>
    </w:p>
    <w:p w:rsidR="002447B9" w:rsidRDefault="002447B9" w:rsidP="00811312">
      <w:pPr>
        <w:tabs>
          <w:tab w:val="left" w:pos="-720"/>
        </w:tabs>
        <w:suppressAutoHyphens/>
        <w:spacing w:line="480" w:lineRule="auto"/>
        <w:rPr>
          <w:sz w:val="24"/>
        </w:rPr>
      </w:pPr>
    </w:p>
    <w:p w:rsidR="009745B3" w:rsidRDefault="009745B3" w:rsidP="00811312">
      <w:pPr>
        <w:tabs>
          <w:tab w:val="left" w:pos="-720"/>
        </w:tabs>
        <w:suppressAutoHyphens/>
        <w:spacing w:line="480" w:lineRule="auto"/>
        <w:rPr>
          <w:sz w:val="24"/>
        </w:rPr>
      </w:pPr>
      <w:r>
        <w:rPr>
          <w:sz w:val="24"/>
        </w:rPr>
        <w:tab/>
      </w:r>
      <w:r>
        <w:rPr>
          <w:sz w:val="24"/>
        </w:rPr>
        <w:tab/>
        <w:t xml:space="preserve">Following the dispute resolution provisions specified in the parties' interconnection agreement would not be </w:t>
      </w:r>
      <w:r w:rsidR="00360E31">
        <w:rPr>
          <w:sz w:val="24"/>
        </w:rPr>
        <w:t xml:space="preserve">a </w:t>
      </w:r>
      <w:r>
        <w:rPr>
          <w:sz w:val="24"/>
        </w:rPr>
        <w:t xml:space="preserve">futile act.  Not only is doing so legally required, it would have positive practical effects in this case.  This is because Nexus' </w:t>
      </w:r>
      <w:r w:rsidR="00974AA9">
        <w:rPr>
          <w:sz w:val="24"/>
        </w:rPr>
        <w:t xml:space="preserve">amended </w:t>
      </w:r>
      <w:r>
        <w:rPr>
          <w:sz w:val="24"/>
        </w:rPr>
        <w:t>complaint</w:t>
      </w:r>
      <w:r w:rsidR="00974AA9">
        <w:rPr>
          <w:sz w:val="24"/>
        </w:rPr>
        <w:t>, like its original one,</w:t>
      </w:r>
      <w:r>
        <w:rPr>
          <w:sz w:val="24"/>
        </w:rPr>
        <w:t xml:space="preserve"> is long on broad generalizations and short on specifics.  Nexus challenges "each and every one" of AT&amp;T Ohio's cash back promotions, going back to late 2003.  But Nexus never alleges or explains that it ordered service that was subject to "each and every one" of those promotions, and if so, how many times.  There is no quantification of Nexus' claims at all.  Moreover, challenges going back that far may well be outside the interconnection agreement's time limitations on such disputes.  Without more specifics, one can only guess at this point.  This is why Nexus' complaint, even as amended, fails to properly state a claim.  This is also why following the dispute resolution provisions, as set forth in the parties' interconnection agreement, would shed some </w:t>
      </w:r>
      <w:r w:rsidR="00CE056C">
        <w:rPr>
          <w:sz w:val="24"/>
        </w:rPr>
        <w:t>much-</w:t>
      </w:r>
      <w:r>
        <w:rPr>
          <w:sz w:val="24"/>
        </w:rPr>
        <w:t>needed light on the scope and the specifics of Nexus' claims.</w:t>
      </w:r>
    </w:p>
    <w:p w:rsidR="009745B3" w:rsidRDefault="009745B3" w:rsidP="00811312">
      <w:pPr>
        <w:tabs>
          <w:tab w:val="left" w:pos="-720"/>
        </w:tabs>
        <w:suppressAutoHyphens/>
        <w:spacing w:line="480" w:lineRule="auto"/>
        <w:rPr>
          <w:sz w:val="24"/>
        </w:rPr>
      </w:pPr>
    </w:p>
    <w:p w:rsidR="007952D4" w:rsidRDefault="007952D4" w:rsidP="00811312">
      <w:pPr>
        <w:tabs>
          <w:tab w:val="left" w:pos="-720"/>
        </w:tabs>
        <w:suppressAutoHyphens/>
        <w:spacing w:line="480" w:lineRule="auto"/>
        <w:rPr>
          <w:sz w:val="24"/>
        </w:rPr>
      </w:pPr>
      <w:r>
        <w:rPr>
          <w:sz w:val="24"/>
        </w:rPr>
        <w:tab/>
      </w:r>
      <w:r>
        <w:rPr>
          <w:sz w:val="24"/>
        </w:rPr>
        <w:tab/>
        <w:t>The issue of Nexus' notification of the dispute to AT&amp;T Ohio deserves special mention here.  In responding to AT&amp;T Ohio's first set of discovery on March 7, 2011, Nexus acknowledged that its disputes concerning the cash-back promotions were filed using AT&amp;T's dispute web portal on December 10, 2010.</w:t>
      </w:r>
      <w:r w:rsidR="00CC3F48">
        <w:rPr>
          <w:rStyle w:val="FootnoteReference"/>
          <w:sz w:val="24"/>
        </w:rPr>
        <w:footnoteReference w:id="2"/>
      </w:r>
      <w:r>
        <w:rPr>
          <w:sz w:val="24"/>
        </w:rPr>
        <w:t xml:space="preserve">  That was over one month after Nexus filed its original complaint in this case.  As more facts come to light, through discovery and otherwise, it </w:t>
      </w:r>
      <w:r>
        <w:rPr>
          <w:sz w:val="24"/>
        </w:rPr>
        <w:lastRenderedPageBreak/>
        <w:t>is clear that pursuing dispute resolution in this case, as required by the ICA, would likely be productive, and not futile as Nexus claims.</w:t>
      </w:r>
    </w:p>
    <w:p w:rsidR="007952D4" w:rsidRDefault="007952D4" w:rsidP="00811312">
      <w:pPr>
        <w:tabs>
          <w:tab w:val="left" w:pos="-720"/>
        </w:tabs>
        <w:suppressAutoHyphens/>
        <w:spacing w:line="480" w:lineRule="auto"/>
        <w:rPr>
          <w:sz w:val="24"/>
        </w:rPr>
      </w:pPr>
    </w:p>
    <w:p w:rsidR="008D090F" w:rsidRDefault="00A71C6B" w:rsidP="00811312">
      <w:pPr>
        <w:tabs>
          <w:tab w:val="left" w:pos="-720"/>
        </w:tabs>
        <w:suppressAutoHyphens/>
        <w:spacing w:line="480" w:lineRule="auto"/>
        <w:rPr>
          <w:sz w:val="24"/>
        </w:rPr>
      </w:pPr>
      <w:r>
        <w:rPr>
          <w:sz w:val="24"/>
        </w:rPr>
        <w:tab/>
      </w:r>
      <w:r>
        <w:rPr>
          <w:sz w:val="24"/>
        </w:rPr>
        <w:tab/>
        <w:t xml:space="preserve">Nexus attempts to justify its proposed "futility" exception to the clear language of the ICA.  </w:t>
      </w:r>
      <w:r>
        <w:rPr>
          <w:sz w:val="24"/>
          <w:u w:val="single"/>
        </w:rPr>
        <w:t>Id</w:t>
      </w:r>
      <w:r>
        <w:rPr>
          <w:sz w:val="24"/>
        </w:rPr>
        <w:t>., pp. 3-6.  But most p</w:t>
      </w:r>
      <w:r w:rsidR="00FD6236">
        <w:rPr>
          <w:sz w:val="24"/>
        </w:rPr>
        <w:t>ertinent to th</w:t>
      </w:r>
      <w:r w:rsidR="007F305C">
        <w:rPr>
          <w:sz w:val="24"/>
        </w:rPr>
        <w:t>e</w:t>
      </w:r>
      <w:r w:rsidR="00FD6236">
        <w:rPr>
          <w:sz w:val="24"/>
        </w:rPr>
        <w:t xml:space="preserve"> issue </w:t>
      </w:r>
      <w:r w:rsidR="007F305C">
        <w:rPr>
          <w:sz w:val="24"/>
        </w:rPr>
        <w:t xml:space="preserve">presented here </w:t>
      </w:r>
      <w:r w:rsidR="00FD6236">
        <w:rPr>
          <w:sz w:val="24"/>
        </w:rPr>
        <w:t xml:space="preserve">is this Commission's own decision in </w:t>
      </w:r>
      <w:r w:rsidR="00FD6236" w:rsidRPr="00FD6236">
        <w:rPr>
          <w:sz w:val="24"/>
          <w:u w:val="single"/>
        </w:rPr>
        <w:t>Revolution Communications</w:t>
      </w:r>
      <w:r w:rsidR="00FD6236">
        <w:rPr>
          <w:sz w:val="24"/>
        </w:rPr>
        <w:t xml:space="preserve">, where the Commission found that the CLEC's requests for Commission action were premature and directed the parties to address the dispute in accordance with the dispute resolution provisions of their interconnection agreement.  </w:t>
      </w:r>
      <w:r w:rsidR="00FD6236" w:rsidRPr="00FD6236">
        <w:rPr>
          <w:sz w:val="24"/>
          <w:u w:val="single"/>
        </w:rPr>
        <w:t>Revolution Communications, Ltd.</w:t>
      </w:r>
      <w:r w:rsidR="00FD6236">
        <w:rPr>
          <w:sz w:val="24"/>
        </w:rPr>
        <w:t>, Case No. 05-1180-TP-CSS, Entry, February 1, 2006.  In that case, the Commission held as follows:</w:t>
      </w:r>
    </w:p>
    <w:p w:rsidR="00FD6236" w:rsidRDefault="00FD6236" w:rsidP="00FD6236">
      <w:pPr>
        <w:tabs>
          <w:tab w:val="left" w:pos="-720"/>
        </w:tabs>
        <w:suppressAutoHyphens/>
        <w:ind w:left="720"/>
        <w:rPr>
          <w:sz w:val="24"/>
        </w:rPr>
      </w:pPr>
      <w:r w:rsidRPr="00FD6236">
        <w:rPr>
          <w:sz w:val="24"/>
        </w:rPr>
        <w:t>The Commission finds that Revolution's pending motion is</w:t>
      </w:r>
      <w:r>
        <w:rPr>
          <w:sz w:val="24"/>
        </w:rPr>
        <w:t xml:space="preserve"> </w:t>
      </w:r>
      <w:r w:rsidRPr="00FD6236">
        <w:rPr>
          <w:sz w:val="24"/>
        </w:rPr>
        <w:t>premature. Although Revolution contends that injunctive relief is</w:t>
      </w:r>
      <w:r>
        <w:rPr>
          <w:sz w:val="24"/>
        </w:rPr>
        <w:t xml:space="preserve"> </w:t>
      </w:r>
      <w:r w:rsidRPr="00FD6236">
        <w:rPr>
          <w:sz w:val="24"/>
        </w:rPr>
        <w:t>necessary due to AT&amp;T Ohio's intent to cease processing new</w:t>
      </w:r>
      <w:r>
        <w:rPr>
          <w:sz w:val="24"/>
        </w:rPr>
        <w:t xml:space="preserve"> </w:t>
      </w:r>
      <w:r w:rsidRPr="00FD6236">
        <w:rPr>
          <w:sz w:val="24"/>
        </w:rPr>
        <w:t>orders and terminate Revolution's service, the Commission notes</w:t>
      </w:r>
      <w:r>
        <w:rPr>
          <w:sz w:val="24"/>
        </w:rPr>
        <w:t xml:space="preserve"> </w:t>
      </w:r>
      <w:r w:rsidRPr="00FD6236">
        <w:rPr>
          <w:sz w:val="24"/>
        </w:rPr>
        <w:t>that AT&amp;T Ohio has stated that it has voluntarily withheld further</w:t>
      </w:r>
      <w:r>
        <w:rPr>
          <w:sz w:val="24"/>
        </w:rPr>
        <w:t xml:space="preserve"> </w:t>
      </w:r>
      <w:r w:rsidRPr="00FD6236">
        <w:rPr>
          <w:sz w:val="24"/>
        </w:rPr>
        <w:t>collection action at this time. Therefore, Revolution's motion for an</w:t>
      </w:r>
      <w:r>
        <w:rPr>
          <w:sz w:val="24"/>
        </w:rPr>
        <w:t xml:space="preserve"> </w:t>
      </w:r>
      <w:r w:rsidRPr="00FD6236">
        <w:rPr>
          <w:sz w:val="24"/>
        </w:rPr>
        <w:t>immediate order requiring AT&amp;T Ohio to cease and desist from</w:t>
      </w:r>
      <w:r>
        <w:rPr>
          <w:sz w:val="24"/>
        </w:rPr>
        <w:t xml:space="preserve"> </w:t>
      </w:r>
      <w:r w:rsidRPr="00FD6236">
        <w:rPr>
          <w:sz w:val="24"/>
        </w:rPr>
        <w:t>suspending Revolution's provisioning is currently premature. The</w:t>
      </w:r>
      <w:r>
        <w:rPr>
          <w:sz w:val="24"/>
        </w:rPr>
        <w:t xml:space="preserve"> </w:t>
      </w:r>
      <w:r w:rsidRPr="00FD6236">
        <w:rPr>
          <w:sz w:val="24"/>
        </w:rPr>
        <w:t>parties are directed to address the current dispute in accordance</w:t>
      </w:r>
      <w:r>
        <w:rPr>
          <w:sz w:val="24"/>
        </w:rPr>
        <w:t xml:space="preserve"> </w:t>
      </w:r>
      <w:r w:rsidRPr="00FD6236">
        <w:rPr>
          <w:sz w:val="24"/>
        </w:rPr>
        <w:t>with the dispute resolution provisions of the applicable</w:t>
      </w:r>
      <w:r>
        <w:rPr>
          <w:sz w:val="24"/>
        </w:rPr>
        <w:t xml:space="preserve"> </w:t>
      </w:r>
      <w:r w:rsidRPr="00FD6236">
        <w:rPr>
          <w:sz w:val="24"/>
        </w:rPr>
        <w:t>interconnection agreement.</w:t>
      </w:r>
    </w:p>
    <w:p w:rsidR="00FD6236" w:rsidRPr="00FD6236" w:rsidRDefault="00FD6236" w:rsidP="00FD6236">
      <w:pPr>
        <w:tabs>
          <w:tab w:val="left" w:pos="-720"/>
        </w:tabs>
        <w:suppressAutoHyphens/>
        <w:ind w:left="720"/>
        <w:rPr>
          <w:sz w:val="24"/>
        </w:rPr>
      </w:pPr>
    </w:p>
    <w:p w:rsidR="00FD6236" w:rsidRDefault="00FD6236" w:rsidP="00811312">
      <w:pPr>
        <w:tabs>
          <w:tab w:val="left" w:pos="-720"/>
        </w:tabs>
        <w:suppressAutoHyphens/>
        <w:spacing w:line="480" w:lineRule="auto"/>
        <w:rPr>
          <w:sz w:val="24"/>
        </w:rPr>
      </w:pPr>
      <w:r>
        <w:rPr>
          <w:sz w:val="24"/>
          <w:u w:val="single"/>
        </w:rPr>
        <w:t>Id</w:t>
      </w:r>
      <w:r>
        <w:rPr>
          <w:sz w:val="24"/>
        </w:rPr>
        <w:t>., pp</w:t>
      </w:r>
      <w:r w:rsidR="00057A08">
        <w:rPr>
          <w:sz w:val="24"/>
        </w:rPr>
        <w:t>. 4-5.  It is noteworthy that the Commission recognized and enforced the interconnection agreement's dispute resolution provisions even in a case where order processing and the termination of service were at issue.  It is clear that similar dispute resolution provisions should also be recognized and enforced in a dispute over the appropriate resale discount to be applied to promotional offerings, as is the case here.</w:t>
      </w:r>
    </w:p>
    <w:p w:rsidR="00FD6236" w:rsidRDefault="00FD6236" w:rsidP="00811312">
      <w:pPr>
        <w:tabs>
          <w:tab w:val="left" w:pos="-720"/>
        </w:tabs>
        <w:suppressAutoHyphens/>
        <w:spacing w:line="480" w:lineRule="auto"/>
        <w:rPr>
          <w:sz w:val="24"/>
        </w:rPr>
      </w:pPr>
    </w:p>
    <w:p w:rsidR="00A71C6B" w:rsidRDefault="00A71C6B" w:rsidP="00811312">
      <w:pPr>
        <w:tabs>
          <w:tab w:val="left" w:pos="-720"/>
        </w:tabs>
        <w:suppressAutoHyphens/>
        <w:spacing w:line="480" w:lineRule="auto"/>
        <w:rPr>
          <w:sz w:val="24"/>
        </w:rPr>
      </w:pPr>
      <w:r>
        <w:rPr>
          <w:sz w:val="24"/>
        </w:rPr>
        <w:tab/>
      </w:r>
      <w:r>
        <w:rPr>
          <w:sz w:val="24"/>
        </w:rPr>
        <w:tab/>
        <w:t xml:space="preserve">In its third argument, Nexus essentially concedes the propriety of the dispute resolution process, but asks that it not extend more than 60 days.  </w:t>
      </w:r>
      <w:r>
        <w:rPr>
          <w:sz w:val="24"/>
          <w:u w:val="single"/>
        </w:rPr>
        <w:t>Id</w:t>
      </w:r>
      <w:r>
        <w:rPr>
          <w:sz w:val="24"/>
        </w:rPr>
        <w:t xml:space="preserve">., p. 6.  Given that Nexus has </w:t>
      </w:r>
      <w:r>
        <w:rPr>
          <w:sz w:val="24"/>
        </w:rPr>
        <w:lastRenderedPageBreak/>
        <w:t xml:space="preserve">put the case on hold of its own volition, that approach makes sense here.  The Commission should order that Nexus pursue the ICA's dispute resolution process, thus respecting the important precedent established in the </w:t>
      </w:r>
      <w:r w:rsidRPr="00E22F92">
        <w:rPr>
          <w:sz w:val="24"/>
          <w:u w:val="single"/>
        </w:rPr>
        <w:t>Revolution</w:t>
      </w:r>
      <w:r w:rsidR="00E22F92" w:rsidRPr="00E22F92">
        <w:rPr>
          <w:sz w:val="24"/>
          <w:u w:val="single"/>
        </w:rPr>
        <w:t xml:space="preserve"> Communications</w:t>
      </w:r>
      <w:r w:rsidRPr="00E22F92">
        <w:rPr>
          <w:sz w:val="24"/>
        </w:rPr>
        <w:t xml:space="preserve"> </w:t>
      </w:r>
      <w:r>
        <w:rPr>
          <w:sz w:val="24"/>
        </w:rPr>
        <w:t xml:space="preserve">case.  AT&amp;T Ohio does not object to a 60-day time limitation </w:t>
      </w:r>
      <w:r w:rsidR="00E22F92">
        <w:rPr>
          <w:sz w:val="24"/>
        </w:rPr>
        <w:t xml:space="preserve">on </w:t>
      </w:r>
      <w:r>
        <w:rPr>
          <w:sz w:val="24"/>
        </w:rPr>
        <w:t>that process.</w:t>
      </w:r>
    </w:p>
    <w:p w:rsidR="00A71C6B" w:rsidRPr="00A71C6B" w:rsidRDefault="00A71C6B" w:rsidP="00811312">
      <w:pPr>
        <w:tabs>
          <w:tab w:val="left" w:pos="-720"/>
        </w:tabs>
        <w:suppressAutoHyphens/>
        <w:spacing w:line="480" w:lineRule="auto"/>
        <w:rPr>
          <w:sz w:val="24"/>
        </w:rPr>
      </w:pPr>
    </w:p>
    <w:p w:rsidR="00057A08" w:rsidRDefault="00057A08" w:rsidP="00057A08">
      <w:pPr>
        <w:tabs>
          <w:tab w:val="left" w:pos="-720"/>
        </w:tabs>
        <w:suppressAutoHyphens/>
        <w:spacing w:line="480" w:lineRule="auto"/>
        <w:rPr>
          <w:sz w:val="24"/>
        </w:rPr>
      </w:pPr>
      <w:r>
        <w:rPr>
          <w:sz w:val="24"/>
        </w:rPr>
        <w:tab/>
      </w:r>
      <w:r>
        <w:rPr>
          <w:sz w:val="24"/>
        </w:rPr>
        <w:tab/>
        <w:t>For all of the foregoing reasons, AT&amp;T Ohio's motion to dismiss should be granted.</w:t>
      </w:r>
      <w:r w:rsidR="00A71C6B">
        <w:rPr>
          <w:sz w:val="24"/>
        </w:rPr>
        <w:t xml:space="preserve">  Alternatively, Nexus should be ordered to invoke and exhaust the ICA's dispute resolution provisions for a time period not to exceed 60 days before this case proceeds any further.</w:t>
      </w:r>
    </w:p>
    <w:p w:rsidR="00CE056C" w:rsidRDefault="00CE056C" w:rsidP="00057A08">
      <w:pPr>
        <w:tabs>
          <w:tab w:val="left" w:pos="-720"/>
        </w:tabs>
        <w:suppressAutoHyphens/>
        <w:spacing w:line="480" w:lineRule="auto"/>
        <w:rPr>
          <w:sz w:val="24"/>
        </w:rPr>
      </w:pPr>
    </w:p>
    <w:p w:rsidR="005701AA" w:rsidRDefault="005701AA" w:rsidP="00057A08">
      <w:pPr>
        <w:tabs>
          <w:tab w:val="left" w:pos="-720"/>
        </w:tabs>
        <w:suppressAutoHyphens/>
        <w:spacing w:line="480" w:lineRule="auto"/>
        <w:rPr>
          <w:sz w:val="24"/>
        </w:rPr>
      </w:pPr>
      <w:r>
        <w:rPr>
          <w:sz w:val="24"/>
        </w:rPr>
        <w:tab/>
      </w:r>
      <w:r>
        <w:rPr>
          <w:sz w:val="24"/>
        </w:rPr>
        <w:tab/>
      </w:r>
      <w:r>
        <w:rPr>
          <w:sz w:val="24"/>
        </w:rPr>
        <w:tab/>
      </w:r>
      <w:r>
        <w:rPr>
          <w:sz w:val="24"/>
        </w:rPr>
        <w:tab/>
      </w:r>
      <w:r>
        <w:rPr>
          <w:sz w:val="24"/>
        </w:rPr>
        <w:tab/>
      </w:r>
      <w:r>
        <w:rPr>
          <w:sz w:val="24"/>
        </w:rPr>
        <w:tab/>
      </w:r>
      <w:r>
        <w:rPr>
          <w:sz w:val="24"/>
        </w:rPr>
        <w:tab/>
        <w:t>Respectfully submitted,</w:t>
      </w: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AT&amp;T Ohio</w:t>
      </w:r>
    </w:p>
    <w:p w:rsidR="005701AA" w:rsidRDefault="005701AA" w:rsidP="005701AA">
      <w:pPr>
        <w:tabs>
          <w:tab w:val="left" w:pos="-720"/>
        </w:tabs>
        <w:suppressAutoHyphens/>
        <w:rPr>
          <w:sz w:val="24"/>
        </w:rPr>
      </w:pPr>
    </w:p>
    <w:p w:rsidR="005701AA" w:rsidRDefault="005701AA" w:rsidP="005701AA">
      <w:pPr>
        <w:tabs>
          <w:tab w:val="left" w:pos="-720"/>
        </w:tabs>
        <w:suppressAutoHyphens/>
        <w:rPr>
          <w:sz w:val="24"/>
        </w:rPr>
      </w:pP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t>By:</w:t>
      </w:r>
      <w:r>
        <w:rPr>
          <w:sz w:val="24"/>
        </w:rPr>
        <w:tab/>
        <w:t>_____</w:t>
      </w:r>
      <w:r w:rsidR="00A71C6B">
        <w:rPr>
          <w:sz w:val="24"/>
        </w:rPr>
        <w:t>___</w:t>
      </w:r>
      <w:r w:rsidR="00805CC2">
        <w:rPr>
          <w:sz w:val="24"/>
          <w:u w:val="single"/>
        </w:rPr>
        <w:t>/s/ Jon F. Kelly</w:t>
      </w:r>
      <w:r w:rsidR="00A71C6B">
        <w:rPr>
          <w:sz w:val="24"/>
        </w:rPr>
        <w:t>__</w:t>
      </w:r>
      <w:r w:rsidR="00805CC2">
        <w:rPr>
          <w:sz w:val="24"/>
        </w:rPr>
        <w:t>_____</w:t>
      </w:r>
      <w:r w:rsidR="00A71C6B">
        <w:rPr>
          <w:sz w:val="24"/>
        </w:rPr>
        <w:t>___</w:t>
      </w:r>
      <w:r>
        <w:rPr>
          <w:sz w:val="24"/>
        </w:rPr>
        <w:t>_____</w:t>
      </w: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Jon F. Kelly</w:t>
      </w:r>
    </w:p>
    <w:p w:rsidR="002D2462"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2D2462">
        <w:rPr>
          <w:sz w:val="24"/>
        </w:rPr>
        <w:t>Mary Ryan Fenlon</w:t>
      </w:r>
    </w:p>
    <w:p w:rsidR="005701AA" w:rsidRDefault="002D2462"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5701AA">
        <w:rPr>
          <w:sz w:val="24"/>
        </w:rPr>
        <w:t>AT&amp;T Services, Inc.</w:t>
      </w: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150 E. Gay St., Room 4-A</w:t>
      </w: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Columbus, Ohio 43215</w:t>
      </w:r>
    </w:p>
    <w:p w:rsidR="005701AA" w:rsidRDefault="005701AA" w:rsidP="005701AA">
      <w:pPr>
        <w:tabs>
          <w:tab w:val="left" w:pos="-720"/>
        </w:tabs>
        <w:suppressAutoHyphens/>
        <w:rPr>
          <w:sz w:val="24"/>
        </w:rPr>
      </w:pP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223-7928</w:t>
      </w:r>
    </w:p>
    <w:p w:rsidR="005701AA" w:rsidRDefault="005701AA" w:rsidP="005701AA">
      <w:pPr>
        <w:tabs>
          <w:tab w:val="left" w:pos="-720"/>
        </w:tabs>
        <w:suppressAutoHyphens/>
        <w:rPr>
          <w:sz w:val="24"/>
        </w:rPr>
      </w:pP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Its Attorney</w:t>
      </w:r>
      <w:r w:rsidR="002D2462">
        <w:rPr>
          <w:sz w:val="24"/>
        </w:rPr>
        <w:t>s</w:t>
      </w:r>
    </w:p>
    <w:p w:rsidR="005701AA" w:rsidRDefault="005701AA">
      <w:pPr>
        <w:tabs>
          <w:tab w:val="left" w:pos="-720"/>
        </w:tabs>
        <w:suppressAutoHyphens/>
        <w:spacing w:line="480" w:lineRule="auto"/>
        <w:rPr>
          <w:sz w:val="24"/>
        </w:rPr>
      </w:pPr>
    </w:p>
    <w:p w:rsidR="00057A08" w:rsidRPr="002447B9" w:rsidRDefault="002447B9">
      <w:pPr>
        <w:tabs>
          <w:tab w:val="left" w:pos="-720"/>
        </w:tabs>
        <w:suppressAutoHyphens/>
        <w:spacing w:line="480" w:lineRule="auto"/>
        <w:rPr>
          <w:sz w:val="16"/>
          <w:szCs w:val="16"/>
        </w:rPr>
      </w:pPr>
      <w:r w:rsidRPr="002447B9">
        <w:rPr>
          <w:sz w:val="16"/>
          <w:szCs w:val="16"/>
        </w:rPr>
        <w:t>10-2518.reply.</w:t>
      </w:r>
      <w:r w:rsidR="00A71C6B">
        <w:rPr>
          <w:sz w:val="16"/>
          <w:szCs w:val="16"/>
        </w:rPr>
        <w:t>3-1</w:t>
      </w:r>
      <w:r w:rsidR="00805CC2">
        <w:rPr>
          <w:sz w:val="16"/>
          <w:szCs w:val="16"/>
        </w:rPr>
        <w:t>6</w:t>
      </w:r>
      <w:r w:rsidR="00A71C6B">
        <w:rPr>
          <w:sz w:val="16"/>
          <w:szCs w:val="16"/>
        </w:rPr>
        <w:t>-11.</w:t>
      </w:r>
      <w:r w:rsidRPr="002447B9">
        <w:rPr>
          <w:sz w:val="16"/>
          <w:szCs w:val="16"/>
        </w:rPr>
        <w:t>docx</w:t>
      </w:r>
    </w:p>
    <w:sectPr w:rsidR="00057A08" w:rsidRPr="002447B9" w:rsidSect="001D0B09">
      <w:footerReference w:type="default" r:id="rId7"/>
      <w:pgSz w:w="12240" w:h="15840" w:code="1"/>
      <w:pgMar w:top="1440" w:right="1440" w:bottom="1440" w:left="1440"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FA9" w:rsidRDefault="002B5FA9">
      <w:r>
        <w:separator/>
      </w:r>
    </w:p>
  </w:endnote>
  <w:endnote w:type="continuationSeparator" w:id="0">
    <w:p w:rsidR="002B5FA9" w:rsidRDefault="002B5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63266"/>
      <w:docPartObj>
        <w:docPartGallery w:val="Page Numbers (Bottom of Page)"/>
        <w:docPartUnique/>
      </w:docPartObj>
    </w:sdtPr>
    <w:sdtEndPr>
      <w:rPr>
        <w:sz w:val="24"/>
        <w:szCs w:val="24"/>
      </w:rPr>
    </w:sdtEndPr>
    <w:sdtContent>
      <w:p w:rsidR="004C30DE" w:rsidRPr="00825005" w:rsidRDefault="001860B5">
        <w:pPr>
          <w:pStyle w:val="Footer"/>
          <w:jc w:val="center"/>
          <w:rPr>
            <w:sz w:val="24"/>
            <w:szCs w:val="24"/>
          </w:rPr>
        </w:pPr>
        <w:r w:rsidRPr="00825005">
          <w:rPr>
            <w:sz w:val="24"/>
            <w:szCs w:val="24"/>
          </w:rPr>
          <w:fldChar w:fldCharType="begin"/>
        </w:r>
        <w:r w:rsidR="004C30DE" w:rsidRPr="00825005">
          <w:rPr>
            <w:sz w:val="24"/>
            <w:szCs w:val="24"/>
          </w:rPr>
          <w:instrText xml:space="preserve"> PAGE   \* MERGEFORMAT </w:instrText>
        </w:r>
        <w:r w:rsidRPr="00825005">
          <w:rPr>
            <w:sz w:val="24"/>
            <w:szCs w:val="24"/>
          </w:rPr>
          <w:fldChar w:fldCharType="separate"/>
        </w:r>
        <w:r w:rsidR="00783B33">
          <w:rPr>
            <w:noProof/>
            <w:sz w:val="24"/>
            <w:szCs w:val="24"/>
          </w:rPr>
          <w:t>4</w:t>
        </w:r>
        <w:r w:rsidRPr="00825005">
          <w:rPr>
            <w:sz w:val="24"/>
            <w:szCs w:val="24"/>
          </w:rPr>
          <w:fldChar w:fldCharType="end"/>
        </w:r>
      </w:p>
    </w:sdtContent>
  </w:sdt>
  <w:p w:rsidR="004C30DE" w:rsidRDefault="004C30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FA9" w:rsidRDefault="002B5FA9">
      <w:r>
        <w:separator/>
      </w:r>
    </w:p>
  </w:footnote>
  <w:footnote w:type="continuationSeparator" w:id="0">
    <w:p w:rsidR="002B5FA9" w:rsidRDefault="002B5FA9">
      <w:r>
        <w:continuationSeparator/>
      </w:r>
    </w:p>
  </w:footnote>
  <w:footnote w:id="1">
    <w:p w:rsidR="00CC3F48" w:rsidRDefault="00CC3F48">
      <w:pPr>
        <w:pStyle w:val="FootnoteText"/>
      </w:pPr>
      <w:r>
        <w:rPr>
          <w:rStyle w:val="FootnoteReference"/>
        </w:rPr>
        <w:footnoteRef/>
      </w:r>
      <w:r>
        <w:t xml:space="preserve"> AT&amp;T Ohio incorporates by reference, to the extent it is relevant, its previous reply filed on December 20, 2010.</w:t>
      </w:r>
    </w:p>
  </w:footnote>
  <w:footnote w:id="2">
    <w:p w:rsidR="00CC3F48" w:rsidRDefault="00CC3F48">
      <w:pPr>
        <w:pStyle w:val="FootnoteText"/>
      </w:pPr>
      <w:r>
        <w:rPr>
          <w:rStyle w:val="FootnoteReference"/>
        </w:rPr>
        <w:footnoteRef/>
      </w:r>
      <w:r>
        <w:t xml:space="preserve"> Nexus' Responses to Respondent's First Set of Interrogatories and First Requests for Production of Documents, Response to Interrogatory No. 4, March 7,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Pr>
  <w:endnotePr>
    <w:endnote w:id="-1"/>
    <w:endnote w:id="0"/>
  </w:endnotePr>
  <w:compat/>
  <w:rsids>
    <w:rsidRoot w:val="00462CA4"/>
    <w:rsid w:val="00013CDF"/>
    <w:rsid w:val="000529DF"/>
    <w:rsid w:val="00057A08"/>
    <w:rsid w:val="00090B7A"/>
    <w:rsid w:val="000C3D14"/>
    <w:rsid w:val="000C6BA0"/>
    <w:rsid w:val="0012440A"/>
    <w:rsid w:val="001334EC"/>
    <w:rsid w:val="00137EC3"/>
    <w:rsid w:val="00150905"/>
    <w:rsid w:val="00150C50"/>
    <w:rsid w:val="001860B5"/>
    <w:rsid w:val="001B010C"/>
    <w:rsid w:val="001D0B09"/>
    <w:rsid w:val="001F3C29"/>
    <w:rsid w:val="00213EDB"/>
    <w:rsid w:val="00217EAF"/>
    <w:rsid w:val="002219CB"/>
    <w:rsid w:val="002332B8"/>
    <w:rsid w:val="002447B9"/>
    <w:rsid w:val="00277AC9"/>
    <w:rsid w:val="00280D14"/>
    <w:rsid w:val="002B367B"/>
    <w:rsid w:val="002B5FA9"/>
    <w:rsid w:val="002C70BF"/>
    <w:rsid w:val="002D2462"/>
    <w:rsid w:val="002D55BE"/>
    <w:rsid w:val="00313471"/>
    <w:rsid w:val="00323695"/>
    <w:rsid w:val="00352169"/>
    <w:rsid w:val="00360E31"/>
    <w:rsid w:val="003A6B9B"/>
    <w:rsid w:val="003C0DB7"/>
    <w:rsid w:val="003C4F8F"/>
    <w:rsid w:val="003D2D4C"/>
    <w:rsid w:val="003F5504"/>
    <w:rsid w:val="00443721"/>
    <w:rsid w:val="00462CA4"/>
    <w:rsid w:val="00463C0C"/>
    <w:rsid w:val="004C30DE"/>
    <w:rsid w:val="00506A03"/>
    <w:rsid w:val="0054285A"/>
    <w:rsid w:val="005447EB"/>
    <w:rsid w:val="0055492B"/>
    <w:rsid w:val="005579E5"/>
    <w:rsid w:val="005701AA"/>
    <w:rsid w:val="00595A10"/>
    <w:rsid w:val="005B68FF"/>
    <w:rsid w:val="005C6093"/>
    <w:rsid w:val="006039E1"/>
    <w:rsid w:val="0066335A"/>
    <w:rsid w:val="00672422"/>
    <w:rsid w:val="006823B9"/>
    <w:rsid w:val="00690FBB"/>
    <w:rsid w:val="006C6116"/>
    <w:rsid w:val="00716CA8"/>
    <w:rsid w:val="007811F5"/>
    <w:rsid w:val="00783B33"/>
    <w:rsid w:val="00792EEA"/>
    <w:rsid w:val="007952D4"/>
    <w:rsid w:val="00796115"/>
    <w:rsid w:val="0079730B"/>
    <w:rsid w:val="007A5BD6"/>
    <w:rsid w:val="007D13C0"/>
    <w:rsid w:val="007F305C"/>
    <w:rsid w:val="00805CC2"/>
    <w:rsid w:val="00811312"/>
    <w:rsid w:val="0081482E"/>
    <w:rsid w:val="00825005"/>
    <w:rsid w:val="008654B3"/>
    <w:rsid w:val="008674C0"/>
    <w:rsid w:val="00870242"/>
    <w:rsid w:val="008710C5"/>
    <w:rsid w:val="008C4748"/>
    <w:rsid w:val="008D090F"/>
    <w:rsid w:val="00930F9C"/>
    <w:rsid w:val="0094492C"/>
    <w:rsid w:val="009469D4"/>
    <w:rsid w:val="00947AAC"/>
    <w:rsid w:val="009745B3"/>
    <w:rsid w:val="00974AA9"/>
    <w:rsid w:val="0098084E"/>
    <w:rsid w:val="00986059"/>
    <w:rsid w:val="009912BB"/>
    <w:rsid w:val="009E6B02"/>
    <w:rsid w:val="00A71C6B"/>
    <w:rsid w:val="00A810AE"/>
    <w:rsid w:val="00AC0116"/>
    <w:rsid w:val="00AC122C"/>
    <w:rsid w:val="00AE16FC"/>
    <w:rsid w:val="00B00ACE"/>
    <w:rsid w:val="00B469B1"/>
    <w:rsid w:val="00B47EB7"/>
    <w:rsid w:val="00B70DBA"/>
    <w:rsid w:val="00BC2BC0"/>
    <w:rsid w:val="00BF113E"/>
    <w:rsid w:val="00BF17EE"/>
    <w:rsid w:val="00C8594A"/>
    <w:rsid w:val="00CC3F48"/>
    <w:rsid w:val="00CC58D4"/>
    <w:rsid w:val="00CE056C"/>
    <w:rsid w:val="00D02EEF"/>
    <w:rsid w:val="00D41C0F"/>
    <w:rsid w:val="00D6426A"/>
    <w:rsid w:val="00DA4682"/>
    <w:rsid w:val="00DE30B0"/>
    <w:rsid w:val="00E22F92"/>
    <w:rsid w:val="00EA4DEB"/>
    <w:rsid w:val="00EA72EA"/>
    <w:rsid w:val="00EE3EBA"/>
    <w:rsid w:val="00EF25A3"/>
    <w:rsid w:val="00F07763"/>
    <w:rsid w:val="00F63134"/>
    <w:rsid w:val="00F747D8"/>
    <w:rsid w:val="00F80768"/>
    <w:rsid w:val="00F96FF5"/>
    <w:rsid w:val="00FA2181"/>
    <w:rsid w:val="00FD6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B09"/>
  </w:style>
  <w:style w:type="paragraph" w:styleId="Heading1">
    <w:name w:val="heading 1"/>
    <w:basedOn w:val="Normal"/>
    <w:next w:val="Normal"/>
    <w:qFormat/>
    <w:rsid w:val="001D0B09"/>
    <w:pPr>
      <w:keepNext/>
      <w:tabs>
        <w:tab w:val="left" w:pos="-720"/>
      </w:tabs>
      <w:suppressAutoHyphen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0B09"/>
    <w:pPr>
      <w:tabs>
        <w:tab w:val="center" w:pos="4320"/>
        <w:tab w:val="right" w:pos="8640"/>
      </w:tabs>
    </w:pPr>
  </w:style>
  <w:style w:type="paragraph" w:styleId="Footer">
    <w:name w:val="footer"/>
    <w:basedOn w:val="Normal"/>
    <w:link w:val="FooterChar"/>
    <w:uiPriority w:val="99"/>
    <w:rsid w:val="001D0B09"/>
    <w:pPr>
      <w:tabs>
        <w:tab w:val="center" w:pos="4320"/>
        <w:tab w:val="right" w:pos="8640"/>
      </w:tabs>
    </w:pPr>
  </w:style>
  <w:style w:type="character" w:styleId="Hyperlink">
    <w:name w:val="Hyperlink"/>
    <w:basedOn w:val="DefaultParagraphFont"/>
    <w:rsid w:val="001D0B09"/>
    <w:rPr>
      <w:color w:val="0000FF"/>
      <w:u w:val="single"/>
    </w:rPr>
  </w:style>
  <w:style w:type="paragraph" w:styleId="FootnoteText">
    <w:name w:val="footnote text"/>
    <w:basedOn w:val="Normal"/>
    <w:semiHidden/>
    <w:rsid w:val="001D0B09"/>
  </w:style>
  <w:style w:type="character" w:styleId="FootnoteReference">
    <w:name w:val="footnote reference"/>
    <w:basedOn w:val="DefaultParagraphFont"/>
    <w:semiHidden/>
    <w:rsid w:val="001D0B09"/>
    <w:rPr>
      <w:vertAlign w:val="superscript"/>
    </w:rPr>
  </w:style>
  <w:style w:type="paragraph" w:styleId="BalloonText">
    <w:name w:val="Balloon Text"/>
    <w:basedOn w:val="Normal"/>
    <w:semiHidden/>
    <w:rsid w:val="00690FBB"/>
    <w:rPr>
      <w:rFonts w:ascii="Tahoma" w:hAnsi="Tahoma" w:cs="Tahoma"/>
      <w:sz w:val="16"/>
      <w:szCs w:val="16"/>
    </w:rPr>
  </w:style>
  <w:style w:type="character" w:customStyle="1" w:styleId="FooterChar">
    <w:name w:val="Footer Char"/>
    <w:basedOn w:val="DefaultParagraphFont"/>
    <w:link w:val="Footer"/>
    <w:uiPriority w:val="99"/>
    <w:rsid w:val="00825005"/>
  </w:style>
  <w:style w:type="character" w:styleId="FollowedHyperlink">
    <w:name w:val="FollowedHyperlink"/>
    <w:basedOn w:val="DefaultParagraphFont"/>
    <w:rsid w:val="007973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614B-7C4A-403E-A4DD-45B03289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5071</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2009-05-14T17:54:00Z</cp:lastPrinted>
  <dcterms:created xsi:type="dcterms:W3CDTF">2011-03-16T19:21:00Z</dcterms:created>
  <dcterms:modified xsi:type="dcterms:W3CDTF">2011-03-16T19:21:00Z</dcterms:modified>
</cp:coreProperties>
</file>