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9769C4" w:rsidRPr="009D4B8D" w:rsidP="00110D52">
      <w:pPr>
        <w:pStyle w:val="BodyA"/>
        <w:ind w:left="4320" w:firstLine="720"/>
        <w:jc w:val="right"/>
        <w:rPr>
          <w:rFonts w:hAnsi="Times New Roman" w:cs="Times New Roman"/>
          <w:b/>
          <w:bCs/>
          <w:i/>
          <w:iCs/>
        </w:rPr>
      </w:pPr>
      <w:bookmarkStart w:id="0" w:name="_GoBack"/>
      <w:bookmarkEnd w:id="0"/>
      <w:r w:rsidRPr="009D4B8D">
        <w:rPr>
          <w:rFonts w:hAnsi="Times New Roman" w:cs="Times New Roman"/>
          <w:b/>
          <w:bCs/>
          <w:i/>
          <w:iCs/>
        </w:rPr>
        <w:t>OCC EXHIBIT NO. ______</w:t>
      </w:r>
    </w:p>
    <w:p w:rsidR="0090014E" w:rsidRPr="009D4B8D">
      <w:pPr>
        <w:pStyle w:val="BodyA"/>
        <w:jc w:val="center"/>
        <w:rPr>
          <w:rFonts w:hAnsi="Times New Roman" w:cs="Times New Roman"/>
          <w:b/>
          <w:bCs/>
        </w:rPr>
      </w:pPr>
    </w:p>
    <w:p w:rsidR="009769C4" w:rsidRPr="009D4B8D">
      <w:pPr>
        <w:pStyle w:val="BodyA"/>
        <w:jc w:val="center"/>
        <w:rPr>
          <w:rFonts w:hAnsi="Times New Roman" w:cs="Times New Roman"/>
          <w:b/>
          <w:bCs/>
        </w:rPr>
      </w:pPr>
      <w:r w:rsidRPr="009D4B8D">
        <w:rPr>
          <w:rFonts w:hAnsi="Times New Roman" w:cs="Times New Roman"/>
          <w:b/>
          <w:bCs/>
        </w:rPr>
        <w:t>BEFORE</w:t>
      </w:r>
    </w:p>
    <w:p w:rsidR="009769C4" w:rsidRPr="009D4B8D">
      <w:pPr>
        <w:pStyle w:val="BodyA"/>
        <w:jc w:val="center"/>
        <w:rPr>
          <w:rFonts w:hAnsi="Times New Roman" w:cs="Times New Roman"/>
          <w:b/>
          <w:bCs/>
        </w:rPr>
      </w:pPr>
      <w:r w:rsidRPr="009D4B8D">
        <w:rPr>
          <w:rFonts w:hAnsi="Times New Roman" w:cs="Times New Roman"/>
          <w:b/>
          <w:bCs/>
        </w:rPr>
        <w:t>THE PUBLIC UTILITIES COMMISSION OF OHIO</w:t>
      </w:r>
    </w:p>
    <w:p w:rsidR="009769C4" w:rsidRPr="009D4B8D">
      <w:pPr>
        <w:pStyle w:val="BodyA"/>
        <w:jc w:val="center"/>
        <w:rPr>
          <w:rFonts w:hAnsi="Times New Roman" w:cs="Times New Roman"/>
          <w:b/>
          <w:bCs/>
        </w:rPr>
      </w:pPr>
    </w:p>
    <w:tbl>
      <w:tblPr>
        <w:tblW w:w="9498"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108" w:type="dxa"/>
          <w:bottom w:w="0" w:type="dxa"/>
          <w:right w:w="108" w:type="dxa"/>
        </w:tblCellMar>
        <w:tblLook w:val="04A0"/>
      </w:tblPr>
      <w:tblGrid>
        <w:gridCol w:w="4659"/>
        <w:gridCol w:w="369"/>
        <w:gridCol w:w="4470"/>
      </w:tblGrid>
      <w:tr w:rsidTr="00EE7916">
        <w:tblPrEx>
          <w:tblW w:w="9498"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108" w:type="dxa"/>
            <w:bottom w:w="0" w:type="dxa"/>
            <w:right w:w="108" w:type="dxa"/>
          </w:tblCellMar>
          <w:tblLook w:val="04A0"/>
        </w:tblPrEx>
        <w:trPr>
          <w:trHeight w:val="973"/>
          <w:jc w:val="center"/>
        </w:trPr>
        <w:tc>
          <w:tcPr>
            <w:tcW w:w="4659" w:type="dxa"/>
            <w:tcBorders>
              <w:top w:val="nil"/>
              <w:left w:val="nil"/>
              <w:bottom w:val="nil"/>
              <w:right w:val="nil"/>
            </w:tcBorders>
            <w:shd w:val="clear" w:color="auto" w:fill="auto"/>
            <w:tcMar>
              <w:top w:w="80" w:type="dxa"/>
              <w:left w:w="80" w:type="dxa"/>
              <w:bottom w:w="80" w:type="dxa"/>
              <w:right w:w="80" w:type="dxa"/>
            </w:tcMar>
          </w:tcPr>
          <w:p w:rsidR="00C75201" w:rsidRPr="009D4B8D" w:rsidP="00C75201">
            <w:pPr>
              <w:pStyle w:val="BodyA"/>
              <w:contextualSpacing/>
              <w:rPr>
                <w:rStyle w:val="DefaultParagraphFont"/>
                <w:rFonts w:eastAsia="Arial Unicode MS" w:hAnsi="Times New Roman" w:cs="Times New Roman"/>
                <w:color w:val="000000"/>
                <w:sz w:val="24"/>
                <w:szCs w:val="24"/>
                <w:u w:color="000000"/>
                <w:bdr w:val="nil"/>
                <w:lang w:val="en-US" w:eastAsia="en-US" w:bidi="ar-SA"/>
              </w:rPr>
            </w:pPr>
            <w:r w:rsidRPr="009D4B8D">
              <w:rPr>
                <w:rFonts w:eastAsia="Arial Unicode MS" w:hAnsi="Times New Roman" w:cs="Times New Roman"/>
                <w:color w:val="000000"/>
                <w:sz w:val="24"/>
                <w:szCs w:val="24"/>
                <w:u w:color="000000"/>
                <w:bdr w:val="nil"/>
                <w:lang w:val="en-US" w:eastAsia="en-US" w:bidi="ar-SA"/>
              </w:rPr>
              <w:t>In the Matter of the Application of The Dayton Power and Light Company for Approva</w:t>
            </w:r>
            <w:r>
              <w:rPr>
                <w:rFonts w:eastAsia="Arial Unicode MS" w:hAnsi="Times New Roman" w:cs="Times New Roman"/>
                <w:color w:val="000000"/>
                <w:sz w:val="24"/>
                <w:szCs w:val="24"/>
                <w:u w:color="000000"/>
                <w:bdr w:val="nil"/>
                <w:lang w:val="en-US" w:eastAsia="en-US" w:bidi="ar-SA"/>
              </w:rPr>
              <w:t>l of Its Electric Security Plan.</w:t>
            </w:r>
          </w:p>
        </w:tc>
        <w:tc>
          <w:tcPr>
            <w:tcW w:w="369" w:type="dxa"/>
            <w:tcBorders>
              <w:top w:val="nil"/>
              <w:left w:val="nil"/>
              <w:bottom w:val="nil"/>
              <w:right w:val="nil"/>
            </w:tcBorders>
            <w:shd w:val="clear" w:color="auto" w:fill="auto"/>
            <w:tcMar>
              <w:top w:w="80" w:type="dxa"/>
              <w:left w:w="80" w:type="dxa"/>
              <w:bottom w:w="80" w:type="dxa"/>
              <w:right w:w="80" w:type="dxa"/>
            </w:tcMar>
          </w:tcPr>
          <w:p w:rsidR="00C75201" w:rsidRPr="009D4B8D" w:rsidP="009D7414">
            <w:pPr>
              <w:pStyle w:val="BodyA"/>
              <w:jc w:val="center"/>
              <w:rPr>
                <w:rStyle w:val="DefaultParagraphFont"/>
                <w:rFonts w:eastAsia="Arial Unicode MS" w:hAnsi="Times New Roman" w:cs="Times New Roman"/>
                <w:color w:val="000000"/>
                <w:sz w:val="24"/>
                <w:szCs w:val="24"/>
                <w:u w:color="000000"/>
                <w:bdr w:val="nil"/>
                <w:lang w:val="en-US" w:eastAsia="en-US" w:bidi="ar-SA"/>
              </w:rPr>
            </w:pPr>
            <w:r w:rsidRPr="009D4B8D">
              <w:rPr>
                <w:rFonts w:eastAsia="Arial Unicode MS" w:hAnsi="Times New Roman" w:cs="Times New Roman"/>
                <w:color w:val="000000"/>
                <w:sz w:val="24"/>
                <w:szCs w:val="24"/>
                <w:u w:color="000000"/>
                <w:bdr w:val="nil"/>
                <w:lang w:val="en-US" w:eastAsia="en-US" w:bidi="ar-SA"/>
              </w:rPr>
              <w:t>)</w:t>
            </w:r>
          </w:p>
          <w:p w:rsidR="00C75201" w:rsidRPr="009D4B8D" w:rsidP="009D7414">
            <w:pPr>
              <w:pStyle w:val="BodyA"/>
              <w:jc w:val="center"/>
              <w:rPr>
                <w:rStyle w:val="DefaultParagraphFont"/>
                <w:rFonts w:eastAsia="Arial Unicode MS" w:hAnsi="Times New Roman" w:cs="Times New Roman"/>
                <w:color w:val="000000"/>
                <w:sz w:val="24"/>
                <w:szCs w:val="24"/>
                <w:u w:color="000000"/>
                <w:bdr w:val="nil"/>
                <w:lang w:val="en-US" w:eastAsia="en-US" w:bidi="ar-SA"/>
              </w:rPr>
            </w:pPr>
            <w:r w:rsidRPr="009D4B8D">
              <w:rPr>
                <w:rFonts w:eastAsia="Arial Unicode MS" w:hAnsi="Times New Roman" w:cs="Times New Roman"/>
                <w:color w:val="000000"/>
                <w:sz w:val="24"/>
                <w:szCs w:val="24"/>
                <w:u w:color="000000"/>
                <w:bdr w:val="nil"/>
                <w:lang w:val="en-US" w:eastAsia="en-US" w:bidi="ar-SA"/>
              </w:rPr>
              <w:t>)</w:t>
            </w:r>
          </w:p>
          <w:p w:rsidR="00C75201" w:rsidRPr="009D4B8D" w:rsidP="004B554E">
            <w:pPr>
              <w:pStyle w:val="BodyA"/>
              <w:jc w:val="center"/>
              <w:rPr>
                <w:rStyle w:val="DefaultParagraphFont"/>
                <w:rFonts w:eastAsia="Arial Unicode MS" w:hAnsi="Times New Roman" w:cs="Times New Roman"/>
                <w:color w:val="000000"/>
                <w:sz w:val="24"/>
                <w:szCs w:val="24"/>
                <w:u w:color="000000"/>
                <w:bdr w:val="nil"/>
                <w:lang w:val="en-US" w:eastAsia="en-US" w:bidi="ar-SA"/>
              </w:rPr>
            </w:pPr>
            <w:r w:rsidRPr="009D4B8D">
              <w:rPr>
                <w:rFonts w:eastAsia="Arial Unicode MS" w:hAnsi="Times New Roman" w:cs="Times New Roman"/>
                <w:color w:val="000000"/>
                <w:sz w:val="24"/>
                <w:szCs w:val="24"/>
                <w:u w:color="000000"/>
                <w:bdr w:val="nil"/>
                <w:lang w:val="en-US" w:eastAsia="en-US" w:bidi="ar-SA"/>
              </w:rPr>
              <w:t>)</w:t>
            </w:r>
          </w:p>
        </w:tc>
        <w:tc>
          <w:tcPr>
            <w:tcW w:w="4470" w:type="dxa"/>
            <w:tcBorders>
              <w:top w:val="nil"/>
              <w:left w:val="nil"/>
              <w:bottom w:val="nil"/>
              <w:right w:val="nil"/>
            </w:tcBorders>
            <w:shd w:val="clear" w:color="auto" w:fill="auto"/>
            <w:tcMar>
              <w:top w:w="80" w:type="dxa"/>
              <w:left w:w="80" w:type="dxa"/>
              <w:bottom w:w="80" w:type="dxa"/>
              <w:right w:w="80" w:type="dxa"/>
            </w:tcMar>
          </w:tcPr>
          <w:p w:rsidR="00C75201" w:rsidRPr="009D4B8D" w:rsidP="009D7414">
            <w:pPr>
              <w:pStyle w:val="BodyA"/>
              <w:jc w:val="center"/>
              <w:rPr>
                <w:rStyle w:val="DefaultParagraphFont"/>
                <w:rFonts w:eastAsia="Arial Unicode MS" w:hAnsi="Times New Roman" w:cs="Times New Roman"/>
                <w:color w:val="000000"/>
                <w:sz w:val="24"/>
                <w:szCs w:val="24"/>
                <w:u w:color="000000"/>
                <w:bdr w:val="nil"/>
                <w:lang w:val="en-US" w:eastAsia="en-US" w:bidi="ar-SA"/>
              </w:rPr>
            </w:pPr>
          </w:p>
          <w:p w:rsidR="00C75201" w:rsidRPr="009D4B8D" w:rsidP="00EE7916">
            <w:pPr>
              <w:pStyle w:val="BodyA"/>
              <w:rPr>
                <w:rStyle w:val="DefaultParagraphFont"/>
                <w:rFonts w:eastAsia="Arial Unicode MS" w:hAnsi="Times New Roman" w:cs="Times New Roman"/>
                <w:color w:val="000000"/>
                <w:sz w:val="24"/>
                <w:szCs w:val="24"/>
                <w:u w:color="000000"/>
                <w:bdr w:val="nil"/>
                <w:lang w:val="en-US" w:eastAsia="en-US" w:bidi="ar-SA"/>
              </w:rPr>
            </w:pPr>
            <w:r w:rsidRPr="009D4B8D">
              <w:rPr>
                <w:rFonts w:eastAsia="Arial Unicode MS" w:hAnsi="Times New Roman" w:cs="Times New Roman"/>
                <w:color w:val="000000"/>
                <w:sz w:val="24"/>
                <w:szCs w:val="24"/>
                <w:u w:color="000000"/>
                <w:bdr w:val="nil"/>
                <w:lang w:val="en-US" w:eastAsia="en-US" w:bidi="ar-SA"/>
              </w:rPr>
              <w:t>Case No. 16-0395-EL-SSO</w:t>
            </w:r>
          </w:p>
        </w:tc>
      </w:tr>
      <w:tr w:rsidTr="004B554E">
        <w:tblPrEx>
          <w:tblW w:w="9498" w:type="dxa"/>
          <w:jc w:val="center"/>
          <w:tblInd w:w="0" w:type="dxa"/>
          <w:tblLayout w:type="fixed"/>
          <w:tblCellMar>
            <w:top w:w="0" w:type="dxa"/>
            <w:left w:w="108" w:type="dxa"/>
            <w:bottom w:w="0" w:type="dxa"/>
            <w:right w:w="108" w:type="dxa"/>
          </w:tblCellMar>
          <w:tblLook w:val="04A0"/>
        </w:tblPrEx>
        <w:trPr>
          <w:trHeight w:val="1018"/>
          <w:jc w:val="center"/>
        </w:trPr>
        <w:tc>
          <w:tcPr>
            <w:tcW w:w="4659" w:type="dxa"/>
            <w:tcBorders>
              <w:top w:val="nil"/>
              <w:left w:val="nil"/>
              <w:bottom w:val="nil"/>
              <w:right w:val="nil"/>
            </w:tcBorders>
            <w:shd w:val="clear" w:color="auto" w:fill="auto"/>
            <w:tcMar>
              <w:top w:w="80" w:type="dxa"/>
              <w:left w:w="80" w:type="dxa"/>
              <w:bottom w:w="80" w:type="dxa"/>
              <w:right w:w="80" w:type="dxa"/>
            </w:tcMar>
          </w:tcPr>
          <w:p w:rsidR="00C75201" w:rsidRPr="009D4B8D" w:rsidP="00C75201">
            <w:pPr>
              <w:pStyle w:val="BodyA"/>
              <w:contextualSpacing/>
              <w:rPr>
                <w:rStyle w:val="DefaultParagraphFont"/>
                <w:rFonts w:eastAsia="Arial Unicode MS" w:hAnsi="Times New Roman" w:cs="Times New Roman"/>
                <w:color w:val="000000"/>
                <w:sz w:val="24"/>
                <w:szCs w:val="24"/>
                <w:u w:color="000000"/>
                <w:bdr w:val="nil"/>
                <w:lang w:val="en-US" w:eastAsia="en-US" w:bidi="ar-SA"/>
              </w:rPr>
            </w:pPr>
            <w:r w:rsidRPr="009D4B8D">
              <w:rPr>
                <w:rFonts w:eastAsia="Arial Unicode MS" w:hAnsi="Times New Roman" w:cs="Times New Roman"/>
                <w:color w:val="000000"/>
                <w:sz w:val="24"/>
                <w:szCs w:val="24"/>
                <w:u w:color="000000"/>
                <w:bdr w:val="nil"/>
                <w:lang w:val="en-US" w:eastAsia="en-US" w:bidi="ar-SA"/>
              </w:rPr>
              <w:t>In the Matter of the Application of The Dayton Power and Light Company for Approval of Revised Tariffs</w:t>
            </w:r>
            <w:r>
              <w:rPr>
                <w:rFonts w:eastAsia="Arial Unicode MS" w:hAnsi="Times New Roman" w:cs="Times New Roman"/>
                <w:color w:val="000000"/>
                <w:sz w:val="24"/>
                <w:szCs w:val="24"/>
                <w:u w:color="000000"/>
                <w:bdr w:val="nil"/>
                <w:lang w:val="en-US" w:eastAsia="en-US" w:bidi="ar-SA"/>
              </w:rPr>
              <w:t>.</w:t>
            </w:r>
          </w:p>
        </w:tc>
        <w:tc>
          <w:tcPr>
            <w:tcW w:w="369" w:type="dxa"/>
            <w:tcBorders>
              <w:top w:val="nil"/>
              <w:left w:val="nil"/>
              <w:bottom w:val="nil"/>
              <w:right w:val="nil"/>
            </w:tcBorders>
            <w:shd w:val="clear" w:color="auto" w:fill="auto"/>
            <w:tcMar>
              <w:top w:w="80" w:type="dxa"/>
              <w:left w:w="80" w:type="dxa"/>
              <w:bottom w:w="80" w:type="dxa"/>
              <w:right w:w="80" w:type="dxa"/>
            </w:tcMar>
          </w:tcPr>
          <w:p w:rsidR="00C75201" w:rsidRPr="009D4B8D" w:rsidP="009D7414">
            <w:pPr>
              <w:pStyle w:val="BodyA"/>
              <w:jc w:val="center"/>
              <w:rPr>
                <w:rStyle w:val="DefaultParagraphFont"/>
                <w:rFonts w:eastAsia="Arial Unicode MS" w:hAnsi="Times New Roman" w:cs="Times New Roman"/>
                <w:color w:val="000000"/>
                <w:sz w:val="24"/>
                <w:szCs w:val="24"/>
                <w:u w:color="000000"/>
                <w:bdr w:val="nil"/>
                <w:lang w:val="en-US" w:eastAsia="en-US" w:bidi="ar-SA"/>
              </w:rPr>
            </w:pPr>
            <w:r w:rsidRPr="009D4B8D">
              <w:rPr>
                <w:rFonts w:eastAsia="Arial Unicode MS" w:hAnsi="Times New Roman" w:cs="Times New Roman"/>
                <w:color w:val="000000"/>
                <w:sz w:val="24"/>
                <w:szCs w:val="24"/>
                <w:u w:color="000000"/>
                <w:bdr w:val="nil"/>
                <w:lang w:val="en-US" w:eastAsia="en-US" w:bidi="ar-SA"/>
              </w:rPr>
              <w:t>)</w:t>
            </w:r>
          </w:p>
          <w:p w:rsidR="00C75201" w:rsidRPr="009D4B8D" w:rsidP="009D7414">
            <w:pPr>
              <w:pStyle w:val="BodyA"/>
              <w:jc w:val="center"/>
              <w:rPr>
                <w:rStyle w:val="DefaultParagraphFont"/>
                <w:rFonts w:eastAsia="Arial Unicode MS" w:hAnsi="Times New Roman" w:cs="Times New Roman"/>
                <w:color w:val="000000"/>
                <w:sz w:val="24"/>
                <w:szCs w:val="24"/>
                <w:u w:color="000000"/>
                <w:bdr w:val="nil"/>
                <w:lang w:val="en-US" w:eastAsia="en-US" w:bidi="ar-SA"/>
              </w:rPr>
            </w:pPr>
            <w:r w:rsidRPr="009D4B8D">
              <w:rPr>
                <w:rFonts w:eastAsia="Arial Unicode MS" w:hAnsi="Times New Roman" w:cs="Times New Roman"/>
                <w:color w:val="000000"/>
                <w:sz w:val="24"/>
                <w:szCs w:val="24"/>
                <w:u w:color="000000"/>
                <w:bdr w:val="nil"/>
                <w:lang w:val="en-US" w:eastAsia="en-US" w:bidi="ar-SA"/>
              </w:rPr>
              <w:t>)</w:t>
            </w:r>
          </w:p>
          <w:p w:rsidR="00C75201" w:rsidRPr="009D4B8D" w:rsidP="004B554E">
            <w:pPr>
              <w:pStyle w:val="BodyA"/>
              <w:jc w:val="center"/>
              <w:rPr>
                <w:rStyle w:val="DefaultParagraphFont"/>
                <w:rFonts w:eastAsia="Arial Unicode MS" w:hAnsi="Times New Roman" w:cs="Times New Roman"/>
                <w:color w:val="000000"/>
                <w:sz w:val="24"/>
                <w:szCs w:val="24"/>
                <w:u w:color="000000"/>
                <w:bdr w:val="nil"/>
                <w:lang w:val="en-US" w:eastAsia="en-US" w:bidi="ar-SA"/>
              </w:rPr>
            </w:pPr>
            <w:r w:rsidRPr="009D4B8D">
              <w:rPr>
                <w:rFonts w:eastAsia="Arial Unicode MS" w:hAnsi="Times New Roman" w:cs="Times New Roman"/>
                <w:color w:val="000000"/>
                <w:sz w:val="24"/>
                <w:szCs w:val="24"/>
                <w:u w:color="000000"/>
                <w:bdr w:val="nil"/>
                <w:lang w:val="en-US" w:eastAsia="en-US" w:bidi="ar-SA"/>
              </w:rPr>
              <w:t>)</w:t>
            </w:r>
          </w:p>
        </w:tc>
        <w:tc>
          <w:tcPr>
            <w:tcW w:w="4470" w:type="dxa"/>
            <w:tcBorders>
              <w:top w:val="nil"/>
              <w:left w:val="nil"/>
              <w:bottom w:val="nil"/>
              <w:right w:val="nil"/>
            </w:tcBorders>
            <w:shd w:val="clear" w:color="auto" w:fill="auto"/>
            <w:tcMar>
              <w:top w:w="80" w:type="dxa"/>
              <w:left w:w="80" w:type="dxa"/>
              <w:bottom w:w="80" w:type="dxa"/>
              <w:right w:w="80" w:type="dxa"/>
            </w:tcMar>
          </w:tcPr>
          <w:p w:rsidR="00C75201" w:rsidRPr="009D4B8D" w:rsidP="009D7414">
            <w:pPr>
              <w:pStyle w:val="BodyA"/>
              <w:jc w:val="center"/>
              <w:rPr>
                <w:rStyle w:val="DefaultParagraphFont"/>
                <w:rFonts w:eastAsia="Arial Unicode MS" w:hAnsi="Times New Roman" w:cs="Times New Roman"/>
                <w:color w:val="000000"/>
                <w:sz w:val="24"/>
                <w:szCs w:val="24"/>
                <w:u w:color="000000"/>
                <w:bdr w:val="nil"/>
                <w:lang w:val="en-US" w:eastAsia="en-US" w:bidi="ar-SA"/>
              </w:rPr>
            </w:pPr>
          </w:p>
          <w:p w:rsidR="00C75201" w:rsidRPr="009D4B8D" w:rsidP="00C75201">
            <w:pPr>
              <w:pStyle w:val="BodyA"/>
              <w:rPr>
                <w:rStyle w:val="DefaultParagraphFont"/>
                <w:rFonts w:eastAsia="Arial Unicode MS" w:hAnsi="Times New Roman" w:cs="Times New Roman"/>
                <w:color w:val="000000"/>
                <w:sz w:val="24"/>
                <w:szCs w:val="24"/>
                <w:u w:color="000000"/>
                <w:bdr w:val="nil"/>
                <w:lang w:val="en-US" w:eastAsia="en-US" w:bidi="ar-SA"/>
              </w:rPr>
            </w:pPr>
            <w:r w:rsidRPr="009D4B8D">
              <w:rPr>
                <w:rFonts w:eastAsia="Arial Unicode MS" w:hAnsi="Times New Roman" w:cs="Times New Roman"/>
                <w:color w:val="000000"/>
                <w:sz w:val="24"/>
                <w:szCs w:val="24"/>
                <w:u w:color="000000"/>
                <w:bdr w:val="nil"/>
                <w:lang w:val="en-US" w:eastAsia="en-US" w:bidi="ar-SA"/>
              </w:rPr>
              <w:t>Case No. 16-0396-EL-ATA</w:t>
            </w:r>
          </w:p>
        </w:tc>
      </w:tr>
      <w:tr w:rsidTr="009D7414">
        <w:tblPrEx>
          <w:tblW w:w="9498" w:type="dxa"/>
          <w:jc w:val="center"/>
          <w:tblInd w:w="0" w:type="dxa"/>
          <w:tblLayout w:type="fixed"/>
          <w:tblCellMar>
            <w:top w:w="0" w:type="dxa"/>
            <w:left w:w="108" w:type="dxa"/>
            <w:bottom w:w="0" w:type="dxa"/>
            <w:right w:w="108" w:type="dxa"/>
          </w:tblCellMar>
          <w:tblLook w:val="04A0"/>
        </w:tblPrEx>
        <w:trPr>
          <w:trHeight w:val="1234"/>
          <w:jc w:val="center"/>
        </w:trPr>
        <w:tc>
          <w:tcPr>
            <w:tcW w:w="4659" w:type="dxa"/>
            <w:tcBorders>
              <w:top w:val="nil"/>
              <w:left w:val="nil"/>
              <w:bottom w:val="nil"/>
              <w:right w:val="nil"/>
            </w:tcBorders>
            <w:shd w:val="clear" w:color="auto" w:fill="auto"/>
            <w:tcMar>
              <w:top w:w="80" w:type="dxa"/>
              <w:left w:w="80" w:type="dxa"/>
              <w:bottom w:w="80" w:type="dxa"/>
              <w:right w:w="80" w:type="dxa"/>
            </w:tcMar>
          </w:tcPr>
          <w:p w:rsidR="00C75201" w:rsidRPr="009D4B8D" w:rsidP="00C75201">
            <w:pPr>
              <w:pStyle w:val="BodyA"/>
              <w:contextualSpacing/>
              <w:rPr>
                <w:rStyle w:val="DefaultParagraphFont"/>
                <w:rFonts w:eastAsia="Arial Unicode MS" w:hAnsi="Times New Roman" w:cs="Times New Roman"/>
                <w:color w:val="000000"/>
                <w:sz w:val="24"/>
                <w:szCs w:val="24"/>
                <w:u w:color="000000"/>
                <w:bdr w:val="nil"/>
                <w:lang w:val="en-US" w:eastAsia="en-US" w:bidi="ar-SA"/>
              </w:rPr>
            </w:pPr>
            <w:r w:rsidRPr="009D4B8D">
              <w:rPr>
                <w:rFonts w:eastAsia="Arial Unicode MS" w:hAnsi="Times New Roman" w:cs="Times New Roman"/>
                <w:color w:val="000000"/>
                <w:sz w:val="24"/>
                <w:szCs w:val="24"/>
                <w:u w:color="000000"/>
                <w:bdr w:val="nil"/>
                <w:lang w:val="en-US" w:eastAsia="en-US" w:bidi="ar-SA"/>
              </w:rPr>
              <w:t>In the Matter of the Application of The Dayton Power and Light Company for Approval of Certain Accounting Authority Purs</w:t>
            </w:r>
            <w:r>
              <w:rPr>
                <w:rFonts w:eastAsia="Arial Unicode MS" w:hAnsi="Times New Roman" w:cs="Times New Roman"/>
                <w:color w:val="000000"/>
                <w:sz w:val="24"/>
                <w:szCs w:val="24"/>
                <w:u w:color="000000"/>
                <w:bdr w:val="nil"/>
                <w:lang w:val="en-US" w:eastAsia="en-US" w:bidi="ar-SA"/>
              </w:rPr>
              <w:t>uant to Ohio Rev Code 4905.13.</w:t>
            </w:r>
          </w:p>
        </w:tc>
        <w:tc>
          <w:tcPr>
            <w:tcW w:w="369" w:type="dxa"/>
            <w:tcBorders>
              <w:top w:val="nil"/>
              <w:left w:val="nil"/>
              <w:bottom w:val="nil"/>
              <w:right w:val="nil"/>
            </w:tcBorders>
            <w:shd w:val="clear" w:color="auto" w:fill="auto"/>
            <w:tcMar>
              <w:top w:w="80" w:type="dxa"/>
              <w:left w:w="80" w:type="dxa"/>
              <w:bottom w:w="80" w:type="dxa"/>
              <w:right w:w="80" w:type="dxa"/>
            </w:tcMar>
          </w:tcPr>
          <w:p w:rsidR="00C75201" w:rsidRPr="009D4B8D" w:rsidP="009D7414">
            <w:pPr>
              <w:pStyle w:val="BodyA"/>
              <w:jc w:val="center"/>
              <w:rPr>
                <w:rStyle w:val="DefaultParagraphFont"/>
                <w:rFonts w:eastAsia="Arial Unicode MS" w:hAnsi="Times New Roman" w:cs="Times New Roman"/>
                <w:color w:val="000000"/>
                <w:sz w:val="24"/>
                <w:szCs w:val="24"/>
                <w:u w:color="000000"/>
                <w:bdr w:val="nil"/>
                <w:lang w:val="en-US" w:eastAsia="en-US" w:bidi="ar-SA"/>
              </w:rPr>
            </w:pPr>
            <w:r w:rsidRPr="009D4B8D">
              <w:rPr>
                <w:rFonts w:eastAsia="Arial Unicode MS" w:hAnsi="Times New Roman" w:cs="Times New Roman"/>
                <w:color w:val="000000"/>
                <w:sz w:val="24"/>
                <w:szCs w:val="24"/>
                <w:u w:color="000000"/>
                <w:bdr w:val="nil"/>
                <w:lang w:val="en-US" w:eastAsia="en-US" w:bidi="ar-SA"/>
              </w:rPr>
              <w:t>)</w:t>
            </w:r>
          </w:p>
          <w:p w:rsidR="00C75201" w:rsidRPr="009D4B8D" w:rsidP="009D7414">
            <w:pPr>
              <w:pStyle w:val="BodyA"/>
              <w:jc w:val="center"/>
              <w:rPr>
                <w:rStyle w:val="DefaultParagraphFont"/>
                <w:rFonts w:eastAsia="Arial Unicode MS" w:hAnsi="Times New Roman" w:cs="Times New Roman"/>
                <w:color w:val="000000"/>
                <w:sz w:val="24"/>
                <w:szCs w:val="24"/>
                <w:u w:color="000000"/>
                <w:bdr w:val="nil"/>
                <w:lang w:val="en-US" w:eastAsia="en-US" w:bidi="ar-SA"/>
              </w:rPr>
            </w:pPr>
            <w:r w:rsidRPr="009D4B8D">
              <w:rPr>
                <w:rFonts w:eastAsia="Arial Unicode MS" w:hAnsi="Times New Roman" w:cs="Times New Roman"/>
                <w:color w:val="000000"/>
                <w:sz w:val="24"/>
                <w:szCs w:val="24"/>
                <w:u w:color="000000"/>
                <w:bdr w:val="nil"/>
                <w:lang w:val="en-US" w:eastAsia="en-US" w:bidi="ar-SA"/>
              </w:rPr>
              <w:t>)</w:t>
            </w:r>
          </w:p>
          <w:p w:rsidR="00C75201" w:rsidRPr="009D4B8D" w:rsidP="009D7414">
            <w:pPr>
              <w:pStyle w:val="BodyA"/>
              <w:jc w:val="center"/>
              <w:rPr>
                <w:rStyle w:val="DefaultParagraphFont"/>
                <w:rFonts w:eastAsia="Arial Unicode MS" w:hAnsi="Times New Roman" w:cs="Times New Roman"/>
                <w:color w:val="000000"/>
                <w:sz w:val="24"/>
                <w:szCs w:val="24"/>
                <w:u w:color="000000"/>
                <w:bdr w:val="nil"/>
                <w:lang w:val="en-US" w:eastAsia="en-US" w:bidi="ar-SA"/>
              </w:rPr>
            </w:pPr>
            <w:r w:rsidRPr="009D4B8D">
              <w:rPr>
                <w:rFonts w:eastAsia="Arial Unicode MS" w:hAnsi="Times New Roman" w:cs="Times New Roman"/>
                <w:color w:val="000000"/>
                <w:sz w:val="24"/>
                <w:szCs w:val="24"/>
                <w:u w:color="000000"/>
                <w:bdr w:val="nil"/>
                <w:lang w:val="en-US" w:eastAsia="en-US" w:bidi="ar-SA"/>
              </w:rPr>
              <w:t>)</w:t>
            </w:r>
          </w:p>
          <w:p w:rsidR="00C75201" w:rsidRPr="009D4B8D" w:rsidP="004B554E">
            <w:pPr>
              <w:pStyle w:val="BodyA"/>
              <w:jc w:val="center"/>
              <w:rPr>
                <w:rStyle w:val="DefaultParagraphFont"/>
                <w:rFonts w:eastAsia="Arial Unicode MS" w:hAnsi="Times New Roman" w:cs="Times New Roman"/>
                <w:color w:val="000000"/>
                <w:sz w:val="24"/>
                <w:szCs w:val="24"/>
                <w:u w:color="000000"/>
                <w:bdr w:val="nil"/>
                <w:lang w:val="en-US" w:eastAsia="en-US" w:bidi="ar-SA"/>
              </w:rPr>
            </w:pPr>
            <w:r w:rsidRPr="009D4B8D">
              <w:rPr>
                <w:rFonts w:eastAsia="Arial Unicode MS" w:hAnsi="Times New Roman" w:cs="Times New Roman"/>
                <w:color w:val="000000"/>
                <w:sz w:val="24"/>
                <w:szCs w:val="24"/>
                <w:u w:color="000000"/>
                <w:bdr w:val="nil"/>
                <w:lang w:val="en-US" w:eastAsia="en-US" w:bidi="ar-SA"/>
              </w:rPr>
              <w:t>)</w:t>
            </w:r>
          </w:p>
        </w:tc>
        <w:tc>
          <w:tcPr>
            <w:tcW w:w="4470" w:type="dxa"/>
            <w:tcBorders>
              <w:top w:val="nil"/>
              <w:left w:val="nil"/>
              <w:bottom w:val="nil"/>
              <w:right w:val="nil"/>
            </w:tcBorders>
            <w:shd w:val="clear" w:color="auto" w:fill="auto"/>
            <w:tcMar>
              <w:top w:w="80" w:type="dxa"/>
              <w:left w:w="80" w:type="dxa"/>
              <w:bottom w:w="80" w:type="dxa"/>
              <w:right w:w="80" w:type="dxa"/>
            </w:tcMar>
          </w:tcPr>
          <w:p w:rsidR="00C75201" w:rsidRPr="009D4B8D" w:rsidP="009D7414">
            <w:pPr>
              <w:pStyle w:val="BodyA"/>
              <w:jc w:val="center"/>
              <w:rPr>
                <w:rStyle w:val="DefaultParagraphFont"/>
                <w:rFonts w:eastAsia="Arial Unicode MS" w:hAnsi="Times New Roman" w:cs="Times New Roman"/>
                <w:color w:val="000000"/>
                <w:sz w:val="24"/>
                <w:szCs w:val="24"/>
                <w:u w:color="000000"/>
                <w:bdr w:val="nil"/>
                <w:lang w:val="en-US" w:eastAsia="en-US" w:bidi="ar-SA"/>
              </w:rPr>
            </w:pPr>
          </w:p>
          <w:p w:rsidR="00C75201" w:rsidRPr="009D4B8D" w:rsidP="009D7414">
            <w:pPr>
              <w:pStyle w:val="BodyA"/>
              <w:rPr>
                <w:rStyle w:val="DefaultParagraphFont"/>
                <w:rFonts w:eastAsia="Arial Unicode MS" w:hAnsi="Times New Roman" w:cs="Times New Roman"/>
                <w:color w:val="000000"/>
                <w:sz w:val="24"/>
                <w:szCs w:val="24"/>
                <w:u w:color="000000"/>
                <w:bdr w:val="nil"/>
                <w:lang w:val="en-US" w:eastAsia="en-US" w:bidi="ar-SA"/>
              </w:rPr>
            </w:pPr>
            <w:r w:rsidRPr="009D4B8D">
              <w:rPr>
                <w:rFonts w:eastAsia="Arial Unicode MS" w:hAnsi="Times New Roman" w:cs="Times New Roman"/>
                <w:color w:val="000000"/>
                <w:sz w:val="24"/>
                <w:szCs w:val="24"/>
                <w:u w:color="000000"/>
                <w:bdr w:val="nil"/>
                <w:lang w:val="en-US" w:eastAsia="en-US" w:bidi="ar-SA"/>
              </w:rPr>
              <w:t>Case No. 16-0397-EL-AAM</w:t>
            </w:r>
          </w:p>
          <w:p w:rsidR="00C75201" w:rsidRPr="009D4B8D" w:rsidP="009D7414">
            <w:pPr>
              <w:pStyle w:val="BodyA"/>
              <w:rPr>
                <w:rStyle w:val="DefaultParagraphFont"/>
                <w:rFonts w:eastAsia="Arial Unicode MS" w:hAnsi="Times New Roman" w:cs="Times New Roman"/>
                <w:color w:val="000000"/>
                <w:sz w:val="24"/>
                <w:szCs w:val="24"/>
                <w:u w:color="000000"/>
                <w:bdr w:val="nil"/>
                <w:lang w:val="en-US" w:eastAsia="en-US" w:bidi="ar-SA"/>
              </w:rPr>
            </w:pPr>
          </w:p>
        </w:tc>
      </w:tr>
    </w:tbl>
    <w:p w:rsidR="00014B82" w:rsidRPr="009D4B8D" w:rsidP="00110D52">
      <w:pPr>
        <w:widowControl w:val="0"/>
        <w:pBdr>
          <w:top w:val="none" w:sz="0" w:space="0" w:color="auto"/>
          <w:left w:val="none" w:sz="0" w:space="0" w:color="auto"/>
          <w:bottom w:val="none" w:sz="0" w:space="0" w:color="auto"/>
          <w:right w:val="none" w:sz="0" w:space="0" w:color="auto"/>
          <w:between w:val="none" w:sz="0" w:space="0" w:color="auto"/>
          <w:bar w:val="none" w:sz="0" w:space="0" w:color="auto"/>
        </w:pBdr>
        <w:jc w:val="center"/>
        <w:rPr>
          <w:rFonts w:eastAsia="Times New Roman"/>
          <w:bdr w:val="none" w:sz="0" w:space="0" w:color="auto"/>
        </w:rPr>
      </w:pPr>
    </w:p>
    <w:p w:rsidR="009769C4" w:rsidRPr="009D4B8D" w:rsidP="00110D52">
      <w:pPr>
        <w:pStyle w:val="BodyA"/>
        <w:widowControl w:val="0"/>
        <w:tabs>
          <w:tab w:val="left" w:pos="5898"/>
        </w:tabs>
        <w:jc w:val="center"/>
        <w:rPr>
          <w:rFonts w:hAnsi="Times New Roman" w:cs="Times New Roman"/>
          <w:b/>
          <w:bCs/>
        </w:rPr>
      </w:pPr>
    </w:p>
    <w:p w:rsidR="00110D52" w:rsidRPr="009D4B8D" w:rsidP="00110D52">
      <w:pPr>
        <w:pStyle w:val="BodyA"/>
        <w:jc w:val="center"/>
        <w:rPr>
          <w:rFonts w:hAnsi="Times New Roman" w:cs="Times New Roman"/>
          <w:b/>
          <w:bCs/>
        </w:rPr>
      </w:pPr>
    </w:p>
    <w:p w:rsidR="009769C4" w:rsidRPr="009D4B8D" w:rsidP="00110D52">
      <w:pPr>
        <w:pStyle w:val="BodyA"/>
        <w:jc w:val="center"/>
        <w:rPr>
          <w:rFonts w:hAnsi="Times New Roman" w:cs="Times New Roman"/>
          <w:b/>
          <w:bCs/>
          <w:color w:val="000000" w:themeColor="text1"/>
          <w:u w:color="974706"/>
        </w:rPr>
      </w:pPr>
    </w:p>
    <w:p w:rsidR="009769C4" w:rsidRPr="009D4B8D" w:rsidP="00110D52">
      <w:pPr>
        <w:pStyle w:val="BodyA"/>
        <w:jc w:val="center"/>
        <w:rPr>
          <w:rFonts w:hAnsi="Times New Roman" w:cs="Times New Roman"/>
          <w:b/>
          <w:bCs/>
        </w:rPr>
      </w:pPr>
      <w:r w:rsidRPr="009D4B8D">
        <w:rPr>
          <w:rFonts w:hAnsi="Times New Roman" w:cs="Times New Roman"/>
          <w:b/>
          <w:bCs/>
          <w:caps/>
        </w:rPr>
        <w:t xml:space="preserve">DIRECT </w:t>
      </w:r>
      <w:r w:rsidRPr="009D4B8D">
        <w:rPr>
          <w:rFonts w:hAnsi="Times New Roman" w:cs="Times New Roman"/>
          <w:b/>
          <w:bCs/>
        </w:rPr>
        <w:t>TESTIMONY</w:t>
      </w:r>
    </w:p>
    <w:p w:rsidR="009769C4" w:rsidRPr="009D4B8D" w:rsidP="00110D52">
      <w:pPr>
        <w:pStyle w:val="BodyA"/>
        <w:jc w:val="center"/>
        <w:rPr>
          <w:rFonts w:hAnsi="Times New Roman" w:cs="Times New Roman"/>
          <w:b/>
          <w:bCs/>
        </w:rPr>
      </w:pPr>
      <w:r w:rsidRPr="009D4B8D">
        <w:rPr>
          <w:rFonts w:hAnsi="Times New Roman" w:cs="Times New Roman"/>
          <w:b/>
          <w:bCs/>
        </w:rPr>
        <w:t>OF</w:t>
      </w:r>
    </w:p>
    <w:p w:rsidR="009769C4" w:rsidRPr="009D4B8D" w:rsidP="00110D52">
      <w:pPr>
        <w:pStyle w:val="BodyA"/>
        <w:jc w:val="center"/>
        <w:rPr>
          <w:rFonts w:hAnsi="Times New Roman" w:cs="Times New Roman"/>
          <w:b/>
          <w:bCs/>
        </w:rPr>
      </w:pPr>
      <w:r w:rsidRPr="009D4B8D">
        <w:rPr>
          <w:rFonts w:hAnsi="Times New Roman" w:cs="Times New Roman"/>
          <w:b/>
          <w:bCs/>
        </w:rPr>
        <w:t>MICHAEL P. HAUGH</w:t>
      </w:r>
    </w:p>
    <w:p w:rsidR="009769C4" w:rsidRPr="009D4B8D" w:rsidP="00110D52">
      <w:pPr>
        <w:pStyle w:val="BodyA"/>
        <w:jc w:val="center"/>
        <w:rPr>
          <w:rFonts w:hAnsi="Times New Roman" w:cs="Times New Roman"/>
          <w:b/>
          <w:bCs/>
        </w:rPr>
      </w:pPr>
    </w:p>
    <w:p w:rsidR="009769C4" w:rsidP="00110D52">
      <w:pPr>
        <w:pStyle w:val="BodyA"/>
        <w:jc w:val="center"/>
        <w:rPr>
          <w:rFonts w:hAnsi="Times New Roman" w:cs="Times New Roman"/>
          <w:b/>
          <w:bCs/>
        </w:rPr>
      </w:pPr>
    </w:p>
    <w:p w:rsidR="004B554E" w:rsidRPr="009D4B8D" w:rsidP="00110D52">
      <w:pPr>
        <w:pStyle w:val="BodyA"/>
        <w:jc w:val="center"/>
        <w:rPr>
          <w:rFonts w:hAnsi="Times New Roman" w:cs="Times New Roman"/>
          <w:b/>
          <w:bCs/>
        </w:rPr>
      </w:pPr>
    </w:p>
    <w:p w:rsidR="009769C4" w:rsidRPr="009D4B8D" w:rsidP="00110D52">
      <w:pPr>
        <w:pStyle w:val="BodyA"/>
        <w:jc w:val="center"/>
        <w:rPr>
          <w:rFonts w:hAnsi="Times New Roman" w:cs="Times New Roman"/>
          <w:b/>
          <w:bCs/>
        </w:rPr>
      </w:pPr>
    </w:p>
    <w:p w:rsidR="009769C4" w:rsidRPr="009D4B8D" w:rsidP="00110D52">
      <w:pPr>
        <w:pStyle w:val="BodyA"/>
        <w:jc w:val="center"/>
        <w:rPr>
          <w:rFonts w:hAnsi="Times New Roman" w:cs="Times New Roman"/>
          <w:b/>
          <w:bCs/>
        </w:rPr>
      </w:pPr>
      <w:r>
        <w:rPr>
          <w:rFonts w:hAnsi="Times New Roman" w:cs="Times New Roman"/>
          <w:b/>
          <w:bCs/>
        </w:rPr>
        <w:t>On Behalf, of</w:t>
      </w:r>
    </w:p>
    <w:p w:rsidR="009769C4" w:rsidRPr="009D4B8D" w:rsidP="00110D52">
      <w:pPr>
        <w:pStyle w:val="BodyA"/>
        <w:jc w:val="center"/>
        <w:rPr>
          <w:rFonts w:hAnsi="Times New Roman" w:cs="Times New Roman"/>
          <w:b/>
          <w:bCs/>
        </w:rPr>
      </w:pPr>
      <w:r w:rsidRPr="009D4B8D">
        <w:rPr>
          <w:rFonts w:hAnsi="Times New Roman" w:cs="Times New Roman"/>
          <w:b/>
          <w:bCs/>
        </w:rPr>
        <w:t>The Office of the Ohio Consumers</w:t>
      </w:r>
      <w:r w:rsidRPr="009D4B8D">
        <w:rPr>
          <w:rFonts w:hAnsi="Times New Roman" w:cs="Times New Roman"/>
          <w:b/>
          <w:bCs/>
          <w:lang w:val="fr-FR"/>
        </w:rPr>
        <w:t xml:space="preserve">' </w:t>
      </w:r>
      <w:r w:rsidRPr="009D4B8D">
        <w:rPr>
          <w:rFonts w:hAnsi="Times New Roman" w:cs="Times New Roman"/>
          <w:b/>
          <w:bCs/>
        </w:rPr>
        <w:t>Counsel</w:t>
      </w:r>
    </w:p>
    <w:p w:rsidR="009769C4" w:rsidRPr="009D4B8D" w:rsidP="00110D52">
      <w:pPr>
        <w:pStyle w:val="BodyA"/>
        <w:jc w:val="center"/>
        <w:rPr>
          <w:rFonts w:hAnsi="Times New Roman" w:cs="Times New Roman"/>
          <w:i/>
          <w:iCs/>
        </w:rPr>
      </w:pPr>
      <w:r w:rsidRPr="009D4B8D">
        <w:rPr>
          <w:rFonts w:hAnsi="Times New Roman" w:cs="Times New Roman"/>
          <w:i/>
          <w:iCs/>
        </w:rPr>
        <w:t>10 West Broad Street, Suite 1800</w:t>
      </w:r>
    </w:p>
    <w:p w:rsidR="009769C4" w:rsidRPr="009D4B8D" w:rsidP="00110D52">
      <w:pPr>
        <w:pStyle w:val="BodyA"/>
        <w:jc w:val="center"/>
        <w:rPr>
          <w:rFonts w:hAnsi="Times New Roman" w:cs="Times New Roman"/>
          <w:i/>
          <w:iCs/>
        </w:rPr>
      </w:pPr>
      <w:r w:rsidRPr="009D4B8D">
        <w:rPr>
          <w:rFonts w:hAnsi="Times New Roman" w:cs="Times New Roman"/>
          <w:i/>
          <w:iCs/>
        </w:rPr>
        <w:t>Columbus, Ohio 43215-3485</w:t>
      </w:r>
    </w:p>
    <w:p w:rsidR="009769C4" w:rsidP="00110D52">
      <w:pPr>
        <w:pStyle w:val="BodyA"/>
        <w:jc w:val="center"/>
        <w:rPr>
          <w:rFonts w:hAnsi="Times New Roman" w:cs="Times New Roman"/>
          <w:b/>
          <w:bCs/>
        </w:rPr>
      </w:pPr>
    </w:p>
    <w:p w:rsidR="00014B82" w:rsidP="00110D52">
      <w:pPr>
        <w:pStyle w:val="BodyA"/>
        <w:jc w:val="center"/>
        <w:rPr>
          <w:rFonts w:hAnsi="Times New Roman" w:cs="Times New Roman"/>
          <w:b/>
          <w:bCs/>
        </w:rPr>
      </w:pPr>
    </w:p>
    <w:p w:rsidR="00014B82" w:rsidRPr="009D4B8D" w:rsidP="00110D52">
      <w:pPr>
        <w:pStyle w:val="BodyA"/>
        <w:jc w:val="center"/>
        <w:rPr>
          <w:rFonts w:hAnsi="Times New Roman" w:cs="Times New Roman"/>
          <w:b/>
          <w:bCs/>
        </w:rPr>
      </w:pPr>
    </w:p>
    <w:p w:rsidR="009769C4" w:rsidRPr="009D4B8D" w:rsidP="00110D52">
      <w:pPr>
        <w:pStyle w:val="BodyA"/>
        <w:jc w:val="center"/>
        <w:rPr>
          <w:rFonts w:hAnsi="Times New Roman" w:cs="Times New Roman"/>
          <w:b/>
          <w:bCs/>
        </w:rPr>
      </w:pPr>
    </w:p>
    <w:p w:rsidR="009A4CDE" w:rsidRPr="009D4B8D" w:rsidP="00110D52">
      <w:pPr>
        <w:pStyle w:val="BodyA"/>
        <w:jc w:val="center"/>
        <w:rPr>
          <w:rFonts w:hAnsi="Times New Roman" w:cs="Times New Roman"/>
          <w:b/>
          <w:bCs/>
          <w:caps/>
        </w:rPr>
      </w:pPr>
      <w:r w:rsidRPr="009D4B8D">
        <w:rPr>
          <w:rFonts w:hAnsi="Times New Roman" w:cs="Times New Roman"/>
          <w:b/>
          <w:bCs/>
          <w:caps/>
        </w:rPr>
        <w:t xml:space="preserve">MArch </w:t>
      </w:r>
      <w:r>
        <w:rPr>
          <w:rFonts w:hAnsi="Times New Roman" w:cs="Times New Roman"/>
          <w:b/>
          <w:bCs/>
          <w:caps/>
        </w:rPr>
        <w:t>29</w:t>
      </w:r>
      <w:r w:rsidRPr="009D4B8D">
        <w:rPr>
          <w:rFonts w:hAnsi="Times New Roman" w:cs="Times New Roman"/>
          <w:b/>
          <w:bCs/>
          <w:caps/>
        </w:rPr>
        <w:t>, 2017</w:t>
      </w:r>
    </w:p>
    <w:p w:rsidR="00C75201" w:rsidRPr="009D4B8D" w:rsidP="00110D52">
      <w:pPr>
        <w:pStyle w:val="BodyA"/>
        <w:jc w:val="center"/>
        <w:rPr>
          <w:rFonts w:hAnsi="Times New Roman" w:cs="Times New Roman"/>
          <w:b/>
          <w:bCs/>
          <w:caps/>
        </w:rPr>
      </w:pPr>
    </w:p>
    <w:p w:rsidR="00110D52" w:rsidRPr="009D4B8D">
      <w:pPr>
        <w:rPr>
          <w:b/>
          <w:bCs/>
          <w:caps/>
          <w:color w:val="000000"/>
          <w:u w:color="000000"/>
        </w:rPr>
      </w:pPr>
      <w:r w:rsidRPr="009D4B8D">
        <w:rPr>
          <w:b/>
          <w:bCs/>
          <w:caps/>
        </w:rPr>
        <w:br w:type="page"/>
      </w:r>
    </w:p>
    <w:p w:rsidR="00436164" w:rsidRPr="009D4B8D">
      <w:pPr>
        <w:pStyle w:val="BodyA"/>
        <w:jc w:val="center"/>
        <w:rPr>
          <w:rFonts w:hAnsi="Times New Roman" w:cs="Times New Roman"/>
          <w:b/>
          <w:bCs/>
          <w:caps/>
        </w:rPr>
      </w:pPr>
    </w:p>
    <w:p w:rsidR="00110D52" w:rsidRPr="009D4B8D">
      <w:pPr>
        <w:pStyle w:val="BodyA"/>
        <w:jc w:val="center"/>
        <w:rPr>
          <w:rFonts w:hAnsi="Times New Roman" w:cs="Times New Roman"/>
          <w:b/>
          <w:bCs/>
          <w:caps/>
        </w:rPr>
      </w:pPr>
      <w:r w:rsidRPr="009D4B8D">
        <w:rPr>
          <w:rFonts w:hAnsi="Times New Roman" w:cs="Times New Roman"/>
          <w:b/>
          <w:bCs/>
          <w:caps/>
        </w:rPr>
        <w:t>Table of contents</w:t>
      </w:r>
    </w:p>
    <w:p w:rsidR="00110D52" w:rsidRPr="009D4B8D">
      <w:pPr>
        <w:pStyle w:val="BodyA"/>
        <w:jc w:val="center"/>
        <w:rPr>
          <w:rFonts w:hAnsi="Times New Roman" w:cs="Times New Roman"/>
          <w:b/>
          <w:bCs/>
          <w:caps/>
        </w:rPr>
      </w:pPr>
    </w:p>
    <w:p w:rsidR="00110D52" w:rsidP="00110D52">
      <w:pPr>
        <w:pStyle w:val="BodyA"/>
        <w:jc w:val="right"/>
        <w:rPr>
          <w:rFonts w:hAnsi="Times New Roman" w:cs="Times New Roman"/>
          <w:b/>
          <w:bCs/>
          <w:u w:val="single"/>
        </w:rPr>
      </w:pPr>
      <w:r w:rsidRPr="009D4B8D">
        <w:rPr>
          <w:rFonts w:hAnsi="Times New Roman" w:cs="Times New Roman"/>
          <w:b/>
          <w:bCs/>
          <w:u w:val="single"/>
        </w:rPr>
        <w:t>Page</w:t>
      </w:r>
    </w:p>
    <w:p w:rsidR="004949AD" w:rsidRPr="009D4B8D" w:rsidP="00110D52">
      <w:pPr>
        <w:pStyle w:val="BodyA"/>
        <w:jc w:val="right"/>
        <w:rPr>
          <w:rFonts w:hAnsi="Times New Roman" w:cs="Times New Roman"/>
          <w:b/>
          <w:bCs/>
          <w:u w:val="single"/>
        </w:rPr>
      </w:pPr>
    </w:p>
    <w:p w:rsidR="00AC22DA">
      <w:pPr>
        <w:pStyle w:val="TOC1"/>
        <w:rPr>
          <w:rFonts w:asciiTheme="minorHAnsi" w:eastAsiaTheme="minorEastAsia" w:hAnsiTheme="minorHAnsi" w:cstheme="minorBidi"/>
          <w:caps w:val="0"/>
          <w:noProof/>
          <w:sz w:val="22"/>
          <w:szCs w:val="22"/>
          <w:bdr w:val="none" w:sz="0" w:space="0" w:color="auto"/>
        </w:rPr>
      </w:pPr>
      <w:r w:rsidRPr="009D4B8D">
        <w:rPr>
          <w:b/>
          <w:bCs/>
        </w:rPr>
        <w:fldChar w:fldCharType="begin"/>
      </w:r>
      <w:r w:rsidRPr="009D4B8D">
        <w:rPr>
          <w:b/>
          <w:bCs/>
        </w:rPr>
        <w:instrText xml:space="preserve"> TOC \o "1-3" \h \z \u </w:instrText>
      </w:r>
      <w:r w:rsidRPr="009D4B8D">
        <w:rPr>
          <w:b/>
          <w:bCs/>
        </w:rPr>
        <w:fldChar w:fldCharType="separate"/>
      </w:r>
      <w:r>
        <w:fldChar w:fldCharType="begin"/>
      </w:r>
      <w:r>
        <w:instrText xml:space="preserve"> HYPERLINK \l "_Toc478555240" </w:instrText>
      </w:r>
      <w:r>
        <w:fldChar w:fldCharType="separate"/>
      </w:r>
      <w:r w:rsidRPr="000610F1">
        <w:rPr>
          <w:rStyle w:val="Hyperlink"/>
          <w:rFonts w:eastAsia="Arial Unicode MS"/>
          <w:noProof/>
        </w:rPr>
        <w:t>I.</w:t>
      </w:r>
      <w:r>
        <w:rPr>
          <w:rFonts w:asciiTheme="minorHAnsi" w:eastAsiaTheme="minorEastAsia" w:hAnsiTheme="minorHAnsi" w:cstheme="minorBidi"/>
          <w:caps w:val="0"/>
          <w:noProof/>
          <w:sz w:val="22"/>
          <w:szCs w:val="22"/>
          <w:bdr w:val="none" w:sz="0" w:space="0" w:color="auto"/>
        </w:rPr>
        <w:tab/>
      </w:r>
      <w:r w:rsidRPr="000610F1">
        <w:rPr>
          <w:rStyle w:val="Hyperlink"/>
          <w:rFonts w:eastAsia="Arial Unicode MS"/>
          <w:noProof/>
        </w:rPr>
        <w:t>OVERVIEW</w:t>
      </w:r>
      <w:r>
        <w:rPr>
          <w:noProof/>
          <w:webHidden/>
        </w:rPr>
        <w:tab/>
      </w:r>
      <w:r>
        <w:rPr>
          <w:noProof/>
          <w:webHidden/>
        </w:rPr>
        <w:fldChar w:fldCharType="begin"/>
      </w:r>
      <w:r>
        <w:rPr>
          <w:noProof/>
          <w:webHidden/>
        </w:rPr>
        <w:instrText xml:space="preserve"> PAGEREF _Toc478555240 \h </w:instrText>
      </w:r>
      <w:r>
        <w:rPr>
          <w:noProof/>
          <w:webHidden/>
        </w:rPr>
        <w:fldChar w:fldCharType="separate"/>
      </w:r>
      <w:r>
        <w:rPr>
          <w:noProof/>
          <w:webHidden/>
        </w:rPr>
        <w:t>1</w:t>
      </w:r>
      <w:r>
        <w:rPr>
          <w:noProof/>
          <w:webHidden/>
        </w:rPr>
        <w:fldChar w:fldCharType="end"/>
      </w:r>
      <w:r>
        <w:fldChar w:fldCharType="end"/>
      </w:r>
    </w:p>
    <w:p w:rsidR="00AC22DA">
      <w:pPr>
        <w:pStyle w:val="TOC1"/>
        <w:rPr>
          <w:rFonts w:asciiTheme="minorHAnsi" w:eastAsiaTheme="minorEastAsia" w:hAnsiTheme="minorHAnsi" w:cstheme="minorBidi"/>
          <w:caps w:val="0"/>
          <w:noProof/>
          <w:sz w:val="22"/>
          <w:szCs w:val="22"/>
          <w:bdr w:val="none" w:sz="0" w:space="0" w:color="auto"/>
        </w:rPr>
      </w:pPr>
      <w:r>
        <w:fldChar w:fldCharType="begin"/>
      </w:r>
      <w:r>
        <w:instrText xml:space="preserve"> HYPERLINK \l "_Toc478555241" </w:instrText>
      </w:r>
      <w:r>
        <w:fldChar w:fldCharType="separate"/>
      </w:r>
      <w:r w:rsidRPr="000610F1">
        <w:rPr>
          <w:rStyle w:val="Hyperlink"/>
          <w:noProof/>
        </w:rPr>
        <w:t>II.</w:t>
      </w:r>
      <w:r>
        <w:rPr>
          <w:rFonts w:asciiTheme="minorHAnsi" w:eastAsiaTheme="minorEastAsia" w:hAnsiTheme="minorHAnsi" w:cstheme="minorBidi"/>
          <w:caps w:val="0"/>
          <w:noProof/>
          <w:sz w:val="22"/>
          <w:szCs w:val="22"/>
          <w:bdr w:val="none" w:sz="0" w:space="0" w:color="auto"/>
        </w:rPr>
        <w:tab/>
      </w:r>
      <w:r w:rsidRPr="000610F1">
        <w:rPr>
          <w:rStyle w:val="Hyperlink"/>
          <w:rFonts w:eastAsia="Arial Unicode MS"/>
          <w:noProof/>
        </w:rPr>
        <w:t>PURPOSE OF TESTIMONY</w:t>
      </w:r>
      <w:r>
        <w:rPr>
          <w:noProof/>
          <w:webHidden/>
        </w:rPr>
        <w:tab/>
      </w:r>
      <w:r>
        <w:rPr>
          <w:noProof/>
          <w:webHidden/>
        </w:rPr>
        <w:fldChar w:fldCharType="begin"/>
      </w:r>
      <w:r>
        <w:rPr>
          <w:noProof/>
          <w:webHidden/>
        </w:rPr>
        <w:instrText xml:space="preserve"> PAGEREF _Toc478555241 \h </w:instrText>
      </w:r>
      <w:r>
        <w:rPr>
          <w:noProof/>
          <w:webHidden/>
        </w:rPr>
        <w:fldChar w:fldCharType="separate"/>
      </w:r>
      <w:r>
        <w:rPr>
          <w:noProof/>
          <w:webHidden/>
        </w:rPr>
        <w:t>2</w:t>
      </w:r>
      <w:r>
        <w:rPr>
          <w:noProof/>
          <w:webHidden/>
        </w:rPr>
        <w:fldChar w:fldCharType="end"/>
      </w:r>
      <w:r>
        <w:fldChar w:fldCharType="end"/>
      </w:r>
    </w:p>
    <w:p w:rsidR="00AC22DA">
      <w:pPr>
        <w:pStyle w:val="TOC1"/>
        <w:rPr>
          <w:rFonts w:asciiTheme="minorHAnsi" w:eastAsiaTheme="minorEastAsia" w:hAnsiTheme="minorHAnsi" w:cstheme="minorBidi"/>
          <w:caps w:val="0"/>
          <w:noProof/>
          <w:sz w:val="22"/>
          <w:szCs w:val="22"/>
          <w:bdr w:val="none" w:sz="0" w:space="0" w:color="auto"/>
        </w:rPr>
      </w:pPr>
      <w:r>
        <w:fldChar w:fldCharType="begin"/>
      </w:r>
      <w:r>
        <w:instrText xml:space="preserve"> HYPERLINK \l "_Toc478555242" </w:instrText>
      </w:r>
      <w:r>
        <w:fldChar w:fldCharType="separate"/>
      </w:r>
      <w:r w:rsidRPr="000610F1">
        <w:rPr>
          <w:rStyle w:val="Hyperlink"/>
          <w:noProof/>
        </w:rPr>
        <w:t>III.</w:t>
      </w:r>
      <w:r>
        <w:rPr>
          <w:rFonts w:asciiTheme="minorHAnsi" w:eastAsiaTheme="minorEastAsia" w:hAnsiTheme="minorHAnsi" w:cstheme="minorBidi"/>
          <w:caps w:val="0"/>
          <w:noProof/>
          <w:sz w:val="22"/>
          <w:szCs w:val="22"/>
          <w:bdr w:val="none" w:sz="0" w:space="0" w:color="auto"/>
        </w:rPr>
        <w:tab/>
      </w:r>
      <w:r w:rsidRPr="000610F1">
        <w:rPr>
          <w:rStyle w:val="Hyperlink"/>
          <w:noProof/>
        </w:rPr>
        <w:t>Evaluation of the PROPOSED STIPULATION</w:t>
      </w:r>
      <w:r>
        <w:rPr>
          <w:noProof/>
          <w:webHidden/>
        </w:rPr>
        <w:tab/>
      </w:r>
      <w:r>
        <w:rPr>
          <w:noProof/>
          <w:webHidden/>
        </w:rPr>
        <w:fldChar w:fldCharType="begin"/>
      </w:r>
      <w:r>
        <w:rPr>
          <w:noProof/>
          <w:webHidden/>
        </w:rPr>
        <w:instrText xml:space="preserve"> PAGEREF _Toc478555242 \h </w:instrText>
      </w:r>
      <w:r>
        <w:rPr>
          <w:noProof/>
          <w:webHidden/>
        </w:rPr>
        <w:fldChar w:fldCharType="separate"/>
      </w:r>
      <w:r>
        <w:rPr>
          <w:noProof/>
          <w:webHidden/>
        </w:rPr>
        <w:t>4</w:t>
      </w:r>
      <w:r>
        <w:rPr>
          <w:noProof/>
          <w:webHidden/>
        </w:rPr>
        <w:fldChar w:fldCharType="end"/>
      </w:r>
      <w:r>
        <w:fldChar w:fldCharType="end"/>
      </w:r>
    </w:p>
    <w:p w:rsidR="00AC22DA">
      <w:pPr>
        <w:pStyle w:val="TOC1"/>
        <w:rPr>
          <w:rFonts w:asciiTheme="minorHAnsi" w:eastAsiaTheme="minorEastAsia" w:hAnsiTheme="minorHAnsi" w:cstheme="minorBidi"/>
          <w:caps w:val="0"/>
          <w:noProof/>
          <w:sz w:val="22"/>
          <w:szCs w:val="22"/>
          <w:bdr w:val="none" w:sz="0" w:space="0" w:color="auto"/>
        </w:rPr>
      </w:pPr>
      <w:r>
        <w:fldChar w:fldCharType="begin"/>
      </w:r>
      <w:r>
        <w:instrText xml:space="preserve"> HYPERLINK \l "_Toc478555243" </w:instrText>
      </w:r>
      <w:r>
        <w:fldChar w:fldCharType="separate"/>
      </w:r>
      <w:r w:rsidRPr="000610F1">
        <w:rPr>
          <w:rStyle w:val="Hyperlink"/>
          <w:noProof/>
        </w:rPr>
        <w:t>IV.</w:t>
      </w:r>
      <w:r>
        <w:rPr>
          <w:rFonts w:asciiTheme="minorHAnsi" w:eastAsiaTheme="minorEastAsia" w:hAnsiTheme="minorHAnsi" w:cstheme="minorBidi"/>
          <w:caps w:val="0"/>
          <w:noProof/>
          <w:sz w:val="22"/>
          <w:szCs w:val="22"/>
          <w:bdr w:val="none" w:sz="0" w:space="0" w:color="auto"/>
        </w:rPr>
        <w:tab/>
      </w:r>
      <w:r w:rsidRPr="000610F1">
        <w:rPr>
          <w:rStyle w:val="Hyperlink"/>
          <w:noProof/>
        </w:rPr>
        <w:t>Conclusion</w:t>
      </w:r>
      <w:r>
        <w:rPr>
          <w:noProof/>
          <w:webHidden/>
        </w:rPr>
        <w:tab/>
      </w:r>
      <w:r>
        <w:rPr>
          <w:noProof/>
          <w:webHidden/>
        </w:rPr>
        <w:fldChar w:fldCharType="begin"/>
      </w:r>
      <w:r>
        <w:rPr>
          <w:noProof/>
          <w:webHidden/>
        </w:rPr>
        <w:instrText xml:space="preserve"> PAGEREF _Toc478555243 \h </w:instrText>
      </w:r>
      <w:r>
        <w:rPr>
          <w:noProof/>
          <w:webHidden/>
        </w:rPr>
        <w:fldChar w:fldCharType="separate"/>
      </w:r>
      <w:r>
        <w:rPr>
          <w:noProof/>
          <w:webHidden/>
        </w:rPr>
        <w:t>13</w:t>
      </w:r>
      <w:r>
        <w:rPr>
          <w:noProof/>
          <w:webHidden/>
        </w:rPr>
        <w:fldChar w:fldCharType="end"/>
      </w:r>
      <w:r>
        <w:fldChar w:fldCharType="end"/>
      </w:r>
    </w:p>
    <w:p w:rsidR="009E45ED" w:rsidRPr="009D4B8D" w:rsidP="00110D52">
      <w:pPr>
        <w:pStyle w:val="BodyA"/>
        <w:rPr>
          <w:rFonts w:hAnsi="Times New Roman" w:cs="Times New Roman"/>
          <w:b/>
          <w:bCs/>
        </w:rPr>
      </w:pPr>
      <w:r w:rsidRPr="009D4B8D">
        <w:rPr>
          <w:rFonts w:hAnsi="Times New Roman" w:cs="Times New Roman"/>
          <w:b/>
          <w:bCs/>
        </w:rPr>
        <w:fldChar w:fldCharType="end"/>
      </w:r>
    </w:p>
    <w:p w:rsidR="009E45ED" w:rsidRPr="009D4B8D" w:rsidP="00110D52">
      <w:pPr>
        <w:pStyle w:val="BodyA"/>
        <w:rPr>
          <w:rFonts w:hAnsi="Times New Roman" w:cs="Times New Roman"/>
          <w:b/>
          <w:bCs/>
        </w:rPr>
      </w:pPr>
    </w:p>
    <w:p w:rsidR="00110D52" w:rsidRPr="009D4B8D" w:rsidP="00110D52">
      <w:pPr>
        <w:pStyle w:val="BodyA"/>
        <w:rPr>
          <w:rFonts w:hAnsi="Times New Roman" w:cs="Times New Roman"/>
          <w:b/>
          <w:bCs/>
        </w:rPr>
      </w:pPr>
      <w:r w:rsidRPr="009D4B8D">
        <w:rPr>
          <w:rFonts w:hAnsi="Times New Roman" w:cs="Times New Roman"/>
          <w:b/>
          <w:bCs/>
        </w:rPr>
        <w:t>ATTACHMENTS</w:t>
      </w:r>
    </w:p>
    <w:p w:rsidR="009E45ED" w:rsidRPr="009D4B8D" w:rsidP="00110D52">
      <w:pPr>
        <w:pStyle w:val="BodyA"/>
        <w:rPr>
          <w:rFonts w:hAnsi="Times New Roman" w:cs="Times New Roman"/>
          <w:b/>
          <w:bCs/>
        </w:rPr>
      </w:pPr>
    </w:p>
    <w:p w:rsidR="007E22BC" w:rsidRPr="009D4B8D" w:rsidP="00110D52">
      <w:pPr>
        <w:pStyle w:val="BodyA"/>
        <w:rPr>
          <w:rFonts w:hAnsi="Times New Roman" w:cs="Times New Roman"/>
        </w:rPr>
      </w:pPr>
      <w:r w:rsidRPr="009D4B8D">
        <w:rPr>
          <w:rFonts w:hAnsi="Times New Roman" w:cs="Times New Roman"/>
        </w:rPr>
        <w:t>Attachment MPH-1</w:t>
      </w:r>
    </w:p>
    <w:p w:rsidR="009E45ED" w:rsidRPr="009D4B8D" w:rsidP="00110D52">
      <w:pPr>
        <w:pStyle w:val="BodyA"/>
        <w:rPr>
          <w:rFonts w:hAnsi="Times New Roman" w:cs="Times New Roman"/>
        </w:rPr>
      </w:pPr>
    </w:p>
    <w:p w:rsidR="009E45ED" w:rsidRPr="009D4B8D" w:rsidP="00110D52">
      <w:pPr>
        <w:pStyle w:val="BodyA"/>
        <w:rPr>
          <w:rFonts w:hAnsi="Times New Roman" w:cs="Times New Roman"/>
        </w:rPr>
      </w:pPr>
    </w:p>
    <w:p w:rsidR="007E22BC" w:rsidRPr="009D4B8D" w:rsidP="00110D52">
      <w:pPr>
        <w:pStyle w:val="BodyA"/>
        <w:rPr>
          <w:rFonts w:hAnsi="Times New Roman" w:cs="Times New Roman"/>
        </w:rPr>
      </w:pPr>
    </w:p>
    <w:p w:rsidR="007E22BC" w:rsidRPr="009D4B8D" w:rsidP="00110D52">
      <w:pPr>
        <w:pStyle w:val="BodyA"/>
        <w:rPr>
          <w:rFonts w:hAnsi="Times New Roman" w:cs="Times New Roman"/>
        </w:rPr>
      </w:pPr>
    </w:p>
    <w:p w:rsidR="007E22BC" w:rsidRPr="009D4B8D" w:rsidP="00110D52">
      <w:pPr>
        <w:pStyle w:val="BodyA"/>
        <w:rPr>
          <w:rFonts w:hAnsi="Times New Roman" w:cs="Times New Roman"/>
          <w:b/>
          <w:bCs/>
          <w:caps/>
        </w:rPr>
        <w:sectPr w:rsidSect="00C15E82">
          <w:headerReference w:type="even" r:id="rId5"/>
          <w:headerReference w:type="default" r:id="rId6"/>
          <w:footerReference w:type="even" r:id="rId7"/>
          <w:footerReference w:type="default" r:id="rId8"/>
          <w:headerReference w:type="first" r:id="rId9"/>
          <w:footerReference w:type="first" r:id="rId10"/>
          <w:pgSz w:w="12240" w:h="15840" w:code="1"/>
          <w:pgMar w:top="1440" w:right="1800" w:bottom="1440" w:left="1800" w:header="360" w:footer="720" w:gutter="0"/>
          <w:pgNumType w:fmt="lowerRoman" w:start="1"/>
          <w:cols w:space="720"/>
          <w:titlePg/>
          <w:docGrid w:linePitch="326"/>
        </w:sectPr>
      </w:pPr>
    </w:p>
    <w:p w:rsidR="00973184" w:rsidRPr="009D4B8D" w:rsidP="00711988">
      <w:pPr>
        <w:pStyle w:val="Heading1"/>
        <w:rPr>
          <w:rFonts w:ascii="Times New Roman" w:eastAsia="Arial Unicode MS" w:hAnsi="Times New Roman" w:cs="Times New Roman"/>
        </w:rPr>
      </w:pPr>
      <w:bookmarkStart w:id="1" w:name="_Toc430935282"/>
      <w:bookmarkStart w:id="2" w:name="_Toc461534453"/>
      <w:bookmarkStart w:id="3" w:name="_Toc478555240"/>
      <w:r w:rsidRPr="009D4B8D">
        <w:rPr>
          <w:rFonts w:ascii="Times New Roman" w:eastAsia="Arial Unicode MS" w:hAnsi="Times New Roman" w:cs="Times New Roman"/>
        </w:rPr>
        <w:t>OVERVIEW</w:t>
      </w:r>
      <w:bookmarkEnd w:id="1"/>
      <w:bookmarkEnd w:id="2"/>
      <w:bookmarkEnd w:id="3"/>
    </w:p>
    <w:p w:rsidR="00436164" w:rsidRPr="009D4B8D" w:rsidP="00436164">
      <w:pPr>
        <w:spacing w:line="480" w:lineRule="auto"/>
      </w:pPr>
    </w:p>
    <w:p w:rsidR="009769C4" w:rsidRPr="009D4B8D" w:rsidP="00436164">
      <w:pPr>
        <w:pStyle w:val="DirectQuestion"/>
        <w:tabs>
          <w:tab w:val="clear" w:pos="1440"/>
        </w:tabs>
        <w:ind w:left="0" w:firstLine="0"/>
        <w:rPr>
          <w:rFonts w:hAnsi="Times New Roman" w:cs="Times New Roman"/>
        </w:rPr>
      </w:pPr>
      <w:r w:rsidRPr="009D4B8D">
        <w:rPr>
          <w:rFonts w:hAnsi="Times New Roman" w:cs="Times New Roman"/>
        </w:rPr>
        <w:t>Q1.</w:t>
      </w:r>
      <w:r w:rsidRPr="009D4B8D">
        <w:rPr>
          <w:rFonts w:hAnsi="Times New Roman" w:cs="Times New Roman"/>
        </w:rPr>
        <w:tab/>
        <w:t>PLEASE STATE YOUR NAME, title, AND BUSINESS ADDRESS.</w:t>
      </w:r>
    </w:p>
    <w:p w:rsidR="009769C4" w:rsidRPr="009D4B8D" w:rsidP="009A4CDE">
      <w:pPr>
        <w:pStyle w:val="BodyA"/>
        <w:spacing w:line="480" w:lineRule="auto"/>
        <w:ind w:left="720" w:hanging="720"/>
        <w:rPr>
          <w:rFonts w:hAnsi="Times New Roman" w:cs="Times New Roman"/>
        </w:rPr>
      </w:pPr>
      <w:r w:rsidRPr="009D4B8D">
        <w:rPr>
          <w:rFonts w:hAnsi="Times New Roman" w:cs="Times New Roman"/>
          <w:b/>
          <w:bCs/>
          <w:i/>
          <w:iCs/>
        </w:rPr>
        <w:t>A1.</w:t>
      </w:r>
      <w:r w:rsidRPr="009D4B8D">
        <w:rPr>
          <w:rFonts w:hAnsi="Times New Roman" w:cs="Times New Roman"/>
          <w:b/>
          <w:bCs/>
          <w:i/>
          <w:iCs/>
        </w:rPr>
        <w:tab/>
      </w:r>
      <w:r w:rsidRPr="009D4B8D">
        <w:rPr>
          <w:rFonts w:hAnsi="Times New Roman" w:cs="Times New Roman"/>
        </w:rPr>
        <w:t>My name is Michael P. Haugh.  I am employed as the Assistant Director of Analytical Services for the Office of the Ohio Consumers</w:t>
      </w:r>
      <w:r w:rsidRPr="009D4B8D">
        <w:rPr>
          <w:rFonts w:hAnsi="Times New Roman" w:cs="Times New Roman"/>
          <w:lang w:val="fr-FR"/>
        </w:rPr>
        <w:t xml:space="preserve">' </w:t>
      </w:r>
      <w:r w:rsidRPr="009D4B8D">
        <w:rPr>
          <w:rFonts w:hAnsi="Times New Roman" w:cs="Times New Roman"/>
        </w:rPr>
        <w:t>Counsel ("OCC").  My business address is 10 West Broad Street, Suite 1800, Columbus, Ohio 43215.</w:t>
      </w:r>
    </w:p>
    <w:p w:rsidR="009769C4" w:rsidRPr="009D4B8D" w:rsidP="009A4CDE">
      <w:pPr>
        <w:pStyle w:val="BodyA"/>
        <w:spacing w:line="480" w:lineRule="auto"/>
        <w:ind w:left="720" w:hanging="720"/>
        <w:rPr>
          <w:rFonts w:hAnsi="Times New Roman" w:cs="Times New Roman"/>
        </w:rPr>
      </w:pPr>
    </w:p>
    <w:p w:rsidR="00973184" w:rsidRPr="009D4B8D" w:rsidP="00973184">
      <w:pPr>
        <w:pStyle w:val="BodyA"/>
        <w:spacing w:line="480" w:lineRule="auto"/>
        <w:ind w:left="720" w:hanging="720"/>
        <w:rPr>
          <w:rFonts w:hAnsi="Times New Roman" w:cs="Times New Roman"/>
          <w:b/>
          <w:bCs/>
          <w:i/>
          <w:iCs/>
        </w:rPr>
      </w:pPr>
      <w:r w:rsidRPr="009D4B8D">
        <w:rPr>
          <w:rFonts w:hAnsi="Times New Roman" w:cs="Times New Roman"/>
          <w:b/>
          <w:bCs/>
          <w:i/>
          <w:iCs/>
        </w:rPr>
        <w:t>Q2.</w:t>
      </w:r>
      <w:r w:rsidRPr="009D4B8D">
        <w:rPr>
          <w:rFonts w:hAnsi="Times New Roman" w:cs="Times New Roman"/>
          <w:b/>
          <w:bCs/>
          <w:i/>
          <w:iCs/>
        </w:rPr>
        <w:tab/>
      </w:r>
      <w:r w:rsidRPr="009D4B8D">
        <w:rPr>
          <w:rFonts w:hAnsi="Times New Roman" w:cs="Times New Roman"/>
          <w:b/>
          <w:bCs/>
          <w:i/>
          <w:iCs/>
          <w:caps/>
        </w:rPr>
        <w:t>Please briefly summarize your education and professional experience.</w:t>
      </w:r>
    </w:p>
    <w:p w:rsidR="005C276F" w:rsidRPr="009D4B8D" w:rsidP="00973184">
      <w:pPr>
        <w:pStyle w:val="BodyA"/>
        <w:spacing w:line="480" w:lineRule="auto"/>
        <w:ind w:left="720" w:hanging="720"/>
        <w:rPr>
          <w:rFonts w:hAnsi="Times New Roman" w:cs="Times New Roman"/>
        </w:rPr>
      </w:pPr>
      <w:r w:rsidRPr="009D4B8D">
        <w:rPr>
          <w:rFonts w:hAnsi="Times New Roman" w:cs="Times New Roman"/>
          <w:b/>
          <w:bCs/>
          <w:i/>
          <w:iCs/>
        </w:rPr>
        <w:t>A2.</w:t>
      </w:r>
      <w:r w:rsidRPr="009D4B8D">
        <w:rPr>
          <w:rFonts w:hAnsi="Times New Roman" w:cs="Times New Roman"/>
          <w:b/>
          <w:bCs/>
          <w:i/>
          <w:iCs/>
        </w:rPr>
        <w:tab/>
      </w:r>
      <w:r w:rsidRPr="009D4B8D">
        <w:rPr>
          <w:rFonts w:hAnsi="Times New Roman" w:cs="Times New Roman"/>
        </w:rPr>
        <w:t>I have a Bachelor of Science in Business Administration from the Ohio State University with a major in Finance</w:t>
      </w:r>
      <w:r>
        <w:rPr>
          <w:rFonts w:hAnsi="Times New Roman" w:cs="Times New Roman"/>
        </w:rPr>
        <w:t>.</w:t>
      </w:r>
      <w:r w:rsidRPr="009D4B8D">
        <w:rPr>
          <w:rFonts w:hAnsi="Times New Roman" w:cs="Times New Roman"/>
        </w:rPr>
        <w:t xml:space="preserve"> </w:t>
      </w:r>
      <w:r>
        <w:rPr>
          <w:rFonts w:hAnsi="Times New Roman" w:cs="Times New Roman"/>
        </w:rPr>
        <w:t xml:space="preserve"> </w:t>
      </w:r>
      <w:r w:rsidRPr="009D4B8D">
        <w:rPr>
          <w:rFonts w:hAnsi="Times New Roman" w:cs="Times New Roman"/>
        </w:rPr>
        <w:t>I have also attended the Institute of Public Utilities Advanced Regulatory Studies at Michigan State University.  I have over 20 years working in the energy industry with experience in wholesale and retail energy trading, risk management, natural gas purchasing and scheduling, and regulatory affairs.  I started with Enron Energy Services in 1995 as an Energy Trader and then moved on to American Electric Power Energy Services in 1998 where I worked in Risk Management and Wholes</w:t>
      </w:r>
      <w:r>
        <w:rPr>
          <w:rFonts w:hAnsi="Times New Roman" w:cs="Times New Roman"/>
        </w:rPr>
        <w:t xml:space="preserve">ale Energy Trading.  In January </w:t>
      </w:r>
      <w:r w:rsidRPr="009D4B8D">
        <w:rPr>
          <w:rFonts w:hAnsi="Times New Roman" w:cs="Times New Roman"/>
        </w:rPr>
        <w:t>2004 I went to work for MidAmerican Energy Services as a Senior Product Manager.  In October of 2004 I began work as a Senior Regulatory Analyst with the OCC.  I left the OCC in September 2007 and joined Integrys Energy Services as a Regulatory Affairs Analyst.  I joined Just Energy in 2009 and held the position of Manager of Regulatory Affairs before becoming Manager of Market Relations in 2011.  I was re-hired at the OCC in June 2014 in my current position.</w:t>
      </w:r>
    </w:p>
    <w:p w:rsidR="00973184" w:rsidRPr="009D4B8D" w:rsidP="00973184">
      <w:pPr>
        <w:pStyle w:val="BodyA"/>
        <w:spacing w:line="480" w:lineRule="auto"/>
        <w:ind w:left="720" w:hanging="720"/>
        <w:rPr>
          <w:rFonts w:hAnsi="Times New Roman" w:cs="Times New Roman"/>
          <w:b/>
          <w:bCs/>
          <w:i/>
          <w:iCs/>
        </w:rPr>
      </w:pPr>
      <w:r w:rsidRPr="009D4B8D">
        <w:rPr>
          <w:rFonts w:hAnsi="Times New Roman" w:cs="Times New Roman"/>
          <w:b/>
          <w:bCs/>
          <w:i/>
          <w:iCs/>
        </w:rPr>
        <w:t>Q3.</w:t>
      </w:r>
      <w:r w:rsidRPr="009D4B8D">
        <w:rPr>
          <w:rFonts w:hAnsi="Times New Roman" w:cs="Times New Roman"/>
          <w:b/>
          <w:bCs/>
          <w:i/>
          <w:iCs/>
        </w:rPr>
        <w:tab/>
      </w:r>
      <w:r w:rsidRPr="009D4B8D">
        <w:rPr>
          <w:rFonts w:hAnsi="Times New Roman" w:cs="Times New Roman"/>
          <w:b/>
          <w:bCs/>
          <w:i/>
          <w:iCs/>
          <w:caps/>
        </w:rPr>
        <w:t>Have you previously submitted testimony in utility cases before regulatory commissions?</w:t>
      </w:r>
    </w:p>
    <w:p w:rsidR="00973184" w:rsidRPr="009D4B8D" w:rsidP="00973184">
      <w:pPr>
        <w:pStyle w:val="BodyA"/>
        <w:spacing w:line="480" w:lineRule="auto"/>
        <w:ind w:left="720" w:hanging="720"/>
        <w:rPr>
          <w:rFonts w:hAnsi="Times New Roman" w:cs="Times New Roman"/>
        </w:rPr>
      </w:pPr>
      <w:r w:rsidRPr="009D4B8D">
        <w:rPr>
          <w:rFonts w:hAnsi="Times New Roman" w:cs="Times New Roman"/>
          <w:b/>
          <w:bCs/>
          <w:i/>
          <w:iCs/>
        </w:rPr>
        <w:t xml:space="preserve">A3. </w:t>
      </w:r>
      <w:r w:rsidRPr="009D4B8D">
        <w:rPr>
          <w:rFonts w:hAnsi="Times New Roman" w:cs="Times New Roman"/>
          <w:b/>
          <w:bCs/>
          <w:i/>
          <w:iCs/>
        </w:rPr>
        <w:tab/>
      </w:r>
      <w:r w:rsidRPr="009D4B8D">
        <w:rPr>
          <w:rFonts w:hAnsi="Times New Roman" w:cs="Times New Roman"/>
        </w:rPr>
        <w:t>Yes, I have testified before the Public Utilities Commission of Ohio ("PUCO" or "Commission") and the Michigan Public Service Commission.  The complete list of cases in which I have testified is attached as Attachment MPH-1.</w:t>
      </w:r>
    </w:p>
    <w:p w:rsidR="00973184" w:rsidRPr="009D4B8D" w:rsidP="00973184">
      <w:pPr>
        <w:pStyle w:val="BodyA"/>
        <w:spacing w:line="480" w:lineRule="auto"/>
        <w:ind w:left="720" w:hanging="720"/>
        <w:rPr>
          <w:rFonts w:hAnsi="Times New Roman" w:cs="Times New Roman"/>
        </w:rPr>
      </w:pPr>
    </w:p>
    <w:p w:rsidR="00973184" w:rsidRPr="009D4B8D" w:rsidP="00711988">
      <w:pPr>
        <w:pStyle w:val="Heading1"/>
        <w:rPr>
          <w:rFonts w:ascii="Times New Roman" w:hAnsi="Times New Roman" w:cs="Times New Roman"/>
        </w:rPr>
      </w:pPr>
      <w:bookmarkStart w:id="4" w:name="_Toc430935283"/>
      <w:bookmarkStart w:id="5" w:name="_Toc461534454"/>
      <w:bookmarkStart w:id="6" w:name="_Toc478555241"/>
      <w:r w:rsidRPr="009D4B8D">
        <w:rPr>
          <w:rFonts w:ascii="Times New Roman" w:eastAsia="Arial Unicode MS" w:hAnsi="Times New Roman" w:cs="Times New Roman"/>
        </w:rPr>
        <w:t>PURPOSE OF TESTIMONY</w:t>
      </w:r>
      <w:bookmarkEnd w:id="4"/>
      <w:bookmarkEnd w:id="5"/>
      <w:bookmarkEnd w:id="6"/>
    </w:p>
    <w:p w:rsidR="00973184" w:rsidRPr="009D4B8D" w:rsidP="00973184">
      <w:pPr>
        <w:pStyle w:val="BodyA"/>
        <w:spacing w:line="480" w:lineRule="auto"/>
        <w:ind w:left="720" w:hanging="720"/>
        <w:rPr>
          <w:rFonts w:hAnsi="Times New Roman" w:cs="Times New Roman"/>
        </w:rPr>
      </w:pPr>
    </w:p>
    <w:p w:rsidR="009769C4" w:rsidRPr="009D4B8D" w:rsidP="00263688">
      <w:pPr>
        <w:pStyle w:val="BodyA"/>
        <w:spacing w:line="480" w:lineRule="auto"/>
        <w:ind w:left="720" w:hanging="720"/>
        <w:rPr>
          <w:rFonts w:hAnsi="Times New Roman" w:cs="Times New Roman"/>
          <w:b/>
          <w:bCs/>
          <w:i/>
          <w:iCs/>
        </w:rPr>
      </w:pPr>
      <w:r w:rsidRPr="009D4B8D">
        <w:rPr>
          <w:rFonts w:hAnsi="Times New Roman" w:cs="Times New Roman"/>
          <w:b/>
          <w:bCs/>
          <w:i/>
          <w:iCs/>
        </w:rPr>
        <w:t>Q4.</w:t>
      </w:r>
      <w:r w:rsidRPr="009D4B8D">
        <w:rPr>
          <w:rFonts w:hAnsi="Times New Roman" w:cs="Times New Roman"/>
          <w:b/>
          <w:bCs/>
          <w:i/>
          <w:iCs/>
        </w:rPr>
        <w:tab/>
      </w:r>
      <w:r w:rsidRPr="009D4B8D">
        <w:rPr>
          <w:rFonts w:hAnsi="Times New Roman" w:cs="Times New Roman"/>
          <w:b/>
          <w:bCs/>
          <w:i/>
          <w:iCs/>
          <w:caps/>
        </w:rPr>
        <w:t>What is the purpose of your testimony in this proceeding?</w:t>
      </w:r>
    </w:p>
    <w:p w:rsidR="00C034F1" w:rsidP="00C034F1">
      <w:pPr>
        <w:pStyle w:val="BodyA"/>
        <w:spacing w:line="480" w:lineRule="auto"/>
        <w:ind w:left="720" w:hanging="720"/>
        <w:rPr>
          <w:b/>
          <w:i/>
        </w:rPr>
      </w:pPr>
      <w:r w:rsidRPr="009D4B8D">
        <w:rPr>
          <w:rFonts w:hAnsi="Times New Roman" w:cs="Times New Roman"/>
          <w:b/>
          <w:bCs/>
          <w:i/>
          <w:iCs/>
        </w:rPr>
        <w:t>A4.</w:t>
      </w:r>
      <w:r w:rsidRPr="009D4B8D">
        <w:rPr>
          <w:rFonts w:hAnsi="Times New Roman" w:cs="Times New Roman"/>
          <w:b/>
          <w:bCs/>
          <w:i/>
          <w:iCs/>
        </w:rPr>
        <w:tab/>
      </w:r>
      <w:r w:rsidRPr="009D4B8D">
        <w:rPr>
          <w:rFonts w:hAnsi="Times New Roman" w:cs="Times New Roman"/>
          <w:bCs/>
          <w:iCs/>
        </w:rPr>
        <w:t>On January 30, 2017</w:t>
      </w:r>
      <w:r>
        <w:rPr>
          <w:rFonts w:hAnsi="Times New Roman" w:cs="Times New Roman"/>
          <w:bCs/>
          <w:iCs/>
        </w:rPr>
        <w:t>,</w:t>
      </w:r>
      <w:r w:rsidRPr="009D4B8D">
        <w:rPr>
          <w:rFonts w:hAnsi="Times New Roman" w:cs="Times New Roman"/>
          <w:bCs/>
          <w:iCs/>
        </w:rPr>
        <w:t xml:space="preserve"> Dayton Power &amp; Light (“DP&amp;L” or “Company”) filed a Joint Stipulation and Recommendation to settle its third electric security plan, which was originally filed on February 22, 2016.  </w:t>
      </w:r>
      <w:r>
        <w:rPr>
          <w:rFonts w:hAnsi="Times New Roman" w:cs="Times New Roman"/>
          <w:bCs/>
          <w:iCs/>
        </w:rPr>
        <w:t xml:space="preserve">On March 13, 2017, the Company filed an Amended Stipulation and Recommendation </w:t>
      </w:r>
      <w:r w:rsidRPr="009D4B8D">
        <w:rPr>
          <w:rFonts w:hAnsi="Times New Roman" w:cs="Times New Roman"/>
          <w:bCs/>
          <w:iCs/>
        </w:rPr>
        <w:t>(“</w:t>
      </w:r>
      <w:r>
        <w:rPr>
          <w:rFonts w:hAnsi="Times New Roman" w:cs="Times New Roman"/>
          <w:bCs/>
          <w:iCs/>
        </w:rPr>
        <w:t>Settlement</w:t>
      </w:r>
      <w:r w:rsidRPr="009D4B8D">
        <w:rPr>
          <w:rFonts w:hAnsi="Times New Roman" w:cs="Times New Roman"/>
          <w:bCs/>
          <w:iCs/>
        </w:rPr>
        <w:t>”)</w:t>
      </w:r>
      <w:r>
        <w:rPr>
          <w:rFonts w:hAnsi="Times New Roman" w:cs="Times New Roman"/>
          <w:bCs/>
          <w:iCs/>
        </w:rPr>
        <w:t xml:space="preserve">.  </w:t>
      </w:r>
      <w:r w:rsidRPr="009D4B8D">
        <w:rPr>
          <w:rFonts w:hAnsi="Times New Roman" w:cs="Times New Roman"/>
          <w:bCs/>
          <w:iCs/>
        </w:rPr>
        <w:t>My testimony will evaluate th</w:t>
      </w:r>
      <w:r>
        <w:rPr>
          <w:rFonts w:hAnsi="Times New Roman" w:cs="Times New Roman"/>
          <w:bCs/>
          <w:iCs/>
        </w:rPr>
        <w:t>e</w:t>
      </w:r>
      <w:r w:rsidRPr="009D4B8D">
        <w:rPr>
          <w:rFonts w:hAnsi="Times New Roman" w:cs="Times New Roman"/>
          <w:bCs/>
          <w:iCs/>
        </w:rPr>
        <w:t xml:space="preserve"> </w:t>
      </w:r>
      <w:r>
        <w:rPr>
          <w:rFonts w:hAnsi="Times New Roman" w:cs="Times New Roman"/>
          <w:bCs/>
          <w:iCs/>
        </w:rPr>
        <w:t>Settlement</w:t>
      </w:r>
      <w:r w:rsidRPr="009D4B8D">
        <w:rPr>
          <w:rFonts w:hAnsi="Times New Roman" w:cs="Times New Roman"/>
          <w:bCs/>
          <w:iCs/>
        </w:rPr>
        <w:t xml:space="preserve"> under the PUCO's three-pronged test for settlements.  Specifically, my testimony focuses on the Economic Development Rider in Section IV of the proposed </w:t>
      </w:r>
      <w:r>
        <w:rPr>
          <w:rFonts w:hAnsi="Times New Roman" w:cs="Times New Roman"/>
          <w:bCs/>
          <w:iCs/>
        </w:rPr>
        <w:t>Settlement</w:t>
      </w:r>
      <w:r w:rsidRPr="009D4B8D">
        <w:rPr>
          <w:rFonts w:hAnsi="Times New Roman" w:cs="Times New Roman"/>
          <w:bCs/>
          <w:iCs/>
        </w:rPr>
        <w:t xml:space="preserve">, </w:t>
      </w:r>
      <w:r>
        <w:rPr>
          <w:rFonts w:hAnsi="Times New Roman" w:cs="Times New Roman"/>
          <w:bCs/>
          <w:iCs/>
        </w:rPr>
        <w:t xml:space="preserve">the Economic Development Grant Fund in Section V of the Settlement, the Transmission Cost Recovery Rider – Non-Bypassable (“TCRR-N”) in Section VI of the proposed Settlement, </w:t>
      </w:r>
      <w:r w:rsidRPr="009D4B8D">
        <w:rPr>
          <w:rFonts w:hAnsi="Times New Roman" w:cs="Times New Roman"/>
          <w:bCs/>
          <w:iCs/>
        </w:rPr>
        <w:t xml:space="preserve">and the alleged Competitive Retail Market Enhancements in Section IX of the </w:t>
      </w:r>
      <w:r>
        <w:rPr>
          <w:rFonts w:hAnsi="Times New Roman" w:cs="Times New Roman"/>
          <w:bCs/>
          <w:iCs/>
        </w:rPr>
        <w:t>Settlement</w:t>
      </w:r>
      <w:r w:rsidRPr="009D4B8D">
        <w:rPr>
          <w:rFonts w:hAnsi="Times New Roman" w:cs="Times New Roman"/>
          <w:bCs/>
          <w:iCs/>
        </w:rPr>
        <w:t>.</w:t>
      </w:r>
      <w:r>
        <w:rPr>
          <w:rFonts w:hAnsi="Times New Roman" w:cs="Times New Roman"/>
          <w:b/>
          <w:i/>
        </w:rPr>
        <w:br w:type="page"/>
      </w:r>
    </w:p>
    <w:p w:rsidR="009546A5" w:rsidRPr="009D4B8D" w:rsidP="002336BD">
      <w:pPr>
        <w:pStyle w:val="BodyA"/>
        <w:spacing w:line="480" w:lineRule="auto"/>
        <w:ind w:left="720" w:hanging="720"/>
        <w:rPr>
          <w:rFonts w:hAnsi="Times New Roman" w:cs="Times New Roman"/>
          <w:b/>
          <w:i/>
        </w:rPr>
      </w:pPr>
      <w:r w:rsidRPr="009D4B8D">
        <w:rPr>
          <w:rFonts w:hAnsi="Times New Roman" w:cs="Times New Roman"/>
          <w:b/>
          <w:i/>
        </w:rPr>
        <w:t>Q5.</w:t>
      </w:r>
      <w:r w:rsidRPr="009D4B8D">
        <w:rPr>
          <w:rFonts w:hAnsi="Times New Roman" w:cs="Times New Roman"/>
          <w:b/>
          <w:i/>
        </w:rPr>
        <w:tab/>
        <w:t>PLEASE SUMMARIZE YOUR OPINIONS REGARDING THE STIPULATION.</w:t>
      </w:r>
    </w:p>
    <w:p w:rsidR="00E528AA" w:rsidP="008E6DA7">
      <w:pPr>
        <w:pStyle w:val="BodyA"/>
        <w:spacing w:line="480" w:lineRule="auto"/>
        <w:ind w:left="720" w:hanging="720"/>
        <w:rPr>
          <w:rFonts w:hAnsi="Times New Roman" w:cs="Times New Roman"/>
        </w:rPr>
      </w:pPr>
      <w:r w:rsidRPr="009D4B8D">
        <w:rPr>
          <w:rFonts w:hAnsi="Times New Roman" w:cs="Times New Roman"/>
          <w:b/>
          <w:i/>
        </w:rPr>
        <w:t>A5.</w:t>
      </w:r>
      <w:r w:rsidRPr="009D4B8D">
        <w:rPr>
          <w:rFonts w:hAnsi="Times New Roman" w:cs="Times New Roman"/>
        </w:rPr>
        <w:tab/>
        <w:t xml:space="preserve">I recommend that the PUCO reject the </w:t>
      </w:r>
      <w:r>
        <w:rPr>
          <w:rFonts w:hAnsi="Times New Roman" w:cs="Times New Roman"/>
        </w:rPr>
        <w:t>Settlement</w:t>
      </w:r>
      <w:r w:rsidRPr="009D4B8D">
        <w:rPr>
          <w:rFonts w:hAnsi="Times New Roman" w:cs="Times New Roman"/>
        </w:rPr>
        <w:t xml:space="preserve"> as filed.  It does not meet the PUCO's three-pronged test to evaluate settlements.</w:t>
      </w:r>
    </w:p>
    <w:p w:rsidR="004B554E" w:rsidRPr="009D4B8D" w:rsidP="008E6DA7">
      <w:pPr>
        <w:pStyle w:val="BodyA"/>
        <w:spacing w:line="480" w:lineRule="auto"/>
        <w:ind w:left="720" w:hanging="720"/>
        <w:rPr>
          <w:rFonts w:hAnsi="Times New Roman" w:cs="Times New Roman"/>
        </w:rPr>
      </w:pPr>
    </w:p>
    <w:p w:rsidR="009769C4" w:rsidRPr="009D4B8D" w:rsidP="009A4CDE">
      <w:pPr>
        <w:pStyle w:val="DirectQuestion"/>
        <w:ind w:left="720" w:hanging="720"/>
        <w:rPr>
          <w:rFonts w:hAnsi="Times New Roman" w:cs="Times New Roman"/>
        </w:rPr>
      </w:pPr>
      <w:r w:rsidRPr="009D4B8D">
        <w:rPr>
          <w:rFonts w:hAnsi="Times New Roman" w:cs="Times New Roman"/>
        </w:rPr>
        <w:t>Q6.</w:t>
      </w:r>
      <w:r w:rsidRPr="009D4B8D">
        <w:rPr>
          <w:rFonts w:hAnsi="Times New Roman" w:cs="Times New Roman"/>
        </w:rPr>
        <w:tab/>
        <w:t>What ARE the PUCO's standards of review for evaluating proposed STIPULATIONS?</w:t>
      </w:r>
    </w:p>
    <w:p w:rsidR="00E528AA" w:rsidRPr="009D4B8D" w:rsidP="00E528AA">
      <w:pPr>
        <w:pStyle w:val="DirectAnswer"/>
        <w:rPr>
          <w:rFonts w:hAnsi="Times New Roman" w:cs="Times New Roman"/>
        </w:rPr>
      </w:pPr>
      <w:r w:rsidRPr="009D4B8D">
        <w:rPr>
          <w:rFonts w:hAnsi="Times New Roman" w:cs="Times New Roman"/>
          <w:b/>
          <w:bCs/>
          <w:i/>
          <w:iCs/>
        </w:rPr>
        <w:t>A6.</w:t>
      </w:r>
      <w:r w:rsidRPr="009D4B8D">
        <w:rPr>
          <w:rFonts w:hAnsi="Times New Roman" w:cs="Times New Roman"/>
          <w:b/>
          <w:bCs/>
          <w:i/>
          <w:iCs/>
        </w:rPr>
        <w:tab/>
      </w:r>
      <w:r w:rsidRPr="009D4B8D">
        <w:rPr>
          <w:rFonts w:hAnsi="Times New Roman" w:cs="Times New Roman"/>
        </w:rPr>
        <w:t>The PUCO uses these criteria for evaluating the reasonableness of a proposed stipulation:</w:t>
      </w:r>
    </w:p>
    <w:p w:rsidR="00E528AA" w:rsidRPr="009D4B8D" w:rsidP="00101890">
      <w:pPr>
        <w:pStyle w:val="DirectNext"/>
        <w:numPr>
          <w:ilvl w:val="0"/>
          <w:numId w:val="6"/>
        </w:numPr>
        <w:tabs>
          <w:tab w:val="num" w:pos="1440"/>
        </w:tabs>
        <w:spacing w:line="480" w:lineRule="auto"/>
        <w:ind w:left="1440" w:right="720" w:hanging="720"/>
        <w:rPr>
          <w:rFonts w:hAnsi="Times New Roman" w:cs="Times New Roman"/>
        </w:rPr>
      </w:pPr>
      <w:r w:rsidRPr="009D4B8D">
        <w:rPr>
          <w:rFonts w:hAnsi="Times New Roman" w:cs="Times New Roman"/>
        </w:rPr>
        <w:t>Is the proposed stipulation a product of serious bargaining among capable, knowledgeable parties?</w:t>
      </w:r>
    </w:p>
    <w:p w:rsidR="00CC7587" w:rsidRPr="009D4B8D" w:rsidP="00101890">
      <w:pPr>
        <w:pStyle w:val="ListParagraph"/>
        <w:numPr>
          <w:ilvl w:val="0"/>
          <w:numId w:val="6"/>
        </w:numPr>
        <w:tabs>
          <w:tab w:val="num" w:pos="1440"/>
        </w:tabs>
        <w:spacing w:line="480" w:lineRule="auto"/>
        <w:ind w:left="1440" w:right="720" w:hanging="720"/>
        <w:rPr>
          <w:rFonts w:hAnsi="Times New Roman" w:cs="Times New Roman"/>
        </w:rPr>
      </w:pPr>
      <w:r w:rsidRPr="009D4B8D">
        <w:rPr>
          <w:rFonts w:hAnsi="Times New Roman" w:cs="Times New Roman"/>
        </w:rPr>
        <w:t>Does the proposed stipulation, as a package, benefit customers and the public interest?</w:t>
      </w:r>
    </w:p>
    <w:p w:rsidR="002B203E" w:rsidRPr="00AC22DA" w:rsidP="0024113D">
      <w:pPr>
        <w:pStyle w:val="DirectNext"/>
        <w:numPr>
          <w:ilvl w:val="0"/>
          <w:numId w:val="6"/>
        </w:numPr>
        <w:tabs>
          <w:tab w:val="num" w:pos="1440"/>
        </w:tabs>
        <w:spacing w:line="480" w:lineRule="auto"/>
        <w:ind w:left="1440" w:right="720" w:hanging="720"/>
      </w:pPr>
      <w:r w:rsidRPr="0024113D">
        <w:rPr>
          <w:rFonts w:hAnsi="Times New Roman" w:cs="Times New Roman"/>
        </w:rPr>
        <w:t>Does the proposed stipulation violate any important regulatory principle or practice?</w:t>
      </w:r>
      <w:r>
        <w:rPr>
          <w:rStyle w:val="FootnoteReference"/>
          <w:rFonts w:hAnsi="Times New Roman" w:cs="Times New Roman"/>
        </w:rPr>
        <w:footnoteReference w:id="3"/>
      </w:r>
    </w:p>
    <w:p w:rsidR="00AC22DA" w:rsidRPr="002B203E" w:rsidP="00AC22DA">
      <w:pPr>
        <w:pStyle w:val="DirectNext"/>
        <w:spacing w:line="480" w:lineRule="auto"/>
        <w:ind w:left="1440" w:right="720"/>
      </w:pPr>
    </w:p>
    <w:p w:rsidR="0024113D" w:rsidP="00C15E82">
      <w:pPr>
        <w:spacing w:line="480" w:lineRule="auto"/>
        <w:ind w:left="720"/>
      </w:pPr>
      <w:r w:rsidRPr="009D4B8D">
        <w:t>In addition to these three criteria, the PUCO also routinely considers whether the parties to the stipulation represent diverse interests.</w:t>
      </w:r>
      <w:r>
        <w:rPr>
          <w:rStyle w:val="FootnoteReference"/>
        </w:rPr>
        <w:footnoteReference w:id="4"/>
      </w:r>
      <w:bookmarkStart w:id="7" w:name="_Toc461534455"/>
    </w:p>
    <w:p w:rsidR="00C13EF1" w:rsidRPr="009D4B8D" w:rsidP="00711988">
      <w:pPr>
        <w:pStyle w:val="Heading1"/>
        <w:rPr>
          <w:rFonts w:ascii="Times New Roman" w:hAnsi="Times New Roman" w:cs="Times New Roman"/>
        </w:rPr>
      </w:pPr>
      <w:bookmarkStart w:id="8" w:name="_Toc478555242"/>
      <w:r w:rsidRPr="009D4B8D">
        <w:rPr>
          <w:rFonts w:ascii="Times New Roman" w:hAnsi="Times New Roman" w:cs="Times New Roman"/>
        </w:rPr>
        <w:t xml:space="preserve">Evaluation of the PROPOSED </w:t>
      </w:r>
      <w:bookmarkEnd w:id="7"/>
      <w:r w:rsidRPr="009D4B8D">
        <w:rPr>
          <w:rFonts w:ascii="Times New Roman" w:hAnsi="Times New Roman" w:cs="Times New Roman"/>
        </w:rPr>
        <w:t>STIPULATION</w:t>
      </w:r>
      <w:bookmarkEnd w:id="8"/>
    </w:p>
    <w:p w:rsidR="007D50A4" w:rsidRPr="009D4B8D" w:rsidP="0012671A">
      <w:pPr>
        <w:pStyle w:val="BodyA"/>
        <w:spacing w:line="480" w:lineRule="auto"/>
        <w:rPr>
          <w:rFonts w:hAnsi="Times New Roman" w:cs="Times New Roman"/>
        </w:rPr>
      </w:pPr>
    </w:p>
    <w:p w:rsidR="009B3A1B" w:rsidRPr="009D4B8D" w:rsidP="0012671A">
      <w:pPr>
        <w:pStyle w:val="DirectQuestion"/>
        <w:ind w:left="720" w:hanging="720"/>
        <w:rPr>
          <w:rFonts w:hAnsi="Times New Roman" w:cs="Times New Roman"/>
        </w:rPr>
      </w:pPr>
      <w:r w:rsidRPr="009D4B8D">
        <w:rPr>
          <w:rFonts w:hAnsi="Times New Roman" w:cs="Times New Roman"/>
        </w:rPr>
        <w:t>Q7.</w:t>
      </w:r>
      <w:r w:rsidRPr="009D4B8D">
        <w:rPr>
          <w:rFonts w:hAnsi="Times New Roman" w:cs="Times New Roman"/>
        </w:rPr>
        <w:tab/>
        <w:t xml:space="preserve">who are the signatory parties to the PROPOSED </w:t>
      </w:r>
      <w:r>
        <w:rPr>
          <w:rFonts w:hAnsi="Times New Roman" w:cs="Times New Roman"/>
        </w:rPr>
        <w:t>SETTLEMENT</w:t>
      </w:r>
      <w:r w:rsidRPr="009D4B8D">
        <w:rPr>
          <w:rFonts w:hAnsi="Times New Roman" w:cs="Times New Roman"/>
        </w:rPr>
        <w:t>?</w:t>
      </w:r>
    </w:p>
    <w:p w:rsidR="008A24B4" w:rsidP="00437A1B">
      <w:pPr>
        <w:pStyle w:val="BodyA"/>
        <w:spacing w:line="480" w:lineRule="auto"/>
        <w:ind w:left="720" w:hanging="720"/>
        <w:rPr>
          <w:rFonts w:hAnsi="Times New Roman" w:cs="Times New Roman"/>
        </w:rPr>
      </w:pPr>
      <w:r w:rsidRPr="009D4B8D">
        <w:rPr>
          <w:rFonts w:hAnsi="Times New Roman" w:cs="Times New Roman"/>
          <w:b/>
          <w:i/>
        </w:rPr>
        <w:t>A7.</w:t>
      </w:r>
      <w:r w:rsidRPr="009D4B8D">
        <w:rPr>
          <w:rFonts w:hAnsi="Times New Roman" w:cs="Times New Roman"/>
          <w:b/>
          <w:i/>
        </w:rPr>
        <w:tab/>
      </w:r>
      <w:r w:rsidRPr="009D4B8D">
        <w:rPr>
          <w:rFonts w:hAnsi="Times New Roman" w:cs="Times New Roman"/>
        </w:rPr>
        <w:t xml:space="preserve">The Signatory Parties are DP&amp;L, </w:t>
      </w:r>
      <w:r>
        <w:rPr>
          <w:rFonts w:hAnsi="Times New Roman" w:cs="Times New Roman"/>
        </w:rPr>
        <w:t xml:space="preserve">the PUCO Staff (“Staff”), </w:t>
      </w:r>
      <w:r w:rsidRPr="009D4B8D">
        <w:rPr>
          <w:rFonts w:hAnsi="Times New Roman" w:cs="Times New Roman"/>
        </w:rPr>
        <w:t xml:space="preserve">the City of Dayton, Interstate Gas Supply (“IGS”), the Retail Energy Supply Association (“RESA”), Edgemont Neighborhood Coalition, People Working Cooperatively, Ohio Hospital Association, </w:t>
      </w:r>
      <w:r>
        <w:rPr>
          <w:rFonts w:hAnsi="Times New Roman" w:cs="Times New Roman"/>
        </w:rPr>
        <w:t xml:space="preserve">the Ohio Energy Group “(OEG”), Ohio Partners for Affordable Energy (“OPAE”), </w:t>
      </w:r>
      <w:r w:rsidRPr="009D4B8D">
        <w:rPr>
          <w:rFonts w:hAnsi="Times New Roman" w:cs="Times New Roman"/>
        </w:rPr>
        <w:t xml:space="preserve">and </w:t>
      </w:r>
      <w:r>
        <w:rPr>
          <w:rFonts w:hAnsi="Times New Roman" w:cs="Times New Roman"/>
        </w:rPr>
        <w:t>the Kroger Company (“Kroger”)</w:t>
      </w:r>
      <w:r w:rsidRPr="009D4B8D">
        <w:rPr>
          <w:rFonts w:hAnsi="Times New Roman" w:cs="Times New Roman"/>
        </w:rPr>
        <w:t xml:space="preserve">.  In addition, </w:t>
      </w:r>
      <w:r>
        <w:rPr>
          <w:rFonts w:hAnsi="Times New Roman" w:cs="Times New Roman"/>
        </w:rPr>
        <w:t xml:space="preserve">Industrial Energy Users-Ohio (“IEU”), the Ohio Manufacturers’ Association Energy Group (“OMAEG”), Enernoc, Inc., Honda of America, MFG., Inc. (“Honda”) and Mid-Atlantic Renewable Energy Coalition (“MAREC”) </w:t>
      </w:r>
      <w:r w:rsidRPr="009D4B8D">
        <w:rPr>
          <w:rFonts w:hAnsi="Times New Roman" w:cs="Times New Roman"/>
        </w:rPr>
        <w:t xml:space="preserve">agreed not to oppose this </w:t>
      </w:r>
      <w:r>
        <w:rPr>
          <w:rFonts w:hAnsi="Times New Roman" w:cs="Times New Roman"/>
        </w:rPr>
        <w:t>Settlement</w:t>
      </w:r>
      <w:r w:rsidRPr="009D4B8D">
        <w:rPr>
          <w:rFonts w:hAnsi="Times New Roman" w:cs="Times New Roman"/>
        </w:rPr>
        <w:t>.</w:t>
      </w:r>
    </w:p>
    <w:p w:rsidR="002B203E" w:rsidRPr="009D4B8D" w:rsidP="00437A1B">
      <w:pPr>
        <w:pStyle w:val="BodyA"/>
        <w:spacing w:line="480" w:lineRule="auto"/>
        <w:ind w:left="720" w:hanging="720"/>
        <w:rPr>
          <w:rFonts w:hAnsi="Times New Roman" w:cs="Times New Roman"/>
        </w:rPr>
      </w:pPr>
    </w:p>
    <w:p w:rsidR="009769C4" w:rsidRPr="009D4B8D" w:rsidP="009A4CDE">
      <w:pPr>
        <w:pStyle w:val="DirectQuestion"/>
        <w:ind w:left="720" w:hanging="720"/>
        <w:rPr>
          <w:rFonts w:hAnsi="Times New Roman" w:cs="Times New Roman"/>
        </w:rPr>
      </w:pPr>
      <w:r w:rsidRPr="009D4B8D">
        <w:rPr>
          <w:rFonts w:hAnsi="Times New Roman" w:cs="Times New Roman"/>
        </w:rPr>
        <w:t>Q8.</w:t>
      </w:r>
      <w:r w:rsidRPr="009D4B8D">
        <w:rPr>
          <w:rFonts w:hAnsi="Times New Roman" w:cs="Times New Roman"/>
        </w:rPr>
        <w:tab/>
        <w:t xml:space="preserve">Does the </w:t>
      </w:r>
      <w:r>
        <w:rPr>
          <w:rFonts w:hAnsi="Times New Roman" w:cs="Times New Roman"/>
        </w:rPr>
        <w:t>SETTLEMENT</w:t>
      </w:r>
      <w:r w:rsidRPr="009D4B8D">
        <w:rPr>
          <w:rFonts w:hAnsi="Times New Roman" w:cs="Times New Roman"/>
        </w:rPr>
        <w:t>, as a package, benefit CUSTOMERs and the public interest?</w:t>
      </w:r>
    </w:p>
    <w:p w:rsidR="00E10177" w:rsidP="007F065E">
      <w:pPr>
        <w:pStyle w:val="NoSpacing"/>
        <w:spacing w:line="480" w:lineRule="auto"/>
        <w:ind w:left="720" w:hanging="720"/>
      </w:pPr>
      <w:r w:rsidRPr="009D4B8D">
        <w:rPr>
          <w:b/>
          <w:bCs/>
          <w:i/>
          <w:iCs/>
        </w:rPr>
        <w:t>A8.</w:t>
      </w:r>
      <w:r w:rsidRPr="009D4B8D">
        <w:rPr>
          <w:b/>
          <w:bCs/>
          <w:i/>
          <w:iCs/>
        </w:rPr>
        <w:tab/>
      </w:r>
      <w:r w:rsidRPr="009D4B8D">
        <w:t xml:space="preserve">No.  </w:t>
      </w:r>
      <w:r>
        <w:t>As I describe in more detail later, the TCRR-N and the supplier consolidated billing pilot programs</w:t>
      </w:r>
      <w:r w:rsidRPr="009D4B8D">
        <w:t xml:space="preserve"> </w:t>
      </w:r>
      <w:r>
        <w:t xml:space="preserve">neither </w:t>
      </w:r>
      <w:r w:rsidRPr="009D4B8D">
        <w:t>benefit customers</w:t>
      </w:r>
      <w:r>
        <w:t xml:space="preserve"> nor the public interest</w:t>
      </w:r>
      <w:r w:rsidRPr="009D4B8D">
        <w:t>.</w:t>
      </w:r>
    </w:p>
    <w:p w:rsidR="00895AEE" w:rsidP="007F065E">
      <w:pPr>
        <w:pStyle w:val="NoSpacing"/>
        <w:spacing w:line="480" w:lineRule="auto"/>
        <w:ind w:left="720" w:hanging="720"/>
      </w:pPr>
    </w:p>
    <w:p w:rsidR="00277B4D" w:rsidRPr="009D4B8D" w:rsidP="00277B4D">
      <w:pPr>
        <w:pStyle w:val="BodyA"/>
        <w:spacing w:line="480" w:lineRule="auto"/>
        <w:ind w:left="720" w:hanging="720"/>
        <w:rPr>
          <w:rFonts w:hAnsi="Times New Roman" w:cs="Times New Roman"/>
          <w:b/>
          <w:i/>
        </w:rPr>
      </w:pPr>
      <w:r w:rsidRPr="009D4B8D">
        <w:rPr>
          <w:rFonts w:hAnsi="Times New Roman" w:cs="Times New Roman"/>
          <w:b/>
          <w:i/>
        </w:rPr>
        <w:t>Q9.</w:t>
      </w:r>
      <w:r w:rsidRPr="009D4B8D">
        <w:rPr>
          <w:rFonts w:hAnsi="Times New Roman" w:cs="Times New Roman"/>
          <w:b/>
          <w:i/>
        </w:rPr>
        <w:tab/>
      </w:r>
      <w:r>
        <w:rPr>
          <w:rFonts w:hAnsi="Times New Roman" w:cs="Times New Roman"/>
          <w:b/>
          <w:i/>
          <w:caps/>
        </w:rPr>
        <w:t>Describe the proposed TCRR-N Pilot program.</w:t>
      </w:r>
    </w:p>
    <w:p w:rsidR="00277B4D" w:rsidRPr="009D4B8D" w:rsidP="00277B4D">
      <w:pPr>
        <w:pStyle w:val="NoSpacing"/>
        <w:spacing w:line="480" w:lineRule="auto"/>
        <w:ind w:left="720" w:hanging="720"/>
      </w:pPr>
      <w:r w:rsidRPr="009D4B8D">
        <w:rPr>
          <w:b/>
          <w:i/>
        </w:rPr>
        <w:t>A9</w:t>
      </w:r>
      <w:r w:rsidRPr="009D4B8D">
        <w:rPr>
          <w:b/>
        </w:rPr>
        <w:t>.</w:t>
      </w:r>
      <w:r w:rsidRPr="009D4B8D">
        <w:tab/>
        <w:t xml:space="preserve">The </w:t>
      </w:r>
      <w:r>
        <w:t>TCRR-N pilot program allows up to 50 primary voltage level customers to opt out of the current TCRR-N rider and obtain transmission and ancillary services either directly from PJM or through a Certified Retail Electric Supplier (“CRES” or “Marketer”).  The term coincides with the six-year term of the ESP.  The purpose of the program is to “explore whether certain customers could benefit from opting out of DP&amp;L’s TCRR-N.”</w:t>
      </w:r>
      <w:r>
        <w:rPr>
          <w:rStyle w:val="FootnoteReference"/>
        </w:rPr>
        <w:footnoteReference w:id="5"/>
      </w:r>
    </w:p>
    <w:p w:rsidR="00C3238F" w:rsidRPr="009D4B8D" w:rsidP="000C5C34">
      <w:pPr>
        <w:pStyle w:val="NoSpacing"/>
        <w:spacing w:line="480" w:lineRule="auto"/>
        <w:ind w:left="720" w:hanging="720"/>
      </w:pPr>
    </w:p>
    <w:p w:rsidR="00D62E56" w:rsidRPr="009D4B8D" w:rsidP="00DB34F7">
      <w:pPr>
        <w:pStyle w:val="BodyA"/>
        <w:spacing w:line="480" w:lineRule="auto"/>
        <w:ind w:left="720" w:hanging="720"/>
        <w:rPr>
          <w:rFonts w:hAnsi="Times New Roman" w:cs="Times New Roman"/>
          <w:b/>
          <w:i/>
        </w:rPr>
      </w:pPr>
      <w:r w:rsidRPr="009D4B8D">
        <w:rPr>
          <w:rFonts w:hAnsi="Times New Roman" w:cs="Times New Roman"/>
          <w:b/>
          <w:i/>
        </w:rPr>
        <w:t>Q</w:t>
      </w:r>
      <w:r>
        <w:rPr>
          <w:rFonts w:hAnsi="Times New Roman" w:cs="Times New Roman"/>
          <w:b/>
          <w:i/>
        </w:rPr>
        <w:t>10</w:t>
      </w:r>
      <w:r w:rsidRPr="009D4B8D">
        <w:rPr>
          <w:rFonts w:hAnsi="Times New Roman" w:cs="Times New Roman"/>
          <w:b/>
          <w:i/>
        </w:rPr>
        <w:t>.</w:t>
      </w:r>
      <w:r w:rsidRPr="009D4B8D">
        <w:rPr>
          <w:rFonts w:hAnsi="Times New Roman" w:cs="Times New Roman"/>
          <w:b/>
          <w:i/>
        </w:rPr>
        <w:tab/>
      </w:r>
      <w:r>
        <w:rPr>
          <w:rFonts w:hAnsi="Times New Roman" w:cs="Times New Roman"/>
          <w:b/>
          <w:i/>
          <w:caps/>
        </w:rPr>
        <w:t xml:space="preserve">Does the proposed TCRR-N pilot program </w:t>
      </w:r>
      <w:r w:rsidRPr="009D4B8D">
        <w:rPr>
          <w:rFonts w:hAnsi="Times New Roman" w:cs="Times New Roman"/>
          <w:b/>
          <w:i/>
          <w:caps/>
        </w:rPr>
        <w:t>benefit customers?</w:t>
      </w:r>
    </w:p>
    <w:p w:rsidR="00436164" w:rsidRPr="009D4B8D" w:rsidP="008F5170">
      <w:pPr>
        <w:pStyle w:val="BodyA"/>
        <w:spacing w:line="480" w:lineRule="auto"/>
        <w:ind w:left="720" w:hanging="720"/>
        <w:rPr>
          <w:rFonts w:hAnsi="Times New Roman" w:cs="Times New Roman"/>
        </w:rPr>
      </w:pPr>
      <w:r w:rsidRPr="009D4B8D">
        <w:rPr>
          <w:rFonts w:hAnsi="Times New Roman" w:cs="Times New Roman"/>
          <w:b/>
          <w:i/>
        </w:rPr>
        <w:t>A</w:t>
      </w:r>
      <w:r>
        <w:rPr>
          <w:rFonts w:hAnsi="Times New Roman" w:cs="Times New Roman"/>
          <w:b/>
          <w:i/>
        </w:rPr>
        <w:t>10</w:t>
      </w:r>
      <w:r w:rsidRPr="009D4B8D">
        <w:rPr>
          <w:rFonts w:hAnsi="Times New Roman" w:cs="Times New Roman"/>
          <w:b/>
        </w:rPr>
        <w:t>.</w:t>
      </w:r>
      <w:r w:rsidRPr="009D4B8D">
        <w:rPr>
          <w:rFonts w:hAnsi="Times New Roman" w:cs="Times New Roman"/>
        </w:rPr>
        <w:tab/>
      </w:r>
      <w:r>
        <w:rPr>
          <w:rFonts w:hAnsi="Times New Roman" w:cs="Times New Roman"/>
        </w:rPr>
        <w:t>No, t</w:t>
      </w:r>
      <w:r w:rsidRPr="009D4B8D">
        <w:rPr>
          <w:rFonts w:hAnsi="Times New Roman" w:cs="Times New Roman"/>
        </w:rPr>
        <w:t xml:space="preserve">he </w:t>
      </w:r>
      <w:r>
        <w:rPr>
          <w:rFonts w:hAnsi="Times New Roman" w:cs="Times New Roman"/>
        </w:rPr>
        <w:t xml:space="preserve">TCRR-N is not set up the way a traditional pilot program should be.  In fact, it is not consistent with another pilot program proposed in the Settlement.  A “pilot program” is usually a small-scale, short-term program used to determine how a larger program may work in the future.  Although the pilot program included in the Settlement may be small scale given the number of its participants.  However, the pilot is not short term, it does not identify any objectives it wishes to achieve, nor does it require a demonstration of the benefits for the program.  Specifically, the Settlement does not provide any details as to how the program will be evaluated or who will pay the implementation costs of this program.  This pilot program should only be deployed if it provides benefits to participants and does not shift unnecessary costs to non-participants. </w:t>
      </w:r>
      <w:r w:rsidR="00AC22DA">
        <w:rPr>
          <w:rFonts w:hAnsi="Times New Roman" w:cs="Times New Roman"/>
        </w:rPr>
        <w:t xml:space="preserve"> </w:t>
      </w:r>
      <w:r>
        <w:rPr>
          <w:rFonts w:hAnsi="Times New Roman" w:cs="Times New Roman"/>
        </w:rPr>
        <w:t>As I state below</w:t>
      </w:r>
      <w:r w:rsidR="00AC22DA">
        <w:rPr>
          <w:rFonts w:hAnsi="Times New Roman" w:cs="Times New Roman"/>
        </w:rPr>
        <w:t>,</w:t>
      </w:r>
      <w:r>
        <w:rPr>
          <w:rFonts w:hAnsi="Times New Roman" w:cs="Times New Roman"/>
        </w:rPr>
        <w:t xml:space="preserve"> I do not agree with the proposed suppliers consolidated billing program but it does contain aspects expected of a pilot program.  The proposed supplier consolidated billing pilot program has a term of two years, states the purpose of the program, outlines costs to be collected from customers, requires a meeting to govern the implementation, and concludes with the suggestion of a report by Staff.  At a bare minimum, the TCRR-N pilot program should require DP&amp;L to outline the goals it wishes to achieve, determine the costs required to implement this program, define the anticipated benefits to participants, and calculate any possible cost shifts from participants to non-participants.  Additionally, the pilot program should be evaluated after a two-year period to determine if it is benefitting </w:t>
      </w:r>
      <w:r w:rsidRPr="00E126DC">
        <w:rPr>
          <w:rFonts w:hAnsi="Times New Roman" w:cs="Times New Roman"/>
          <w:b/>
          <w:u w:val="single"/>
        </w:rPr>
        <w:t>all</w:t>
      </w:r>
      <w:r>
        <w:rPr>
          <w:rFonts w:hAnsi="Times New Roman" w:cs="Times New Roman"/>
        </w:rPr>
        <w:t xml:space="preserve"> customers, not just “certain” customers.  To facilitate this evaluation, DP&amp;L should have to file a report outlining the program’s goals and whether those goals are being achieved.</w:t>
      </w:r>
    </w:p>
    <w:p w:rsidR="00896C7B" w:rsidRPr="009D4B8D" w:rsidP="008F5170">
      <w:pPr>
        <w:pStyle w:val="BodyA"/>
        <w:spacing w:line="480" w:lineRule="auto"/>
        <w:ind w:left="720" w:hanging="720"/>
        <w:rPr>
          <w:rFonts w:hAnsi="Times New Roman" w:cs="Times New Roman"/>
        </w:rPr>
      </w:pPr>
    </w:p>
    <w:p w:rsidR="00896C7B" w:rsidRPr="009D4B8D" w:rsidP="00896C7B">
      <w:pPr>
        <w:pStyle w:val="DirectQuestion"/>
        <w:ind w:left="720" w:hanging="720"/>
        <w:rPr>
          <w:rFonts w:hAnsi="Times New Roman" w:cs="Times New Roman"/>
        </w:rPr>
      </w:pPr>
      <w:r w:rsidRPr="009D4B8D">
        <w:rPr>
          <w:rFonts w:hAnsi="Times New Roman" w:cs="Times New Roman"/>
        </w:rPr>
        <w:t>Q1</w:t>
      </w:r>
      <w:r>
        <w:rPr>
          <w:rFonts w:hAnsi="Times New Roman" w:cs="Times New Roman"/>
        </w:rPr>
        <w:t>1</w:t>
      </w:r>
      <w:r w:rsidRPr="009D4B8D">
        <w:rPr>
          <w:rFonts w:hAnsi="Times New Roman" w:cs="Times New Roman"/>
        </w:rPr>
        <w:t>.</w:t>
      </w:r>
      <w:r w:rsidRPr="009D4B8D">
        <w:rPr>
          <w:rFonts w:hAnsi="Times New Roman" w:cs="Times New Roman"/>
        </w:rPr>
        <w:tab/>
        <w:t>What is Supplier CONSOLIDATED billing?</w:t>
      </w:r>
    </w:p>
    <w:p w:rsidR="00896C7B" w:rsidP="00437A1B">
      <w:pPr>
        <w:pStyle w:val="BodyA"/>
        <w:spacing w:line="480" w:lineRule="auto"/>
        <w:ind w:left="720" w:hanging="720"/>
        <w:rPr>
          <w:rFonts w:hAnsi="Times New Roman" w:cs="Times New Roman"/>
          <w:bCs/>
          <w:iCs/>
        </w:rPr>
      </w:pPr>
      <w:r w:rsidRPr="009D4B8D">
        <w:rPr>
          <w:rFonts w:hAnsi="Times New Roman" w:cs="Times New Roman"/>
          <w:b/>
          <w:bCs/>
          <w:i/>
          <w:iCs/>
        </w:rPr>
        <w:t>A1</w:t>
      </w:r>
      <w:r>
        <w:rPr>
          <w:rFonts w:hAnsi="Times New Roman" w:cs="Times New Roman"/>
          <w:b/>
          <w:bCs/>
          <w:i/>
          <w:iCs/>
        </w:rPr>
        <w:t>1</w:t>
      </w:r>
      <w:r w:rsidRPr="009D4B8D">
        <w:rPr>
          <w:rFonts w:hAnsi="Times New Roman" w:cs="Times New Roman"/>
          <w:b/>
          <w:bCs/>
          <w:i/>
          <w:iCs/>
        </w:rPr>
        <w:t>.</w:t>
      </w:r>
      <w:r w:rsidRPr="009D4B8D">
        <w:rPr>
          <w:rFonts w:hAnsi="Times New Roman" w:cs="Times New Roman"/>
          <w:b/>
          <w:bCs/>
          <w:i/>
          <w:iCs/>
        </w:rPr>
        <w:tab/>
      </w:r>
      <w:r w:rsidRPr="009D4B8D">
        <w:rPr>
          <w:rFonts w:hAnsi="Times New Roman" w:cs="Times New Roman"/>
          <w:bCs/>
          <w:iCs/>
        </w:rPr>
        <w:t xml:space="preserve">It is when a </w:t>
      </w:r>
      <w:r>
        <w:rPr>
          <w:rFonts w:hAnsi="Times New Roman" w:cs="Times New Roman"/>
          <w:bCs/>
          <w:iCs/>
        </w:rPr>
        <w:t>M</w:t>
      </w:r>
      <w:r w:rsidRPr="009D4B8D">
        <w:rPr>
          <w:rFonts w:hAnsi="Times New Roman" w:cs="Times New Roman"/>
          <w:bCs/>
          <w:iCs/>
        </w:rPr>
        <w:t>arketer</w:t>
      </w:r>
      <w:r>
        <w:rPr>
          <w:rFonts w:hAnsi="Times New Roman" w:cs="Times New Roman"/>
          <w:bCs/>
          <w:iCs/>
        </w:rPr>
        <w:t xml:space="preserve"> </w:t>
      </w:r>
      <w:r w:rsidRPr="009D4B8D">
        <w:rPr>
          <w:rFonts w:hAnsi="Times New Roman" w:cs="Times New Roman"/>
          <w:bCs/>
          <w:iCs/>
        </w:rPr>
        <w:t xml:space="preserve">bills its customers for both the regulated distribution portion of a customer’s bill along with the deregulated generation portion of the bill.  The </w:t>
      </w:r>
      <w:r>
        <w:rPr>
          <w:rFonts w:hAnsi="Times New Roman" w:cs="Times New Roman"/>
          <w:bCs/>
          <w:iCs/>
        </w:rPr>
        <w:t>M</w:t>
      </w:r>
      <w:r w:rsidRPr="009D4B8D">
        <w:rPr>
          <w:rFonts w:hAnsi="Times New Roman" w:cs="Times New Roman"/>
          <w:bCs/>
          <w:iCs/>
        </w:rPr>
        <w:t xml:space="preserve">arketer is then responsible for collecting all charges from the customer.  The </w:t>
      </w:r>
      <w:r>
        <w:rPr>
          <w:rFonts w:hAnsi="Times New Roman" w:cs="Times New Roman"/>
          <w:bCs/>
          <w:iCs/>
        </w:rPr>
        <w:t>M</w:t>
      </w:r>
      <w:r w:rsidRPr="009D4B8D">
        <w:rPr>
          <w:rFonts w:hAnsi="Times New Roman" w:cs="Times New Roman"/>
          <w:bCs/>
          <w:iCs/>
        </w:rPr>
        <w:t xml:space="preserve">arketer would then remit the distribution </w:t>
      </w:r>
      <w:r>
        <w:rPr>
          <w:rFonts w:hAnsi="Times New Roman" w:cs="Times New Roman"/>
          <w:bCs/>
          <w:iCs/>
        </w:rPr>
        <w:t xml:space="preserve">revenues </w:t>
      </w:r>
      <w:r w:rsidRPr="009D4B8D">
        <w:rPr>
          <w:rFonts w:hAnsi="Times New Roman" w:cs="Times New Roman"/>
          <w:bCs/>
          <w:iCs/>
        </w:rPr>
        <w:t xml:space="preserve">to the utility. </w:t>
      </w:r>
      <w:r>
        <w:rPr>
          <w:rFonts w:hAnsi="Times New Roman" w:cs="Times New Roman"/>
          <w:bCs/>
          <w:iCs/>
        </w:rPr>
        <w:t xml:space="preserve"> The proposed pilot program costs will be shared with 50% being paid by DP&amp;L customers and 50% paid by Marketers.  DP&amp;L shareholders will pay RESA $150,000 toward the Marketers’ portion of the costs.</w:t>
      </w:r>
    </w:p>
    <w:p w:rsidR="008F5170" w:rsidRPr="009D4B8D" w:rsidP="00437A1B">
      <w:pPr>
        <w:pStyle w:val="BodyA"/>
        <w:spacing w:line="480" w:lineRule="auto"/>
        <w:ind w:left="720" w:hanging="720"/>
        <w:rPr>
          <w:rFonts w:hAnsi="Times New Roman" w:cs="Times New Roman"/>
        </w:rPr>
      </w:pPr>
    </w:p>
    <w:p w:rsidR="002F53E0" w:rsidRPr="009D4B8D" w:rsidP="00437A1B">
      <w:pPr>
        <w:pStyle w:val="DirectQuestion"/>
        <w:ind w:left="720" w:hanging="720"/>
        <w:rPr>
          <w:rFonts w:hAnsi="Times New Roman" w:cs="Times New Roman"/>
        </w:rPr>
      </w:pPr>
      <w:r w:rsidRPr="009D4B8D">
        <w:rPr>
          <w:rFonts w:hAnsi="Times New Roman" w:cs="Times New Roman"/>
        </w:rPr>
        <w:t>Q1</w:t>
      </w:r>
      <w:r>
        <w:rPr>
          <w:rFonts w:hAnsi="Times New Roman" w:cs="Times New Roman"/>
        </w:rPr>
        <w:t>2</w:t>
      </w:r>
      <w:r w:rsidRPr="009D4B8D">
        <w:rPr>
          <w:rFonts w:hAnsi="Times New Roman" w:cs="Times New Roman"/>
        </w:rPr>
        <w:t>.</w:t>
      </w:r>
      <w:r w:rsidRPr="009D4B8D">
        <w:rPr>
          <w:rFonts w:hAnsi="Times New Roman" w:cs="Times New Roman"/>
        </w:rPr>
        <w:tab/>
        <w:t>Does Supplier CONSOLIDATED billing benefit customers?</w:t>
      </w:r>
    </w:p>
    <w:p w:rsidR="00895AEE" w:rsidP="00FF1C18">
      <w:pPr>
        <w:pStyle w:val="BodyA"/>
        <w:spacing w:line="480" w:lineRule="auto"/>
        <w:ind w:left="720" w:hanging="720"/>
        <w:rPr>
          <w:rFonts w:hAnsi="Times New Roman" w:cs="Times New Roman"/>
          <w:bCs/>
          <w:iCs/>
        </w:rPr>
      </w:pPr>
      <w:r w:rsidRPr="009D4B8D">
        <w:rPr>
          <w:rFonts w:hAnsi="Times New Roman" w:cs="Times New Roman"/>
          <w:b/>
          <w:bCs/>
          <w:i/>
          <w:iCs/>
        </w:rPr>
        <w:t>A1</w:t>
      </w:r>
      <w:r>
        <w:rPr>
          <w:rFonts w:hAnsi="Times New Roman" w:cs="Times New Roman"/>
          <w:b/>
          <w:bCs/>
          <w:i/>
          <w:iCs/>
        </w:rPr>
        <w:t>2</w:t>
      </w:r>
      <w:r w:rsidRPr="009D4B8D">
        <w:rPr>
          <w:rFonts w:hAnsi="Times New Roman" w:cs="Times New Roman"/>
          <w:b/>
          <w:bCs/>
          <w:i/>
          <w:iCs/>
        </w:rPr>
        <w:t>.</w:t>
      </w:r>
      <w:r w:rsidRPr="009D4B8D">
        <w:rPr>
          <w:rFonts w:hAnsi="Times New Roman" w:cs="Times New Roman"/>
          <w:b/>
          <w:bCs/>
          <w:i/>
          <w:iCs/>
        </w:rPr>
        <w:tab/>
      </w:r>
      <w:r w:rsidRPr="004864AE">
        <w:rPr>
          <w:rFonts w:hAnsi="Times New Roman" w:cs="Times New Roman"/>
          <w:bCs/>
          <w:iCs/>
        </w:rPr>
        <w:t>Generally, no</w:t>
      </w:r>
      <w:r>
        <w:rPr>
          <w:rFonts w:hAnsi="Times New Roman" w:cs="Times New Roman"/>
          <w:b/>
          <w:bCs/>
          <w:iCs/>
        </w:rPr>
        <w:t xml:space="preserve">. </w:t>
      </w:r>
      <w:r>
        <w:rPr>
          <w:rFonts w:hAnsi="Times New Roman" w:cs="Times New Roman"/>
          <w:bCs/>
          <w:iCs/>
        </w:rPr>
        <w:t xml:space="preserve"> S</w:t>
      </w:r>
      <w:r w:rsidRPr="009D4B8D">
        <w:rPr>
          <w:rFonts w:hAnsi="Times New Roman" w:cs="Times New Roman"/>
          <w:bCs/>
          <w:iCs/>
        </w:rPr>
        <w:t>ome customers may desire supplier consolidated billing</w:t>
      </w:r>
      <w:r>
        <w:rPr>
          <w:rFonts w:hAnsi="Times New Roman" w:cs="Times New Roman"/>
          <w:bCs/>
          <w:iCs/>
        </w:rPr>
        <w:t>, b</w:t>
      </w:r>
      <w:r w:rsidRPr="009D4B8D">
        <w:rPr>
          <w:rFonts w:hAnsi="Times New Roman" w:cs="Times New Roman"/>
          <w:bCs/>
          <w:iCs/>
        </w:rPr>
        <w:t xml:space="preserve">ut </w:t>
      </w:r>
      <w:r>
        <w:rPr>
          <w:rFonts w:hAnsi="Times New Roman" w:cs="Times New Roman"/>
          <w:bCs/>
          <w:iCs/>
        </w:rPr>
        <w:t>the program</w:t>
      </w:r>
      <w:r w:rsidRPr="009D4B8D">
        <w:rPr>
          <w:rFonts w:hAnsi="Times New Roman" w:cs="Times New Roman"/>
          <w:bCs/>
          <w:iCs/>
        </w:rPr>
        <w:t xml:space="preserve"> primarily benefits the </w:t>
      </w:r>
      <w:r>
        <w:rPr>
          <w:rFonts w:hAnsi="Times New Roman" w:cs="Times New Roman"/>
          <w:bCs/>
          <w:iCs/>
        </w:rPr>
        <w:t>M</w:t>
      </w:r>
      <w:r w:rsidRPr="009D4B8D">
        <w:rPr>
          <w:rFonts w:hAnsi="Times New Roman" w:cs="Times New Roman"/>
          <w:bCs/>
          <w:iCs/>
        </w:rPr>
        <w:t>arketers</w:t>
      </w:r>
      <w:r>
        <w:rPr>
          <w:rFonts w:hAnsi="Times New Roman" w:cs="Times New Roman"/>
          <w:bCs/>
          <w:iCs/>
        </w:rPr>
        <w:t>.</w:t>
      </w:r>
      <w:r w:rsidRPr="009D4B8D">
        <w:rPr>
          <w:rFonts w:hAnsi="Times New Roman" w:cs="Times New Roman"/>
          <w:bCs/>
          <w:iCs/>
        </w:rPr>
        <w:t xml:space="preserve">  Supplier consolidated billing allows a marketer to include its own branding and marketing on the bill and also include line items that may not be allowable on a traditional utility bill.  Currently</w:t>
      </w:r>
      <w:r>
        <w:rPr>
          <w:rFonts w:hAnsi="Times New Roman" w:cs="Times New Roman"/>
          <w:bCs/>
          <w:iCs/>
        </w:rPr>
        <w:t>,</w:t>
      </w:r>
      <w:r w:rsidRPr="009D4B8D">
        <w:rPr>
          <w:rFonts w:hAnsi="Times New Roman" w:cs="Times New Roman"/>
          <w:bCs/>
          <w:iCs/>
        </w:rPr>
        <w:t xml:space="preserve"> customers can receive one consolidated bill from the utility that includes the utility charges and the </w:t>
      </w:r>
      <w:r>
        <w:rPr>
          <w:rFonts w:hAnsi="Times New Roman" w:cs="Times New Roman"/>
          <w:bCs/>
          <w:iCs/>
        </w:rPr>
        <w:t>M</w:t>
      </w:r>
      <w:r w:rsidRPr="009D4B8D">
        <w:rPr>
          <w:rFonts w:hAnsi="Times New Roman" w:cs="Times New Roman"/>
          <w:bCs/>
          <w:iCs/>
        </w:rPr>
        <w:t xml:space="preserve">arketer charges on separate line items.  Another option currently available is for the marketers to send out a separate bill for their charges.  This option is known as dual billing.  I know in the case of residential customers the majority </w:t>
      </w:r>
      <w:r>
        <w:rPr>
          <w:rFonts w:hAnsi="Times New Roman" w:cs="Times New Roman"/>
          <w:bCs/>
          <w:iCs/>
        </w:rPr>
        <w:t xml:space="preserve">of those customers </w:t>
      </w:r>
      <w:r w:rsidRPr="009D4B8D">
        <w:rPr>
          <w:rFonts w:hAnsi="Times New Roman" w:cs="Times New Roman"/>
          <w:bCs/>
          <w:iCs/>
        </w:rPr>
        <w:t>would prefer to get one bill from the utility -- it is something with which they are familiar.  If the supplier desires to bill through the</w:t>
      </w:r>
      <w:r>
        <w:rPr>
          <w:rFonts w:hAnsi="Times New Roman" w:cs="Times New Roman"/>
          <w:bCs/>
          <w:iCs/>
        </w:rPr>
        <w:t xml:space="preserve"> Utility </w:t>
      </w:r>
      <w:r w:rsidRPr="009D4B8D">
        <w:rPr>
          <w:rFonts w:hAnsi="Times New Roman" w:cs="Times New Roman"/>
          <w:bCs/>
          <w:iCs/>
        </w:rPr>
        <w:t xml:space="preserve">billing system, </w:t>
      </w:r>
      <w:r>
        <w:rPr>
          <w:rFonts w:hAnsi="Times New Roman" w:cs="Times New Roman"/>
          <w:bCs/>
          <w:iCs/>
        </w:rPr>
        <w:t>the Marketer</w:t>
      </w:r>
      <w:r w:rsidRPr="009D4B8D">
        <w:rPr>
          <w:rFonts w:hAnsi="Times New Roman" w:cs="Times New Roman"/>
          <w:bCs/>
          <w:iCs/>
        </w:rPr>
        <w:t xml:space="preserve"> should bear </w:t>
      </w:r>
      <w:r w:rsidRPr="0047721E">
        <w:rPr>
          <w:rFonts w:hAnsi="Times New Roman" w:cs="Times New Roman"/>
          <w:b/>
          <w:bCs/>
          <w:iCs/>
          <w:u w:val="single"/>
        </w:rPr>
        <w:t>all</w:t>
      </w:r>
      <w:r>
        <w:rPr>
          <w:rFonts w:hAnsi="Times New Roman" w:cs="Times New Roman"/>
          <w:bCs/>
          <w:iCs/>
        </w:rPr>
        <w:t xml:space="preserve"> of </w:t>
      </w:r>
      <w:r w:rsidRPr="009D4B8D">
        <w:rPr>
          <w:rFonts w:hAnsi="Times New Roman" w:cs="Times New Roman"/>
          <w:bCs/>
          <w:iCs/>
        </w:rPr>
        <w:t xml:space="preserve">the costs of those changes to the DP&amp;L billing system.  None of </w:t>
      </w:r>
      <w:r>
        <w:rPr>
          <w:rFonts w:hAnsi="Times New Roman" w:cs="Times New Roman"/>
          <w:bCs/>
          <w:iCs/>
        </w:rPr>
        <w:t>these</w:t>
      </w:r>
      <w:r w:rsidRPr="009D4B8D">
        <w:rPr>
          <w:rFonts w:hAnsi="Times New Roman" w:cs="Times New Roman"/>
          <w:bCs/>
          <w:iCs/>
        </w:rPr>
        <w:t xml:space="preserve"> costs should be paid by </w:t>
      </w:r>
      <w:r>
        <w:rPr>
          <w:rFonts w:hAnsi="Times New Roman" w:cs="Times New Roman"/>
          <w:bCs/>
          <w:iCs/>
        </w:rPr>
        <w:t xml:space="preserve">local distribution </w:t>
      </w:r>
      <w:r w:rsidRPr="009D4B8D">
        <w:rPr>
          <w:rFonts w:hAnsi="Times New Roman" w:cs="Times New Roman"/>
          <w:bCs/>
          <w:iCs/>
        </w:rPr>
        <w:t>customers.</w:t>
      </w:r>
      <w:r>
        <w:rPr>
          <w:rFonts w:hAnsi="Times New Roman" w:cs="Times New Roman"/>
          <w:bCs/>
          <w:iCs/>
        </w:rPr>
        <w:t xml:space="preserve"> </w:t>
      </w:r>
    </w:p>
    <w:p w:rsidR="002B203E" w:rsidP="00FF1C18">
      <w:pPr>
        <w:pStyle w:val="BodyA"/>
        <w:spacing w:line="480" w:lineRule="auto"/>
        <w:ind w:left="720" w:hanging="720"/>
        <w:rPr>
          <w:rFonts w:hAnsi="Times New Roman" w:cs="Times New Roman"/>
          <w:bCs/>
          <w:iCs/>
        </w:rPr>
      </w:pPr>
    </w:p>
    <w:p w:rsidR="00E126DC" w:rsidRPr="009D4B8D" w:rsidP="00E126DC">
      <w:pPr>
        <w:pStyle w:val="DirectQuestion"/>
        <w:ind w:left="720" w:hanging="720"/>
        <w:rPr>
          <w:rFonts w:hAnsi="Times New Roman" w:cs="Times New Roman"/>
        </w:rPr>
      </w:pPr>
      <w:r w:rsidRPr="009D4B8D">
        <w:rPr>
          <w:rFonts w:hAnsi="Times New Roman" w:cs="Times New Roman"/>
        </w:rPr>
        <w:t>Q1</w:t>
      </w:r>
      <w:r>
        <w:rPr>
          <w:rFonts w:hAnsi="Times New Roman" w:cs="Times New Roman"/>
        </w:rPr>
        <w:t>3</w:t>
      </w:r>
      <w:r w:rsidRPr="009D4B8D">
        <w:rPr>
          <w:rFonts w:hAnsi="Times New Roman" w:cs="Times New Roman"/>
        </w:rPr>
        <w:t>.</w:t>
      </w:r>
      <w:r w:rsidRPr="009D4B8D">
        <w:rPr>
          <w:rFonts w:hAnsi="Times New Roman" w:cs="Times New Roman"/>
        </w:rPr>
        <w:tab/>
      </w:r>
      <w:r>
        <w:rPr>
          <w:rFonts w:hAnsi="Times New Roman" w:cs="Times New Roman"/>
        </w:rPr>
        <w:t>Is the $150,000 payment to marketers in the public interest</w:t>
      </w:r>
      <w:r w:rsidRPr="009D4B8D">
        <w:rPr>
          <w:rFonts w:hAnsi="Times New Roman" w:cs="Times New Roman"/>
        </w:rPr>
        <w:t>?</w:t>
      </w:r>
    </w:p>
    <w:p w:rsidR="00E126DC" w:rsidP="00E126DC">
      <w:pPr>
        <w:pStyle w:val="BodyA"/>
        <w:spacing w:line="480" w:lineRule="auto"/>
        <w:ind w:left="720" w:hanging="720"/>
        <w:rPr>
          <w:rFonts w:hAnsi="Times New Roman" w:cs="Times New Roman"/>
          <w:bCs/>
          <w:iCs/>
        </w:rPr>
      </w:pPr>
      <w:r w:rsidRPr="009D4B8D">
        <w:rPr>
          <w:rFonts w:hAnsi="Times New Roman" w:cs="Times New Roman"/>
          <w:b/>
          <w:bCs/>
          <w:i/>
          <w:iCs/>
        </w:rPr>
        <w:t>A1</w:t>
      </w:r>
      <w:r>
        <w:rPr>
          <w:rFonts w:hAnsi="Times New Roman" w:cs="Times New Roman"/>
          <w:b/>
          <w:bCs/>
          <w:i/>
          <w:iCs/>
        </w:rPr>
        <w:t>3</w:t>
      </w:r>
      <w:r w:rsidRPr="009D4B8D">
        <w:rPr>
          <w:rFonts w:hAnsi="Times New Roman" w:cs="Times New Roman"/>
          <w:b/>
          <w:bCs/>
          <w:i/>
          <w:iCs/>
        </w:rPr>
        <w:t>.</w:t>
      </w:r>
      <w:r w:rsidRPr="009D4B8D">
        <w:rPr>
          <w:rFonts w:hAnsi="Times New Roman" w:cs="Times New Roman"/>
          <w:b/>
          <w:bCs/>
          <w:i/>
          <w:iCs/>
        </w:rPr>
        <w:tab/>
      </w:r>
      <w:r>
        <w:rPr>
          <w:rFonts w:hAnsi="Times New Roman" w:cs="Times New Roman"/>
          <w:bCs/>
          <w:iCs/>
        </w:rPr>
        <w:t>No, it is not in the public interest for DP&amp;L to pay for a portion of the Marketers costs though a payment to a Marketer trade group.  Through this agreement, in my opinion DP&amp;L is demonstrating that it considers Marketers more influential than its customers because it is willing to offer cash to the Marketers to cover their expenses but is not willing to pay for any of the customers’ expenses.</w:t>
      </w:r>
    </w:p>
    <w:p w:rsidR="00A32524" w:rsidRPr="009D4B8D" w:rsidP="00A32524">
      <w:pPr>
        <w:pStyle w:val="BodyA"/>
        <w:spacing w:line="480" w:lineRule="auto"/>
        <w:rPr>
          <w:rFonts w:hAnsi="Times New Roman" w:cs="Times New Roman"/>
        </w:rPr>
      </w:pPr>
    </w:p>
    <w:p w:rsidR="00641DDA" w:rsidRPr="009D4B8D" w:rsidP="00641DDA">
      <w:pPr>
        <w:pStyle w:val="BodyA"/>
        <w:spacing w:line="480" w:lineRule="auto"/>
        <w:ind w:left="720" w:hanging="720"/>
        <w:rPr>
          <w:rFonts w:hAnsi="Times New Roman" w:cs="Times New Roman"/>
          <w:b/>
          <w:i/>
        </w:rPr>
      </w:pPr>
      <w:r w:rsidRPr="009D4B8D">
        <w:rPr>
          <w:rFonts w:hAnsi="Times New Roman" w:cs="Times New Roman"/>
          <w:b/>
          <w:i/>
        </w:rPr>
        <w:t>Q1</w:t>
      </w:r>
      <w:r>
        <w:rPr>
          <w:rFonts w:hAnsi="Times New Roman" w:cs="Times New Roman"/>
          <w:b/>
          <w:i/>
        </w:rPr>
        <w:t>4</w:t>
      </w:r>
      <w:r w:rsidRPr="009D4B8D">
        <w:rPr>
          <w:rFonts w:hAnsi="Times New Roman" w:cs="Times New Roman"/>
          <w:b/>
          <w:i/>
        </w:rPr>
        <w:t>.</w:t>
      </w:r>
      <w:r w:rsidRPr="009D4B8D">
        <w:rPr>
          <w:rFonts w:hAnsi="Times New Roman" w:cs="Times New Roman"/>
          <w:b/>
          <w:i/>
        </w:rPr>
        <w:tab/>
        <w:t>DOES THE PROPOSED S</w:t>
      </w:r>
      <w:r>
        <w:rPr>
          <w:rFonts w:hAnsi="Times New Roman" w:cs="Times New Roman"/>
          <w:b/>
          <w:i/>
        </w:rPr>
        <w:t>ETTLEMENT</w:t>
      </w:r>
      <w:r w:rsidRPr="009D4B8D">
        <w:rPr>
          <w:rFonts w:hAnsi="Times New Roman" w:cs="Times New Roman"/>
          <w:b/>
          <w:i/>
        </w:rPr>
        <w:t xml:space="preserve"> VIOLATE ANY IMPORTANT REGULATORY PRINCIPLES?</w:t>
      </w:r>
    </w:p>
    <w:p w:rsidR="0024113D" w:rsidP="00A32524">
      <w:pPr>
        <w:pStyle w:val="BodyA"/>
        <w:spacing w:line="480" w:lineRule="auto"/>
        <w:ind w:left="720" w:hanging="720"/>
        <w:rPr>
          <w:rFonts w:hAnsi="Times New Roman" w:cs="Times New Roman"/>
          <w:bCs/>
          <w:iCs/>
        </w:rPr>
      </w:pPr>
      <w:r w:rsidRPr="009D4B8D">
        <w:rPr>
          <w:rFonts w:hAnsi="Times New Roman" w:cs="Times New Roman"/>
          <w:b/>
          <w:i/>
        </w:rPr>
        <w:t>A1</w:t>
      </w:r>
      <w:r>
        <w:rPr>
          <w:rFonts w:hAnsi="Times New Roman" w:cs="Times New Roman"/>
          <w:b/>
          <w:i/>
        </w:rPr>
        <w:t>4</w:t>
      </w:r>
      <w:r w:rsidRPr="009D4B8D">
        <w:rPr>
          <w:rFonts w:hAnsi="Times New Roman" w:cs="Times New Roman"/>
          <w:b/>
          <w:i/>
        </w:rPr>
        <w:t>.</w:t>
      </w:r>
      <w:r w:rsidRPr="009D4B8D">
        <w:rPr>
          <w:rFonts w:hAnsi="Times New Roman" w:cs="Times New Roman"/>
        </w:rPr>
        <w:tab/>
        <w:t>Yes.</w:t>
      </w:r>
      <w:r w:rsidR="00E43FCB">
        <w:rPr>
          <w:rFonts w:hAnsi="Times New Roman" w:cs="Times New Roman"/>
        </w:rPr>
        <w:t xml:space="preserve"> </w:t>
      </w:r>
      <w:r w:rsidRPr="009D4B8D">
        <w:rPr>
          <w:rFonts w:hAnsi="Times New Roman" w:cs="Times New Roman"/>
        </w:rPr>
        <w:t xml:space="preserve"> </w:t>
      </w:r>
      <w:r>
        <w:rPr>
          <w:rFonts w:hAnsi="Times New Roman" w:cs="Times New Roman"/>
        </w:rPr>
        <w:t>T</w:t>
      </w:r>
      <w:r w:rsidRPr="009D4B8D">
        <w:rPr>
          <w:rFonts w:hAnsi="Times New Roman" w:cs="Times New Roman"/>
        </w:rPr>
        <w:t xml:space="preserve">he Economic Development Rider in Section IV does not follow the traditional </w:t>
      </w:r>
      <w:r>
        <w:rPr>
          <w:rFonts w:hAnsi="Times New Roman" w:cs="Times New Roman"/>
        </w:rPr>
        <w:t xml:space="preserve">rules and PUCO policies and practices for </w:t>
      </w:r>
      <w:r w:rsidRPr="009D4B8D">
        <w:rPr>
          <w:rFonts w:hAnsi="Times New Roman" w:cs="Times New Roman"/>
        </w:rPr>
        <w:t>reasonable arrangements</w:t>
      </w:r>
      <w:r>
        <w:rPr>
          <w:rFonts w:hAnsi="Times New Roman" w:cs="Times New Roman"/>
        </w:rPr>
        <w:t xml:space="preserve">, </w:t>
      </w:r>
      <w:r>
        <w:rPr>
          <w:rFonts w:hAnsi="Times New Roman" w:cs="Times New Roman"/>
          <w:bCs/>
          <w:iCs/>
        </w:rPr>
        <w:t xml:space="preserve">the Economic Development Grant Fund in Section V of the proposed Settlement appears inconsistent with ORC 4905.33, and the </w:t>
      </w:r>
      <w:r w:rsidRPr="009D4B8D">
        <w:rPr>
          <w:rFonts w:hAnsi="Times New Roman" w:cs="Times New Roman"/>
          <w:bCs/>
          <w:iCs/>
        </w:rPr>
        <w:t xml:space="preserve">alleged Competitive Retail Market Enhancements in Section IX of the </w:t>
      </w:r>
      <w:r>
        <w:rPr>
          <w:rFonts w:hAnsi="Times New Roman" w:cs="Times New Roman"/>
          <w:bCs/>
          <w:iCs/>
        </w:rPr>
        <w:t>Settlement do not follow the proper laws for review of administrative rules.</w:t>
      </w:r>
    </w:p>
    <w:p w:rsidR="007F5D8E" w:rsidRPr="009D4B8D" w:rsidP="00A32524">
      <w:pPr>
        <w:pStyle w:val="BodyA"/>
        <w:spacing w:line="480" w:lineRule="auto"/>
        <w:ind w:left="720" w:hanging="720"/>
        <w:rPr>
          <w:rFonts w:hAnsi="Times New Roman" w:cs="Times New Roman"/>
        </w:rPr>
      </w:pPr>
    </w:p>
    <w:p w:rsidR="007F5D8E" w:rsidRPr="009D4B8D" w:rsidP="00E47AA0">
      <w:pPr>
        <w:pStyle w:val="BodyA"/>
        <w:spacing w:line="480" w:lineRule="auto"/>
        <w:ind w:left="720" w:hanging="720"/>
        <w:rPr>
          <w:rFonts w:hAnsi="Times New Roman" w:cs="Times New Roman"/>
          <w:b/>
          <w:i/>
        </w:rPr>
      </w:pPr>
      <w:r w:rsidRPr="009D4B8D">
        <w:rPr>
          <w:rFonts w:hAnsi="Times New Roman" w:cs="Times New Roman"/>
          <w:b/>
          <w:i/>
        </w:rPr>
        <w:t>Q</w:t>
      </w:r>
      <w:r>
        <w:rPr>
          <w:rFonts w:hAnsi="Times New Roman" w:cs="Times New Roman"/>
          <w:b/>
          <w:i/>
        </w:rPr>
        <w:t>15</w:t>
      </w:r>
      <w:r w:rsidRPr="009D4B8D">
        <w:rPr>
          <w:rFonts w:hAnsi="Times New Roman" w:cs="Times New Roman"/>
          <w:b/>
          <w:i/>
        </w:rPr>
        <w:t>.</w:t>
      </w:r>
      <w:r w:rsidRPr="009D4B8D">
        <w:rPr>
          <w:rFonts w:hAnsi="Times New Roman" w:cs="Times New Roman"/>
          <w:b/>
          <w:i/>
        </w:rPr>
        <w:tab/>
      </w:r>
      <w:r w:rsidRPr="009D4B8D">
        <w:rPr>
          <w:rFonts w:hAnsi="Times New Roman" w:cs="Times New Roman"/>
          <w:b/>
          <w:i/>
          <w:caps/>
        </w:rPr>
        <w:t>How are reasonable arrangements</w:t>
      </w:r>
      <w:r>
        <w:rPr>
          <w:rFonts w:hAnsi="Times New Roman" w:cs="Times New Roman"/>
          <w:b/>
          <w:i/>
          <w:caps/>
        </w:rPr>
        <w:t xml:space="preserve">, specifically economic development ARRANGEMENTS, </w:t>
      </w:r>
      <w:r w:rsidRPr="009D4B8D">
        <w:rPr>
          <w:rFonts w:hAnsi="Times New Roman" w:cs="Times New Roman"/>
          <w:b/>
          <w:i/>
          <w:caps/>
        </w:rPr>
        <w:t>typically handled before the PUCO</w:t>
      </w:r>
      <w:r w:rsidRPr="009D4B8D">
        <w:rPr>
          <w:rFonts w:hAnsi="Times New Roman" w:cs="Times New Roman"/>
          <w:b/>
          <w:i/>
        </w:rPr>
        <w:t>?</w:t>
      </w:r>
    </w:p>
    <w:p w:rsidR="003E2464" w:rsidP="00E47AA0">
      <w:pPr>
        <w:pStyle w:val="BodyA"/>
        <w:spacing w:line="480" w:lineRule="auto"/>
        <w:ind w:left="720" w:hanging="720"/>
        <w:rPr>
          <w:rFonts w:hAnsi="Times New Roman" w:cs="Times New Roman"/>
        </w:rPr>
      </w:pPr>
      <w:r w:rsidRPr="009D4B8D">
        <w:rPr>
          <w:rFonts w:hAnsi="Times New Roman" w:cs="Times New Roman"/>
          <w:b/>
          <w:i/>
        </w:rPr>
        <w:t>A</w:t>
      </w:r>
      <w:r>
        <w:rPr>
          <w:rFonts w:hAnsi="Times New Roman" w:cs="Times New Roman"/>
          <w:b/>
          <w:i/>
        </w:rPr>
        <w:t>15</w:t>
      </w:r>
      <w:r w:rsidRPr="009D4B8D">
        <w:rPr>
          <w:rFonts w:hAnsi="Times New Roman" w:cs="Times New Roman"/>
          <w:b/>
          <w:i/>
        </w:rPr>
        <w:t>.</w:t>
      </w:r>
      <w:r w:rsidRPr="009D4B8D">
        <w:rPr>
          <w:rFonts w:hAnsi="Times New Roman" w:cs="Times New Roman"/>
        </w:rPr>
        <w:tab/>
      </w:r>
      <w:r>
        <w:rPr>
          <w:rFonts w:hAnsi="Times New Roman" w:cs="Times New Roman"/>
        </w:rPr>
        <w:t>Under Ohio law (R.C. 4905.31), a reasonable arrangement must be filed with and approved by the PUCO.  The process requires an application that is submitted by a public utility or a mercantile customer.</w:t>
      </w:r>
    </w:p>
    <w:p w:rsidR="004B554E" w:rsidP="00E47AA0">
      <w:pPr>
        <w:pStyle w:val="BodyA"/>
        <w:spacing w:line="480" w:lineRule="auto"/>
        <w:ind w:left="720" w:hanging="720"/>
        <w:rPr>
          <w:rFonts w:hAnsi="Times New Roman" w:cs="Times New Roman"/>
        </w:rPr>
      </w:pPr>
    </w:p>
    <w:p w:rsidR="007F5D8E" w:rsidRPr="009D4B8D" w:rsidP="00FE5ABE">
      <w:pPr>
        <w:pStyle w:val="BodyA"/>
        <w:spacing w:line="480" w:lineRule="auto"/>
        <w:ind w:left="720"/>
        <w:rPr>
          <w:rFonts w:hAnsi="Times New Roman" w:cs="Times New Roman"/>
        </w:rPr>
      </w:pPr>
      <w:r>
        <w:rPr>
          <w:rFonts w:hAnsi="Times New Roman" w:cs="Times New Roman"/>
        </w:rPr>
        <w:t xml:space="preserve">The PUCO also has extensive rules that govern the process for reasonable arrangements applications.  In any type of economic development arrangement, the applicant must file detailed information to allow parties to assess whether the application appears to be just and reasonable.  The application must include information on all associated incentives, estimated annual electric billings without incentives, and the annual estimated delta revenues for the term of the incentives.  The rules also require the customer to describe its status in the community and how the arrangement furthers the policy of the state.  The applicant must also provide verifiable information detailing, how the following criteria are met:  the arrangement permits at least 25 new full time jobs to be created or retained for the term of the arrangement, the customer shall demonstrate financial viability; the customer shall identify all existing local, state or federal support; the customer shall identify potential benefits from its project; and the customer agrees to maintain operations at the project site for the term of the incentives  The customer also bears the burden of proof that the arrangement is reasonable and is not discriminatory.  Parties are able to file comments on the application and can seek an evidentiary hearing if the PUCO determines the arrangement may be unjust and unreasonable.  Economic development applications are </w:t>
      </w:r>
      <w:r w:rsidRPr="009D4B8D">
        <w:rPr>
          <w:rFonts w:hAnsi="Times New Roman" w:cs="Times New Roman"/>
        </w:rPr>
        <w:t>evaluated on a case</w:t>
      </w:r>
      <w:r>
        <w:rPr>
          <w:rFonts w:hAnsi="Times New Roman" w:cs="Times New Roman"/>
        </w:rPr>
        <w:t>-</w:t>
      </w:r>
      <w:r w:rsidRPr="009D4B8D">
        <w:rPr>
          <w:rFonts w:hAnsi="Times New Roman" w:cs="Times New Roman"/>
        </w:rPr>
        <w:t>by</w:t>
      </w:r>
      <w:r>
        <w:rPr>
          <w:rFonts w:hAnsi="Times New Roman" w:cs="Times New Roman"/>
        </w:rPr>
        <w:t>-</w:t>
      </w:r>
      <w:r w:rsidRPr="009D4B8D">
        <w:rPr>
          <w:rFonts w:hAnsi="Times New Roman" w:cs="Times New Roman"/>
        </w:rPr>
        <w:t xml:space="preserve">case basis and the </w:t>
      </w:r>
      <w:r>
        <w:rPr>
          <w:rFonts w:hAnsi="Times New Roman" w:cs="Times New Roman"/>
        </w:rPr>
        <w:t>PUCO</w:t>
      </w:r>
      <w:r w:rsidRPr="009D4B8D">
        <w:rPr>
          <w:rFonts w:hAnsi="Times New Roman" w:cs="Times New Roman"/>
        </w:rPr>
        <w:t xml:space="preserve"> weighs all of the positive aspects against the costs to customers.</w:t>
      </w:r>
    </w:p>
    <w:p w:rsidR="007F5D8E" w:rsidRPr="009D4B8D" w:rsidP="002B203E">
      <w:pPr>
        <w:pStyle w:val="BodyA"/>
        <w:spacing w:line="480" w:lineRule="auto"/>
        <w:ind w:left="720" w:hanging="720"/>
        <w:rPr>
          <w:rFonts w:hAnsi="Times New Roman" w:cs="Times New Roman"/>
        </w:rPr>
      </w:pPr>
    </w:p>
    <w:p w:rsidR="007F5D8E" w:rsidRPr="009D4B8D" w:rsidP="00E47AA0">
      <w:pPr>
        <w:pStyle w:val="BodyA"/>
        <w:spacing w:line="480" w:lineRule="auto"/>
        <w:ind w:left="720" w:hanging="720"/>
        <w:rPr>
          <w:rFonts w:hAnsi="Times New Roman" w:cs="Times New Roman"/>
          <w:b/>
          <w:i/>
        </w:rPr>
      </w:pPr>
      <w:r w:rsidRPr="009D4B8D">
        <w:rPr>
          <w:rFonts w:hAnsi="Times New Roman" w:cs="Times New Roman"/>
          <w:b/>
          <w:i/>
        </w:rPr>
        <w:t>Q</w:t>
      </w:r>
      <w:r>
        <w:rPr>
          <w:rFonts w:hAnsi="Times New Roman" w:cs="Times New Roman"/>
          <w:b/>
          <w:i/>
        </w:rPr>
        <w:t>16</w:t>
      </w:r>
      <w:r w:rsidRPr="009D4B8D">
        <w:rPr>
          <w:rFonts w:hAnsi="Times New Roman" w:cs="Times New Roman"/>
          <w:b/>
          <w:i/>
        </w:rPr>
        <w:t>.</w:t>
      </w:r>
      <w:r w:rsidRPr="009D4B8D">
        <w:rPr>
          <w:rFonts w:hAnsi="Times New Roman" w:cs="Times New Roman"/>
          <w:b/>
          <w:i/>
        </w:rPr>
        <w:tab/>
      </w:r>
      <w:r w:rsidRPr="009D4B8D">
        <w:rPr>
          <w:rFonts w:hAnsi="Times New Roman" w:cs="Times New Roman"/>
          <w:b/>
          <w:i/>
          <w:caps/>
        </w:rPr>
        <w:t xml:space="preserve">How is the economic development rider proposed in the </w:t>
      </w:r>
      <w:r>
        <w:rPr>
          <w:rFonts w:hAnsi="Times New Roman" w:cs="Times New Roman"/>
          <w:b/>
          <w:i/>
          <w:caps/>
        </w:rPr>
        <w:t>SETTLEMENT</w:t>
      </w:r>
      <w:r w:rsidRPr="009D4B8D">
        <w:rPr>
          <w:rFonts w:hAnsi="Times New Roman" w:cs="Times New Roman"/>
          <w:b/>
          <w:i/>
        </w:rPr>
        <w:t>?</w:t>
      </w:r>
    </w:p>
    <w:p w:rsidR="0082767C" w:rsidP="007D4AAA">
      <w:pPr>
        <w:pStyle w:val="BodyA"/>
        <w:spacing w:line="480" w:lineRule="auto"/>
        <w:ind w:left="720" w:hanging="720"/>
        <w:rPr>
          <w:rFonts w:hAnsi="Times New Roman" w:cs="Times New Roman"/>
        </w:rPr>
      </w:pPr>
      <w:r w:rsidRPr="009D4B8D">
        <w:rPr>
          <w:rFonts w:hAnsi="Times New Roman" w:cs="Times New Roman"/>
          <w:b/>
          <w:i/>
        </w:rPr>
        <w:t>A</w:t>
      </w:r>
      <w:r>
        <w:rPr>
          <w:rFonts w:hAnsi="Times New Roman" w:cs="Times New Roman"/>
          <w:b/>
          <w:i/>
        </w:rPr>
        <w:t>16</w:t>
      </w:r>
      <w:r w:rsidRPr="009D4B8D">
        <w:rPr>
          <w:rFonts w:hAnsi="Times New Roman" w:cs="Times New Roman"/>
          <w:b/>
          <w:i/>
        </w:rPr>
        <w:t>.</w:t>
      </w:r>
      <w:r w:rsidRPr="009D4B8D">
        <w:rPr>
          <w:rFonts w:hAnsi="Times New Roman" w:cs="Times New Roman"/>
        </w:rPr>
        <w:tab/>
        <w:t xml:space="preserve">The Economic Development Rider is set up to provide a $0.004/kWh discount to large customers that either sign the </w:t>
      </w:r>
      <w:r>
        <w:rPr>
          <w:rFonts w:hAnsi="Times New Roman" w:cs="Times New Roman"/>
        </w:rPr>
        <w:t>Settlement</w:t>
      </w:r>
      <w:r w:rsidRPr="009D4B8D">
        <w:rPr>
          <w:rFonts w:hAnsi="Times New Roman" w:cs="Times New Roman"/>
        </w:rPr>
        <w:t xml:space="preserve"> or do not oppose it.  There are three different incentives.</w:t>
      </w:r>
    </w:p>
    <w:p w:rsidR="0082767C" w:rsidP="002B203E">
      <w:pPr>
        <w:pStyle w:val="BodyA"/>
        <w:spacing w:line="480" w:lineRule="auto"/>
        <w:ind w:left="720" w:hanging="720"/>
        <w:rPr>
          <w:rFonts w:hAnsi="Times New Roman" w:cs="Times New Roman"/>
        </w:rPr>
      </w:pPr>
    </w:p>
    <w:p w:rsidR="002B203E" w:rsidP="00E43FCB">
      <w:pPr>
        <w:pStyle w:val="BodyA"/>
        <w:spacing w:line="480" w:lineRule="auto"/>
        <w:ind w:left="720"/>
        <w:rPr>
          <w:rFonts w:hAnsi="Times New Roman" w:cs="Times New Roman"/>
        </w:rPr>
      </w:pPr>
      <w:r w:rsidRPr="009D4B8D">
        <w:rPr>
          <w:rFonts w:hAnsi="Times New Roman" w:cs="Times New Roman"/>
        </w:rPr>
        <w:t xml:space="preserve">The first is an “Economic Improvement Incentive” that is for a single site customer with demand greater than 10 MW and an average load factor of at least 80%.  </w:t>
      </w:r>
      <w:r>
        <w:rPr>
          <w:rFonts w:hAnsi="Times New Roman" w:cs="Times New Roman"/>
        </w:rPr>
        <w:t>The o</w:t>
      </w:r>
      <w:r w:rsidRPr="009D4B8D">
        <w:rPr>
          <w:rFonts w:hAnsi="Times New Roman" w:cs="Times New Roman"/>
        </w:rPr>
        <w:t xml:space="preserve">nly </w:t>
      </w:r>
      <w:r>
        <w:rPr>
          <w:rFonts w:hAnsi="Times New Roman" w:cs="Times New Roman"/>
        </w:rPr>
        <w:t>qualifying parties for this incentive are:  O</w:t>
      </w:r>
      <w:r w:rsidRPr="009E2EA1">
        <w:rPr>
          <w:rFonts w:hAnsi="Times New Roman" w:cs="Times New Roman"/>
        </w:rPr>
        <w:t xml:space="preserve">ne member of </w:t>
      </w:r>
      <w:r>
        <w:rPr>
          <w:rFonts w:hAnsi="Times New Roman" w:cs="Times New Roman"/>
        </w:rPr>
        <w:t>OEG</w:t>
      </w:r>
      <w:r w:rsidRPr="009E2EA1">
        <w:rPr>
          <w:rFonts w:hAnsi="Times New Roman" w:cs="Times New Roman"/>
        </w:rPr>
        <w:t xml:space="preserve">, one member of </w:t>
      </w:r>
      <w:r>
        <w:rPr>
          <w:rFonts w:hAnsi="Times New Roman" w:cs="Times New Roman"/>
        </w:rPr>
        <w:t>IEU,</w:t>
      </w:r>
      <w:r w:rsidRPr="009E2EA1">
        <w:rPr>
          <w:rFonts w:hAnsi="Times New Roman" w:cs="Times New Roman"/>
        </w:rPr>
        <w:t xml:space="preserve"> and </w:t>
      </w:r>
      <w:r>
        <w:rPr>
          <w:rFonts w:hAnsi="Times New Roman" w:cs="Times New Roman"/>
        </w:rPr>
        <w:t xml:space="preserve">the </w:t>
      </w:r>
      <w:r w:rsidRPr="009E2EA1">
        <w:rPr>
          <w:rFonts w:hAnsi="Times New Roman" w:cs="Times New Roman"/>
        </w:rPr>
        <w:t>Miami Valley Hospital</w:t>
      </w:r>
      <w:r>
        <w:rPr>
          <w:rFonts w:hAnsi="Times New Roman" w:cs="Times New Roman"/>
        </w:rPr>
        <w:t>.</w:t>
      </w:r>
    </w:p>
    <w:p w:rsidR="002B203E" w:rsidP="002B203E">
      <w:pPr>
        <w:pStyle w:val="BodyA"/>
        <w:spacing w:line="480" w:lineRule="auto"/>
        <w:ind w:left="720"/>
        <w:rPr>
          <w:rFonts w:hAnsi="Times New Roman" w:cs="Times New Roman"/>
        </w:rPr>
      </w:pPr>
    </w:p>
    <w:p w:rsidR="0082767C" w:rsidP="002B203E">
      <w:pPr>
        <w:pStyle w:val="BodyA"/>
        <w:spacing w:line="480" w:lineRule="auto"/>
        <w:ind w:left="720"/>
        <w:rPr>
          <w:rFonts w:hAnsi="Times New Roman" w:cs="Times New Roman"/>
        </w:rPr>
      </w:pPr>
      <w:r w:rsidRPr="009D4B8D">
        <w:rPr>
          <w:rFonts w:hAnsi="Times New Roman" w:cs="Times New Roman"/>
        </w:rPr>
        <w:t xml:space="preserve">The second incentive is an “Automaker Incentive” for a single site customer with demand greater than 4 MW.  </w:t>
      </w:r>
      <w:r>
        <w:rPr>
          <w:rFonts w:hAnsi="Times New Roman" w:cs="Times New Roman"/>
        </w:rPr>
        <w:t>The o</w:t>
      </w:r>
      <w:r w:rsidRPr="009D4B8D">
        <w:rPr>
          <w:rFonts w:hAnsi="Times New Roman" w:cs="Times New Roman"/>
        </w:rPr>
        <w:t xml:space="preserve">nly </w:t>
      </w:r>
      <w:r>
        <w:rPr>
          <w:rFonts w:hAnsi="Times New Roman" w:cs="Times New Roman"/>
        </w:rPr>
        <w:t xml:space="preserve">qualifying parties for this incentive are:  </w:t>
      </w:r>
      <w:r w:rsidRPr="009E2EA1">
        <w:rPr>
          <w:rFonts w:hAnsi="Times New Roman" w:cs="Times New Roman"/>
        </w:rPr>
        <w:t>One member of OEG,</w:t>
      </w:r>
      <w:r>
        <w:rPr>
          <w:rFonts w:hAnsi="Times New Roman" w:cs="Times New Roman"/>
        </w:rPr>
        <w:t xml:space="preserve"> </w:t>
      </w:r>
      <w:r w:rsidRPr="009E2EA1">
        <w:rPr>
          <w:rFonts w:hAnsi="Times New Roman" w:cs="Times New Roman"/>
        </w:rPr>
        <w:t>Honda and one other member of</w:t>
      </w:r>
      <w:r w:rsidR="00E43FCB">
        <w:rPr>
          <w:rFonts w:hAnsi="Times New Roman" w:cs="Times New Roman"/>
        </w:rPr>
        <w:t xml:space="preserve"> OMAEG.</w:t>
      </w:r>
    </w:p>
    <w:p w:rsidR="007F5D8E" w:rsidP="00E43FCB">
      <w:pPr>
        <w:pStyle w:val="BodyA"/>
        <w:spacing w:line="480" w:lineRule="auto"/>
        <w:ind w:left="720"/>
        <w:rPr>
          <w:rFonts w:hAnsi="Times New Roman" w:cs="Times New Roman"/>
        </w:rPr>
      </w:pPr>
      <w:r w:rsidRPr="009D4B8D">
        <w:rPr>
          <w:rFonts w:hAnsi="Times New Roman" w:cs="Times New Roman"/>
        </w:rPr>
        <w:t xml:space="preserve">The third incentive is an “Ohio Business Incentive,” which is available to businesses headquartered in Ohio with aggregated demand of 2 MW or greater.  </w:t>
      </w:r>
      <w:r>
        <w:rPr>
          <w:rFonts w:hAnsi="Times New Roman" w:cs="Times New Roman"/>
        </w:rPr>
        <w:t>The o</w:t>
      </w:r>
      <w:r w:rsidRPr="009D4B8D">
        <w:rPr>
          <w:rFonts w:hAnsi="Times New Roman" w:cs="Times New Roman"/>
        </w:rPr>
        <w:t xml:space="preserve">nly </w:t>
      </w:r>
      <w:r>
        <w:rPr>
          <w:rFonts w:hAnsi="Times New Roman" w:cs="Times New Roman"/>
        </w:rPr>
        <w:t xml:space="preserve">qualifying parties for this incentive are: </w:t>
      </w:r>
      <w:r w:rsidRPr="009D4B8D">
        <w:rPr>
          <w:rFonts w:hAnsi="Times New Roman" w:cs="Times New Roman"/>
        </w:rPr>
        <w:t xml:space="preserve"> </w:t>
      </w:r>
      <w:r w:rsidRPr="007D4AAA">
        <w:rPr>
          <w:rFonts w:hAnsi="Times New Roman" w:cs="Times New Roman"/>
        </w:rPr>
        <w:t>Honda, two other members of</w:t>
      </w:r>
      <w:r>
        <w:rPr>
          <w:rFonts w:hAnsi="Times New Roman" w:cs="Times New Roman"/>
        </w:rPr>
        <w:t xml:space="preserve"> </w:t>
      </w:r>
      <w:r w:rsidRPr="007D4AAA">
        <w:rPr>
          <w:rFonts w:hAnsi="Times New Roman" w:cs="Times New Roman"/>
        </w:rPr>
        <w:t>OMAEG, Kroger and one member of IEU.</w:t>
      </w:r>
      <w:r w:rsidRPr="009D4B8D">
        <w:rPr>
          <w:rFonts w:hAnsi="Times New Roman" w:cs="Times New Roman"/>
        </w:rPr>
        <w:t xml:space="preserve"> </w:t>
      </w:r>
      <w:r>
        <w:rPr>
          <w:rFonts w:hAnsi="Times New Roman" w:cs="Times New Roman"/>
        </w:rPr>
        <w:t xml:space="preserve"> </w:t>
      </w:r>
      <w:r w:rsidRPr="009D4B8D">
        <w:rPr>
          <w:rFonts w:hAnsi="Times New Roman" w:cs="Times New Roman"/>
        </w:rPr>
        <w:t>It should be noted that although Honda qualifies for two of these incentives</w:t>
      </w:r>
      <w:r>
        <w:rPr>
          <w:rFonts w:hAnsi="Times New Roman" w:cs="Times New Roman"/>
        </w:rPr>
        <w:t>, however,</w:t>
      </w:r>
      <w:r w:rsidRPr="009D4B8D">
        <w:rPr>
          <w:rFonts w:hAnsi="Times New Roman" w:cs="Times New Roman"/>
        </w:rPr>
        <w:t xml:space="preserve"> it can only take advantage of one.</w:t>
      </w:r>
    </w:p>
    <w:p w:rsidR="00EE7916" w:rsidP="002B203E">
      <w:pPr>
        <w:pStyle w:val="BodyA"/>
        <w:spacing w:line="480" w:lineRule="auto"/>
        <w:ind w:left="720" w:hanging="720"/>
        <w:rPr>
          <w:rFonts w:hAnsi="Times New Roman" w:cs="Times New Roman"/>
        </w:rPr>
      </w:pPr>
    </w:p>
    <w:p w:rsidR="007F5D8E" w:rsidRPr="009D4B8D" w:rsidP="00E47AA0">
      <w:pPr>
        <w:pStyle w:val="BodyA"/>
        <w:spacing w:line="480" w:lineRule="auto"/>
        <w:ind w:left="720" w:hanging="720"/>
        <w:rPr>
          <w:rFonts w:hAnsi="Times New Roman" w:cs="Times New Roman"/>
          <w:b/>
          <w:i/>
        </w:rPr>
      </w:pPr>
      <w:r w:rsidRPr="009D4B8D">
        <w:rPr>
          <w:rFonts w:hAnsi="Times New Roman" w:cs="Times New Roman"/>
          <w:b/>
          <w:i/>
        </w:rPr>
        <w:t>Q</w:t>
      </w:r>
      <w:r>
        <w:rPr>
          <w:rFonts w:hAnsi="Times New Roman" w:cs="Times New Roman"/>
          <w:b/>
          <w:i/>
        </w:rPr>
        <w:t>17</w:t>
      </w:r>
      <w:r w:rsidRPr="009D4B8D">
        <w:rPr>
          <w:rFonts w:hAnsi="Times New Roman" w:cs="Times New Roman"/>
          <w:b/>
          <w:i/>
        </w:rPr>
        <w:t>.</w:t>
      </w:r>
      <w:r w:rsidRPr="009D4B8D">
        <w:rPr>
          <w:rFonts w:hAnsi="Times New Roman" w:cs="Times New Roman"/>
          <w:b/>
          <w:i/>
        </w:rPr>
        <w:tab/>
      </w:r>
      <w:r w:rsidRPr="009D4B8D">
        <w:rPr>
          <w:rFonts w:hAnsi="Times New Roman" w:cs="Times New Roman"/>
          <w:b/>
          <w:i/>
          <w:caps/>
        </w:rPr>
        <w:t>would you consider th</w:t>
      </w:r>
      <w:r>
        <w:rPr>
          <w:rFonts w:hAnsi="Times New Roman" w:cs="Times New Roman"/>
          <w:b/>
          <w:i/>
          <w:caps/>
        </w:rPr>
        <w:t xml:space="preserve">ESE Provisions to be consistent with </w:t>
      </w:r>
      <w:r w:rsidRPr="009D4B8D">
        <w:rPr>
          <w:rFonts w:hAnsi="Times New Roman" w:cs="Times New Roman"/>
          <w:b/>
          <w:i/>
          <w:caps/>
        </w:rPr>
        <w:t>traditional economic development arrangement</w:t>
      </w:r>
      <w:r w:rsidRPr="009D4B8D">
        <w:rPr>
          <w:rFonts w:hAnsi="Times New Roman" w:cs="Times New Roman"/>
          <w:b/>
          <w:i/>
        </w:rPr>
        <w:t>?</w:t>
      </w:r>
    </w:p>
    <w:p w:rsidR="0082767C" w:rsidP="00C15E82">
      <w:pPr>
        <w:tabs>
          <w:tab w:val="left" w:pos="720"/>
        </w:tabs>
        <w:spacing w:line="480" w:lineRule="auto"/>
        <w:ind w:left="720" w:hanging="720"/>
      </w:pPr>
      <w:r w:rsidRPr="004864AE">
        <w:rPr>
          <w:b/>
          <w:i/>
        </w:rPr>
        <w:t>A</w:t>
      </w:r>
      <w:r>
        <w:rPr>
          <w:b/>
          <w:i/>
        </w:rPr>
        <w:t>17</w:t>
      </w:r>
      <w:r w:rsidRPr="004864AE">
        <w:rPr>
          <w:b/>
          <w:i/>
        </w:rPr>
        <w:t>.</w:t>
      </w:r>
      <w:r w:rsidRPr="004864AE">
        <w:tab/>
        <w:t>No.  This appears to be cash or cash equivalent payments to certain signatory and non-opposing parties to the Settlement paid for by DP&amp;L’s customers</w:t>
      </w:r>
      <w:r>
        <w:t xml:space="preserve"> that have nothing to do with economic development</w:t>
      </w:r>
      <w:r w:rsidRPr="004864AE">
        <w:t>.</w:t>
      </w:r>
      <w:r>
        <w:t xml:space="preserve"> </w:t>
      </w:r>
      <w:r w:rsidR="00E43FCB">
        <w:t xml:space="preserve"> </w:t>
      </w:r>
      <w:r w:rsidRPr="00895AEE">
        <w:t>The rider circumvents the law and the specific PUCO rules which govern economic develo</w:t>
      </w:r>
      <w:r w:rsidR="00E43FCB">
        <w:t>pment/reasonable arrangements.</w:t>
      </w:r>
    </w:p>
    <w:p w:rsidR="0082767C" w:rsidP="00895AEE">
      <w:pPr>
        <w:tabs>
          <w:tab w:val="left" w:pos="720"/>
        </w:tabs>
        <w:spacing w:line="480" w:lineRule="auto"/>
        <w:ind w:left="720" w:right="720" w:hanging="720"/>
      </w:pPr>
    </w:p>
    <w:p w:rsidR="004B554E" w:rsidRPr="00895AEE" w:rsidP="00E43FCB">
      <w:pPr>
        <w:tabs>
          <w:tab w:val="left" w:pos="720"/>
        </w:tabs>
        <w:spacing w:line="480" w:lineRule="auto"/>
        <w:ind w:left="720"/>
      </w:pPr>
      <w:r w:rsidRPr="00895AEE">
        <w:t xml:space="preserve">There has been no showing of need for the discounted rates, nor how the discounted rates further state policy.  There are no commitments by </w:t>
      </w:r>
      <w:r>
        <w:t>any of the qualifying parties</w:t>
      </w:r>
      <w:r w:rsidRPr="00895AEE">
        <w:t xml:space="preserve"> to retain or expand jobs in Ohio in exchange for the discounted rates.  There is no identification of other incentives these customers are receiving.  Nor have the delta revenues created by the rider been identified.  None of the criteria that the PUCO considers for economic development have been met.  The rider is unjust and unreasonable for that reason, and conflicts with the law and the PUCO rules.</w:t>
      </w:r>
    </w:p>
    <w:p w:rsidR="00442066" w:rsidP="00C15E82">
      <w:pPr>
        <w:pStyle w:val="ListParagraph"/>
        <w:tabs>
          <w:tab w:val="left" w:pos="720"/>
        </w:tabs>
        <w:spacing w:line="480" w:lineRule="auto"/>
        <w:rPr>
          <w:rFonts w:hAnsi="Times New Roman" w:cs="Times New Roman"/>
        </w:rPr>
      </w:pPr>
      <w:r w:rsidRPr="009D4B8D">
        <w:rPr>
          <w:rFonts w:hAnsi="Times New Roman" w:cs="Times New Roman"/>
        </w:rPr>
        <w:t xml:space="preserve">If any customer in the DP&amp;L service territory is in need of a reasonable arrangement it should file an application for a reasonable arrangement with the PUCO and </w:t>
      </w:r>
      <w:r>
        <w:rPr>
          <w:rFonts w:hAnsi="Times New Roman" w:cs="Times New Roman"/>
        </w:rPr>
        <w:t xml:space="preserve">follow the explicit PUCO rules that govern economic development arrangements.  </w:t>
      </w:r>
      <w:r w:rsidRPr="009D4B8D">
        <w:rPr>
          <w:rFonts w:hAnsi="Times New Roman" w:cs="Times New Roman"/>
        </w:rPr>
        <w:t xml:space="preserve">Bill credits for signing or not opposing a </w:t>
      </w:r>
      <w:r>
        <w:rPr>
          <w:rFonts w:hAnsi="Times New Roman" w:cs="Times New Roman"/>
        </w:rPr>
        <w:t>Settlement</w:t>
      </w:r>
      <w:r w:rsidRPr="009D4B8D">
        <w:rPr>
          <w:rFonts w:hAnsi="Times New Roman" w:cs="Times New Roman"/>
        </w:rPr>
        <w:t xml:space="preserve"> should not be paid for under the guise of </w:t>
      </w:r>
      <w:r>
        <w:rPr>
          <w:rFonts w:hAnsi="Times New Roman" w:cs="Times New Roman"/>
        </w:rPr>
        <w:t>"</w:t>
      </w:r>
      <w:r w:rsidRPr="009D4B8D">
        <w:rPr>
          <w:rFonts w:hAnsi="Times New Roman" w:cs="Times New Roman"/>
        </w:rPr>
        <w:t>economic development.</w:t>
      </w:r>
      <w:r>
        <w:rPr>
          <w:rFonts w:hAnsi="Times New Roman" w:cs="Times New Roman"/>
        </w:rPr>
        <w:t>"</w:t>
      </w:r>
      <w:r w:rsidRPr="009D4B8D">
        <w:rPr>
          <w:rFonts w:hAnsi="Times New Roman" w:cs="Times New Roman"/>
        </w:rPr>
        <w:t xml:space="preserve">  The “Economic Development Rider” is just a handout for signing onto, or not opposing, the </w:t>
      </w:r>
      <w:r>
        <w:rPr>
          <w:rFonts w:hAnsi="Times New Roman" w:cs="Times New Roman"/>
        </w:rPr>
        <w:t>Settlement</w:t>
      </w:r>
      <w:r w:rsidRPr="009D4B8D">
        <w:rPr>
          <w:rFonts w:hAnsi="Times New Roman" w:cs="Times New Roman"/>
        </w:rPr>
        <w:t xml:space="preserve"> and should not be considered an economic development program.</w:t>
      </w:r>
      <w:bookmarkStart w:id="9" w:name="_Toc461534456"/>
    </w:p>
    <w:p w:rsidR="007D4AAA" w:rsidP="004864AE">
      <w:pPr>
        <w:pStyle w:val="ListParagraph"/>
        <w:tabs>
          <w:tab w:val="left" w:pos="720"/>
        </w:tabs>
        <w:spacing w:line="480" w:lineRule="auto"/>
        <w:ind w:right="720" w:hanging="360"/>
        <w:rPr>
          <w:rFonts w:hAnsi="Times New Roman" w:cs="Times New Roman"/>
        </w:rPr>
      </w:pPr>
    </w:p>
    <w:p w:rsidR="007D4AAA" w:rsidRPr="009D4B8D" w:rsidP="007D4AAA">
      <w:pPr>
        <w:pStyle w:val="BodyA"/>
        <w:spacing w:line="480" w:lineRule="auto"/>
        <w:ind w:left="720" w:hanging="720"/>
        <w:rPr>
          <w:rFonts w:hAnsi="Times New Roman" w:cs="Times New Roman"/>
          <w:b/>
          <w:i/>
        </w:rPr>
      </w:pPr>
      <w:r w:rsidRPr="009D4B8D">
        <w:rPr>
          <w:rFonts w:hAnsi="Times New Roman" w:cs="Times New Roman"/>
          <w:b/>
          <w:i/>
        </w:rPr>
        <w:t>Q</w:t>
      </w:r>
      <w:r>
        <w:rPr>
          <w:rFonts w:hAnsi="Times New Roman" w:cs="Times New Roman"/>
          <w:b/>
          <w:i/>
        </w:rPr>
        <w:t>18</w:t>
      </w:r>
      <w:r w:rsidRPr="009D4B8D">
        <w:rPr>
          <w:rFonts w:hAnsi="Times New Roman" w:cs="Times New Roman"/>
          <w:b/>
          <w:i/>
        </w:rPr>
        <w:t>.</w:t>
      </w:r>
      <w:r w:rsidRPr="009D4B8D">
        <w:rPr>
          <w:rFonts w:hAnsi="Times New Roman" w:cs="Times New Roman"/>
          <w:b/>
          <w:i/>
        </w:rPr>
        <w:tab/>
      </w:r>
      <w:r>
        <w:rPr>
          <w:rFonts w:hAnsi="Times New Roman" w:cs="Times New Roman"/>
          <w:b/>
          <w:i/>
          <w:caps/>
        </w:rPr>
        <w:t>Describe the Economic Development Grant fund in Section v of the SETTLEMENT</w:t>
      </w:r>
      <w:r>
        <w:rPr>
          <w:rFonts w:hAnsi="Times New Roman" w:cs="Times New Roman"/>
          <w:b/>
          <w:i/>
        </w:rPr>
        <w:t>.</w:t>
      </w:r>
    </w:p>
    <w:p w:rsidR="0024113D" w:rsidP="00C15E82">
      <w:pPr>
        <w:tabs>
          <w:tab w:val="left" w:pos="720"/>
        </w:tabs>
        <w:spacing w:line="480" w:lineRule="auto"/>
        <w:ind w:left="720" w:hanging="720"/>
      </w:pPr>
      <w:r w:rsidRPr="007D4AAA">
        <w:rPr>
          <w:b/>
          <w:i/>
        </w:rPr>
        <w:t>A</w:t>
      </w:r>
      <w:r>
        <w:rPr>
          <w:b/>
          <w:i/>
        </w:rPr>
        <w:t>18</w:t>
      </w:r>
      <w:r w:rsidRPr="007D4AAA">
        <w:rPr>
          <w:b/>
          <w:i/>
        </w:rPr>
        <w:t>.</w:t>
      </w:r>
      <w:r w:rsidRPr="004864AE">
        <w:tab/>
      </w:r>
      <w:r>
        <w:t>Section V.1.c of the Settlement allows for cash payments to IEU in the amount of $145,000 per year, OMAEG in the amount of $18,000 per year, and Kroger in the amount of $160,000 per year to “partially offset the costs of the Settlement and rate design modifications.”</w:t>
      </w:r>
      <w:r>
        <w:rPr>
          <w:rStyle w:val="FootnoteReference"/>
        </w:rPr>
        <w:footnoteReference w:id="6"/>
      </w:r>
      <w:r>
        <w:t xml:space="preserve">  Additionally, MAREC filed an agreement with DP&amp;L on March 24, 2017 that allows for a $200,000 payment to MAREC for “advocacy and education efforts regarding wind energy.”</w:t>
      </w:r>
      <w:r>
        <w:rPr>
          <w:rStyle w:val="FootnoteReference"/>
        </w:rPr>
        <w:footnoteReference w:id="7"/>
      </w:r>
    </w:p>
    <w:p w:rsidR="00895AEE" w:rsidP="0024113D">
      <w:pPr>
        <w:tabs>
          <w:tab w:val="left" w:pos="720"/>
        </w:tabs>
        <w:spacing w:line="480" w:lineRule="auto"/>
        <w:ind w:left="720" w:right="720" w:hanging="720"/>
        <w:rPr>
          <w:b/>
          <w:i/>
          <w:color w:val="000000"/>
          <w:u w:color="000000"/>
        </w:rPr>
      </w:pPr>
    </w:p>
    <w:p w:rsidR="007D4AAA" w:rsidRPr="009D4B8D" w:rsidP="007D4AAA">
      <w:pPr>
        <w:pStyle w:val="BodyA"/>
        <w:spacing w:line="480" w:lineRule="auto"/>
        <w:ind w:left="720" w:hanging="720"/>
        <w:rPr>
          <w:rFonts w:hAnsi="Times New Roman" w:cs="Times New Roman"/>
          <w:b/>
          <w:i/>
        </w:rPr>
      </w:pPr>
      <w:r w:rsidRPr="009D4B8D">
        <w:rPr>
          <w:rFonts w:hAnsi="Times New Roman" w:cs="Times New Roman"/>
          <w:b/>
          <w:i/>
        </w:rPr>
        <w:t>Q</w:t>
      </w:r>
      <w:r>
        <w:rPr>
          <w:rFonts w:hAnsi="Times New Roman" w:cs="Times New Roman"/>
          <w:b/>
          <w:i/>
        </w:rPr>
        <w:t>19</w:t>
      </w:r>
      <w:r w:rsidRPr="009D4B8D">
        <w:rPr>
          <w:rFonts w:hAnsi="Times New Roman" w:cs="Times New Roman"/>
          <w:b/>
          <w:i/>
        </w:rPr>
        <w:t>.</w:t>
      </w:r>
      <w:r w:rsidRPr="009D4B8D">
        <w:rPr>
          <w:rFonts w:hAnsi="Times New Roman" w:cs="Times New Roman"/>
          <w:b/>
          <w:i/>
        </w:rPr>
        <w:tab/>
      </w:r>
      <w:r>
        <w:rPr>
          <w:rFonts w:hAnsi="Times New Roman" w:cs="Times New Roman"/>
          <w:b/>
          <w:i/>
          <w:caps/>
        </w:rPr>
        <w:t>Why does the economic development grant fund appear to be inconsistent with R.C. 4905.33</w:t>
      </w:r>
      <w:r w:rsidRPr="009D4B8D">
        <w:rPr>
          <w:rFonts w:hAnsi="Times New Roman" w:cs="Times New Roman"/>
          <w:b/>
          <w:i/>
        </w:rPr>
        <w:t>?</w:t>
      </w:r>
    </w:p>
    <w:p w:rsidR="00F07085" w:rsidP="00C15E82">
      <w:pPr>
        <w:tabs>
          <w:tab w:val="left" w:pos="720"/>
        </w:tabs>
        <w:spacing w:line="480" w:lineRule="auto"/>
        <w:ind w:left="720" w:hanging="720"/>
      </w:pPr>
      <w:r>
        <w:rPr>
          <w:b/>
          <w:i/>
        </w:rPr>
        <w:t>A19</w:t>
      </w:r>
      <w:r w:rsidRPr="007D4AAA">
        <w:rPr>
          <w:b/>
          <w:i/>
        </w:rPr>
        <w:t>.</w:t>
      </w:r>
      <w:r w:rsidRPr="004864AE">
        <w:tab/>
      </w:r>
      <w:r>
        <w:t>Stated generally, R.C. 4905.33 states that a public utility cannot issue rebates to one customer and not for all other like customers.  The cash payments in Section V of the Settlement are rebates for both the costs of the Settlement and the costs to be incurred as a result of changes to the rate design.  They are rebates.  These cash payments are unlawful and should be rejected.</w:t>
      </w:r>
      <w:r>
        <w:rPr>
          <w:rStyle w:val="FootnoteReference"/>
        </w:rPr>
        <w:footnoteReference w:id="8"/>
      </w:r>
    </w:p>
    <w:p w:rsidR="0024113D" w:rsidP="00665109">
      <w:pPr>
        <w:tabs>
          <w:tab w:val="left" w:pos="720"/>
        </w:tabs>
        <w:spacing w:line="480" w:lineRule="auto"/>
        <w:ind w:left="720" w:right="720" w:hanging="720"/>
      </w:pPr>
    </w:p>
    <w:p w:rsidR="00F07085" w:rsidRPr="009D4B8D" w:rsidP="00F07085">
      <w:pPr>
        <w:pStyle w:val="BodyA"/>
        <w:spacing w:line="480" w:lineRule="auto"/>
        <w:ind w:left="720" w:hanging="720"/>
        <w:rPr>
          <w:rFonts w:hAnsi="Times New Roman" w:cs="Times New Roman"/>
          <w:b/>
          <w:i/>
        </w:rPr>
      </w:pPr>
      <w:r w:rsidRPr="009D4B8D">
        <w:rPr>
          <w:rFonts w:hAnsi="Times New Roman" w:cs="Times New Roman"/>
          <w:b/>
          <w:i/>
        </w:rPr>
        <w:t>Q2</w:t>
      </w:r>
      <w:r>
        <w:rPr>
          <w:rFonts w:hAnsi="Times New Roman" w:cs="Times New Roman"/>
          <w:b/>
          <w:i/>
        </w:rPr>
        <w:t>0</w:t>
      </w:r>
      <w:r w:rsidRPr="009D4B8D">
        <w:rPr>
          <w:rFonts w:hAnsi="Times New Roman" w:cs="Times New Roman"/>
          <w:b/>
          <w:i/>
        </w:rPr>
        <w:t>.</w:t>
      </w:r>
      <w:r w:rsidRPr="009D4B8D">
        <w:rPr>
          <w:rFonts w:hAnsi="Times New Roman" w:cs="Times New Roman"/>
          <w:b/>
          <w:i/>
        </w:rPr>
        <w:tab/>
      </w:r>
      <w:r>
        <w:rPr>
          <w:rFonts w:hAnsi="Times New Roman" w:cs="Times New Roman"/>
          <w:b/>
          <w:i/>
          <w:caps/>
        </w:rPr>
        <w:t>HAs the PUCO ruled on direct payments to signatory parties in any prior cases</w:t>
      </w:r>
      <w:r w:rsidRPr="009D4B8D">
        <w:rPr>
          <w:rFonts w:hAnsi="Times New Roman" w:cs="Times New Roman"/>
          <w:b/>
          <w:i/>
        </w:rPr>
        <w:t>?</w:t>
      </w:r>
    </w:p>
    <w:p w:rsidR="0082767C" w:rsidP="00C15E82">
      <w:pPr>
        <w:tabs>
          <w:tab w:val="left" w:pos="720"/>
        </w:tabs>
        <w:spacing w:line="480" w:lineRule="auto"/>
        <w:ind w:left="720" w:hanging="720"/>
      </w:pPr>
      <w:r w:rsidRPr="007D4AAA">
        <w:rPr>
          <w:b/>
          <w:i/>
        </w:rPr>
        <w:t>A2</w:t>
      </w:r>
      <w:r>
        <w:rPr>
          <w:b/>
          <w:i/>
        </w:rPr>
        <w:t>0</w:t>
      </w:r>
      <w:r w:rsidRPr="007D4AAA">
        <w:rPr>
          <w:b/>
          <w:i/>
        </w:rPr>
        <w:t>.</w:t>
      </w:r>
      <w:r w:rsidRPr="004864AE">
        <w:tab/>
      </w:r>
      <w:r>
        <w:t>Yes, in case 05-376-EL-UNC a settlement allowed for direct payments to OEG, IEU, OMAEG, and Ohio Partners for Affordable Energy.  The Commission stated in its Order on Remand:</w:t>
      </w:r>
      <w:r w:rsidR="00E43FCB">
        <w:t xml:space="preserve"> </w:t>
      </w:r>
      <w:r>
        <w:t xml:space="preserve"> “However, the Signatory Parties to this Stipulation and parties to future stipulations should be forewarned that such provisions are strongly disfavored by this Commission and are highly likely to be stricken from any future stipulation submitted to the Commission for approval.”</w:t>
      </w:r>
      <w:r>
        <w:rPr>
          <w:rStyle w:val="FootnoteReference"/>
        </w:rPr>
        <w:footnoteReference w:id="9"/>
      </w:r>
    </w:p>
    <w:p w:rsidR="00895AEE" w:rsidP="00F07085">
      <w:pPr>
        <w:tabs>
          <w:tab w:val="left" w:pos="720"/>
        </w:tabs>
        <w:spacing w:line="480" w:lineRule="auto"/>
        <w:ind w:left="720" w:right="720" w:hanging="720"/>
      </w:pPr>
    </w:p>
    <w:p w:rsidR="00B40FF8" w:rsidRPr="009D4B8D" w:rsidP="00B40FF8">
      <w:pPr>
        <w:pStyle w:val="BodyA"/>
        <w:spacing w:line="480" w:lineRule="auto"/>
        <w:ind w:left="720" w:hanging="720"/>
        <w:rPr>
          <w:rFonts w:hAnsi="Times New Roman" w:cs="Times New Roman"/>
          <w:b/>
          <w:i/>
        </w:rPr>
      </w:pPr>
      <w:r w:rsidRPr="009D4B8D">
        <w:rPr>
          <w:rFonts w:hAnsi="Times New Roman" w:cs="Times New Roman"/>
          <w:b/>
          <w:i/>
        </w:rPr>
        <w:t>Q2</w:t>
      </w:r>
      <w:r>
        <w:rPr>
          <w:rFonts w:hAnsi="Times New Roman" w:cs="Times New Roman"/>
          <w:b/>
          <w:i/>
        </w:rPr>
        <w:t>1</w:t>
      </w:r>
      <w:r w:rsidRPr="009D4B8D">
        <w:rPr>
          <w:rFonts w:hAnsi="Times New Roman" w:cs="Times New Roman"/>
          <w:b/>
          <w:i/>
        </w:rPr>
        <w:t>.</w:t>
      </w:r>
      <w:r w:rsidRPr="009D4B8D">
        <w:rPr>
          <w:rFonts w:hAnsi="Times New Roman" w:cs="Times New Roman"/>
          <w:b/>
          <w:i/>
        </w:rPr>
        <w:tab/>
      </w:r>
      <w:r>
        <w:rPr>
          <w:rFonts w:hAnsi="Times New Roman" w:cs="Times New Roman"/>
          <w:b/>
          <w:i/>
          <w:caps/>
        </w:rPr>
        <w:t>describe the competitive retail market enhancements in section IX of the settlement that violate regulatory practices or principals</w:t>
      </w:r>
      <w:r>
        <w:rPr>
          <w:rFonts w:hAnsi="Times New Roman" w:cs="Times New Roman"/>
          <w:b/>
          <w:i/>
        </w:rPr>
        <w:t>.</w:t>
      </w:r>
    </w:p>
    <w:p w:rsidR="0024113D" w:rsidP="00C15E82">
      <w:pPr>
        <w:tabs>
          <w:tab w:val="left" w:pos="720"/>
        </w:tabs>
        <w:spacing w:line="480" w:lineRule="auto"/>
        <w:ind w:left="720" w:hanging="720"/>
      </w:pPr>
      <w:r w:rsidRPr="007D4AAA">
        <w:rPr>
          <w:b/>
          <w:i/>
        </w:rPr>
        <w:t>A2</w:t>
      </w:r>
      <w:r>
        <w:rPr>
          <w:b/>
          <w:i/>
        </w:rPr>
        <w:t>1</w:t>
      </w:r>
      <w:r w:rsidRPr="007D4AAA">
        <w:rPr>
          <w:b/>
          <w:i/>
        </w:rPr>
        <w:t>.</w:t>
      </w:r>
      <w:r w:rsidRPr="004864AE">
        <w:tab/>
      </w:r>
      <w:r>
        <w:t>Section IX.1 of the Settlement requires the Staff to request the Commission conduct a rules review to establish parameters for non-commodity billing in all utility service territories and for DP&amp;L to submit an application to establish non-commodity billing parameters within 18 months of a Commission order approving the Settlement.</w:t>
      </w:r>
    </w:p>
    <w:p w:rsidR="0022094C" w:rsidP="0022094C">
      <w:pPr>
        <w:tabs>
          <w:tab w:val="left" w:pos="720"/>
        </w:tabs>
        <w:spacing w:line="480" w:lineRule="auto"/>
        <w:ind w:left="720" w:right="720" w:hanging="720"/>
        <w:rPr>
          <w:b/>
          <w:i/>
          <w:color w:val="000000"/>
          <w:u w:color="000000"/>
        </w:rPr>
      </w:pPr>
    </w:p>
    <w:p w:rsidR="00B40FF8" w:rsidRPr="009D4B8D" w:rsidP="00B40FF8">
      <w:pPr>
        <w:pStyle w:val="BodyA"/>
        <w:spacing w:line="480" w:lineRule="auto"/>
        <w:ind w:left="720" w:hanging="720"/>
        <w:rPr>
          <w:rFonts w:hAnsi="Times New Roman" w:cs="Times New Roman"/>
          <w:b/>
          <w:i/>
        </w:rPr>
      </w:pPr>
      <w:r w:rsidRPr="009D4B8D">
        <w:rPr>
          <w:rFonts w:hAnsi="Times New Roman" w:cs="Times New Roman"/>
          <w:b/>
          <w:i/>
        </w:rPr>
        <w:t>Q2</w:t>
      </w:r>
      <w:r>
        <w:rPr>
          <w:rFonts w:hAnsi="Times New Roman" w:cs="Times New Roman"/>
          <w:b/>
          <w:i/>
        </w:rPr>
        <w:t>2</w:t>
      </w:r>
      <w:r w:rsidRPr="009D4B8D">
        <w:rPr>
          <w:rFonts w:hAnsi="Times New Roman" w:cs="Times New Roman"/>
          <w:b/>
          <w:i/>
        </w:rPr>
        <w:t>.</w:t>
      </w:r>
      <w:r w:rsidRPr="009D4B8D">
        <w:rPr>
          <w:rFonts w:hAnsi="Times New Roman" w:cs="Times New Roman"/>
          <w:b/>
          <w:i/>
        </w:rPr>
        <w:tab/>
      </w:r>
      <w:r>
        <w:rPr>
          <w:rFonts w:hAnsi="Times New Roman" w:cs="Times New Roman"/>
          <w:b/>
          <w:i/>
          <w:caps/>
        </w:rPr>
        <w:t>How does the proposed rule</w:t>
      </w:r>
      <w:r w:rsidR="00E43FCB">
        <w:rPr>
          <w:rFonts w:hAnsi="Times New Roman" w:cs="Times New Roman"/>
          <w:b/>
          <w:i/>
          <w:caps/>
        </w:rPr>
        <w:t>S</w:t>
      </w:r>
      <w:r>
        <w:rPr>
          <w:rFonts w:hAnsi="Times New Roman" w:cs="Times New Roman"/>
          <w:b/>
          <w:i/>
          <w:caps/>
        </w:rPr>
        <w:t xml:space="preserve"> review violate regulatory practices or principals</w:t>
      </w:r>
      <w:r w:rsidRPr="009D4B8D">
        <w:rPr>
          <w:rFonts w:hAnsi="Times New Roman" w:cs="Times New Roman"/>
          <w:b/>
          <w:i/>
        </w:rPr>
        <w:t>?</w:t>
      </w:r>
    </w:p>
    <w:p w:rsidR="004949AD" w:rsidP="00C15E82">
      <w:pPr>
        <w:tabs>
          <w:tab w:val="left" w:pos="720"/>
        </w:tabs>
        <w:spacing w:line="480" w:lineRule="auto"/>
        <w:ind w:left="720" w:hanging="720"/>
      </w:pPr>
      <w:r w:rsidRPr="007D4AAA">
        <w:rPr>
          <w:b/>
          <w:i/>
        </w:rPr>
        <w:t>A2</w:t>
      </w:r>
      <w:r>
        <w:rPr>
          <w:b/>
          <w:i/>
        </w:rPr>
        <w:t>2</w:t>
      </w:r>
      <w:r w:rsidRPr="007D4AAA">
        <w:rPr>
          <w:b/>
          <w:i/>
        </w:rPr>
        <w:t>.</w:t>
      </w:r>
      <w:r w:rsidRPr="004864AE">
        <w:tab/>
      </w:r>
      <w:r>
        <w:t>Rules under the Ohio Administrative Code are reviewed every five years.  The rules governing Marketers fall under Ohio Adm. Code 4901:1-21, which have a five-year review date of July 24, 2019.</w:t>
      </w:r>
      <w:r>
        <w:rPr>
          <w:rStyle w:val="FootnoteReference"/>
        </w:rPr>
        <w:footnoteReference w:id="10"/>
      </w:r>
      <w:r>
        <w:t xml:space="preserve">  The rules governing electric Marketers should be reviewed in their entirety at the time of the five-year review.  A special rule-making process regarding a single matter, like that proposed in the Settlement, is not appropriate.  If the PUCO rejects Staff’s rule reviews request it should also reject DP&amp;L’s requirement to file an application to establish non-commodity billing.</w:t>
      </w:r>
    </w:p>
    <w:p w:rsidR="00C15E82" w:rsidP="00C15E82">
      <w:pPr>
        <w:tabs>
          <w:tab w:val="left" w:pos="720"/>
        </w:tabs>
        <w:spacing w:line="480" w:lineRule="auto"/>
        <w:ind w:left="720" w:hanging="720"/>
      </w:pPr>
    </w:p>
    <w:p w:rsidR="00A57B8D" w:rsidRPr="009D4B8D" w:rsidP="00711988">
      <w:pPr>
        <w:pStyle w:val="Heading1"/>
        <w:rPr>
          <w:rFonts w:ascii="Times New Roman" w:hAnsi="Times New Roman" w:cs="Times New Roman"/>
        </w:rPr>
      </w:pPr>
      <w:bookmarkStart w:id="10" w:name="_Toc478555243"/>
      <w:r w:rsidRPr="009D4B8D">
        <w:rPr>
          <w:rFonts w:ascii="Times New Roman" w:hAnsi="Times New Roman" w:cs="Times New Roman"/>
        </w:rPr>
        <w:t>Conclusion</w:t>
      </w:r>
      <w:bookmarkEnd w:id="9"/>
      <w:bookmarkEnd w:id="10"/>
    </w:p>
    <w:p w:rsidR="00DB34F7" w:rsidRPr="009D4B8D" w:rsidP="009A4CDE">
      <w:pPr>
        <w:pStyle w:val="BodyA"/>
        <w:spacing w:line="480" w:lineRule="auto"/>
        <w:ind w:left="720" w:hanging="720"/>
        <w:rPr>
          <w:rFonts w:hAnsi="Times New Roman" w:cs="Times New Roman"/>
        </w:rPr>
      </w:pPr>
    </w:p>
    <w:p w:rsidR="007D50A4" w:rsidRPr="009D4B8D" w:rsidP="007D50A4">
      <w:pPr>
        <w:pStyle w:val="DirectQuestion"/>
        <w:ind w:left="720" w:hanging="720"/>
        <w:rPr>
          <w:rFonts w:hAnsi="Times New Roman" w:cs="Times New Roman"/>
        </w:rPr>
      </w:pPr>
      <w:r w:rsidRPr="009D4B8D">
        <w:rPr>
          <w:rFonts w:hAnsi="Times New Roman" w:cs="Times New Roman"/>
        </w:rPr>
        <w:t>Q2</w:t>
      </w:r>
      <w:r>
        <w:rPr>
          <w:rFonts w:hAnsi="Times New Roman" w:cs="Times New Roman"/>
        </w:rPr>
        <w:t>3</w:t>
      </w:r>
      <w:r w:rsidRPr="009D4B8D">
        <w:rPr>
          <w:rFonts w:hAnsi="Times New Roman" w:cs="Times New Roman"/>
        </w:rPr>
        <w:t>.</w:t>
      </w:r>
      <w:r w:rsidRPr="009D4B8D">
        <w:rPr>
          <w:rFonts w:hAnsi="Times New Roman" w:cs="Times New Roman"/>
        </w:rPr>
        <w:tab/>
        <w:t>Please summarize your recommendatIOns.</w:t>
      </w:r>
    </w:p>
    <w:p w:rsidR="00C15E82" w:rsidP="007D50A4">
      <w:pPr>
        <w:pStyle w:val="BodyA"/>
        <w:spacing w:line="480" w:lineRule="auto"/>
        <w:ind w:left="720" w:hanging="720"/>
        <w:rPr>
          <w:rFonts w:hAnsi="Times New Roman" w:cs="Times New Roman"/>
          <w:bCs/>
          <w:iCs/>
        </w:rPr>
        <w:sectPr w:rsidSect="00E43FCB">
          <w:headerReference w:type="default" r:id="rId11"/>
          <w:footerReference w:type="default" r:id="rId12"/>
          <w:pgSz w:w="12240" w:h="15840"/>
          <w:pgMar w:top="1440" w:right="1800" w:bottom="1440" w:left="1800" w:header="360" w:footer="720" w:gutter="0"/>
          <w:lnNumType w:countBy="1"/>
          <w:pgNumType w:start="1"/>
          <w:cols w:space="720"/>
          <w:docGrid w:linePitch="326"/>
        </w:sectPr>
      </w:pPr>
      <w:r w:rsidRPr="009D4B8D">
        <w:rPr>
          <w:rFonts w:hAnsi="Times New Roman" w:cs="Times New Roman"/>
          <w:b/>
          <w:bCs/>
          <w:i/>
          <w:iCs/>
        </w:rPr>
        <w:t>A2</w:t>
      </w:r>
      <w:r>
        <w:rPr>
          <w:rFonts w:hAnsi="Times New Roman" w:cs="Times New Roman"/>
          <w:b/>
          <w:bCs/>
          <w:i/>
          <w:iCs/>
        </w:rPr>
        <w:t>3</w:t>
      </w:r>
      <w:r w:rsidRPr="009D4B8D">
        <w:rPr>
          <w:rFonts w:hAnsi="Times New Roman" w:cs="Times New Roman"/>
          <w:b/>
          <w:bCs/>
          <w:i/>
          <w:iCs/>
        </w:rPr>
        <w:t>.</w:t>
      </w:r>
      <w:r w:rsidRPr="009D4B8D">
        <w:rPr>
          <w:rFonts w:hAnsi="Times New Roman" w:cs="Times New Roman"/>
          <w:b/>
          <w:bCs/>
          <w:i/>
          <w:iCs/>
        </w:rPr>
        <w:tab/>
      </w:r>
      <w:r w:rsidRPr="009D4B8D">
        <w:rPr>
          <w:rFonts w:hAnsi="Times New Roman" w:cs="Times New Roman"/>
          <w:bCs/>
          <w:iCs/>
        </w:rPr>
        <w:t xml:space="preserve">The proposed </w:t>
      </w:r>
      <w:r>
        <w:rPr>
          <w:rFonts w:hAnsi="Times New Roman" w:cs="Times New Roman"/>
          <w:bCs/>
          <w:iCs/>
        </w:rPr>
        <w:t>Settlement does not pass the PUCO’s three-</w:t>
      </w:r>
      <w:r w:rsidRPr="009D4B8D">
        <w:rPr>
          <w:rFonts w:hAnsi="Times New Roman" w:cs="Times New Roman"/>
          <w:bCs/>
          <w:iCs/>
        </w:rPr>
        <w:t xml:space="preserve">pronged test.  It is does not benefit customers and it does violate regulatory principals.  As a result, the proposed </w:t>
      </w:r>
      <w:r>
        <w:rPr>
          <w:rFonts w:hAnsi="Times New Roman" w:cs="Times New Roman"/>
          <w:bCs/>
          <w:iCs/>
        </w:rPr>
        <w:t>Settlement</w:t>
      </w:r>
      <w:r w:rsidRPr="009D4B8D">
        <w:rPr>
          <w:rFonts w:hAnsi="Times New Roman" w:cs="Times New Roman"/>
          <w:bCs/>
          <w:iCs/>
        </w:rPr>
        <w:t xml:space="preserve"> should be rejected by the Commission.</w:t>
      </w:r>
    </w:p>
    <w:p w:rsidR="009769C4" w:rsidRPr="009D4B8D" w:rsidP="009A4CDE">
      <w:pPr>
        <w:pStyle w:val="DirectQuestion"/>
        <w:ind w:left="720" w:hanging="720"/>
        <w:rPr>
          <w:rFonts w:hAnsi="Times New Roman" w:cs="Times New Roman"/>
        </w:rPr>
      </w:pPr>
      <w:r w:rsidRPr="009D4B8D">
        <w:rPr>
          <w:rFonts w:hAnsi="Times New Roman" w:cs="Times New Roman"/>
        </w:rPr>
        <w:t>Q2</w:t>
      </w:r>
      <w:r>
        <w:rPr>
          <w:rFonts w:hAnsi="Times New Roman" w:cs="Times New Roman"/>
        </w:rPr>
        <w:t>4</w:t>
      </w:r>
      <w:r w:rsidRPr="009D4B8D">
        <w:rPr>
          <w:rFonts w:hAnsi="Times New Roman" w:cs="Times New Roman"/>
        </w:rPr>
        <w:t>.</w:t>
      </w:r>
      <w:r w:rsidRPr="009D4B8D">
        <w:rPr>
          <w:rFonts w:hAnsi="Times New Roman" w:cs="Times New Roman"/>
        </w:rPr>
        <w:tab/>
        <w:t>Does this conclude your testimony?</w:t>
      </w:r>
    </w:p>
    <w:p w:rsidR="007F1318" w:rsidRPr="009D4B8D" w:rsidP="007F1318">
      <w:pPr>
        <w:pStyle w:val="BodyA"/>
        <w:spacing w:line="480" w:lineRule="auto"/>
        <w:ind w:left="720" w:hanging="720"/>
        <w:rPr>
          <w:rFonts w:hAnsi="Times New Roman" w:cs="Times New Roman"/>
        </w:rPr>
      </w:pPr>
      <w:r w:rsidRPr="009D4B8D">
        <w:rPr>
          <w:rFonts w:hAnsi="Times New Roman" w:cs="Times New Roman"/>
          <w:b/>
          <w:bCs/>
          <w:i/>
          <w:iCs/>
        </w:rPr>
        <w:t>A2</w:t>
      </w:r>
      <w:r>
        <w:rPr>
          <w:rFonts w:hAnsi="Times New Roman" w:cs="Times New Roman"/>
          <w:b/>
          <w:bCs/>
          <w:i/>
          <w:iCs/>
        </w:rPr>
        <w:t>4</w:t>
      </w:r>
      <w:r w:rsidRPr="009D4B8D">
        <w:rPr>
          <w:rFonts w:hAnsi="Times New Roman" w:cs="Times New Roman"/>
          <w:b/>
          <w:bCs/>
          <w:i/>
          <w:iCs/>
        </w:rPr>
        <w:t>.</w:t>
      </w:r>
      <w:r w:rsidRPr="009D4B8D">
        <w:rPr>
          <w:rFonts w:hAnsi="Times New Roman" w:cs="Times New Roman"/>
          <w:b/>
          <w:bCs/>
          <w:i/>
          <w:iCs/>
        </w:rPr>
        <w:tab/>
      </w:r>
      <w:r w:rsidRPr="009D4B8D">
        <w:rPr>
          <w:rFonts w:hAnsi="Times New Roman" w:cs="Times New Roman"/>
        </w:rPr>
        <w:t>Yes.  But I reserve the right to incorporate new information that may subsequently become available.</w:t>
      </w:r>
    </w:p>
    <w:p w:rsidR="004949AD">
      <w:pPr>
        <w:pStyle w:val="BodyA"/>
        <w:jc w:val="center"/>
        <w:rPr>
          <w:rFonts w:hAnsi="Times New Roman" w:cs="Times New Roman"/>
          <w:b/>
          <w:bCs/>
          <w:u w:val="single"/>
        </w:rPr>
        <w:sectPr w:rsidSect="00C15E82">
          <w:pgSz w:w="12240" w:h="15840"/>
          <w:pgMar w:top="1440" w:right="1800" w:bottom="1440" w:left="1800" w:header="360" w:footer="720" w:gutter="0"/>
          <w:lnNumType w:countBy="1"/>
          <w:cols w:space="720"/>
          <w:docGrid w:linePitch="326"/>
        </w:sectPr>
      </w:pPr>
    </w:p>
    <w:p w:rsidR="009769C4" w:rsidRPr="009D4B8D">
      <w:pPr>
        <w:pStyle w:val="BodyA"/>
        <w:jc w:val="center"/>
        <w:rPr>
          <w:rFonts w:hAnsi="Times New Roman" w:cs="Times New Roman"/>
          <w:b/>
          <w:bCs/>
          <w:u w:val="single"/>
        </w:rPr>
      </w:pPr>
      <w:r w:rsidRPr="009D4B8D">
        <w:rPr>
          <w:rFonts w:hAnsi="Times New Roman" w:cs="Times New Roman"/>
          <w:b/>
          <w:bCs/>
          <w:u w:val="single"/>
        </w:rPr>
        <w:t>CERTIFICATE OF SERVICE</w:t>
      </w:r>
    </w:p>
    <w:p w:rsidR="009769C4" w:rsidRPr="002B203E">
      <w:pPr>
        <w:pStyle w:val="BodyA"/>
        <w:jc w:val="center"/>
        <w:rPr>
          <w:rFonts w:hAnsi="Times New Roman" w:cs="Times New Roman"/>
          <w:b/>
          <w:bCs/>
          <w:sz w:val="16"/>
          <w:u w:val="single"/>
        </w:rPr>
      </w:pPr>
    </w:p>
    <w:p w:rsidR="00D605BF" w:rsidRPr="009D4B8D" w:rsidP="00D605BF">
      <w:pPr>
        <w:pStyle w:val="BodyA"/>
        <w:suppressAutoHyphens/>
        <w:spacing w:line="480" w:lineRule="auto"/>
        <w:ind w:firstLine="720"/>
        <w:rPr>
          <w:rFonts w:hAnsi="Times New Roman" w:cs="Times New Roman"/>
        </w:rPr>
      </w:pPr>
      <w:r w:rsidRPr="009D4B8D">
        <w:rPr>
          <w:rFonts w:hAnsi="Times New Roman" w:cs="Times New Roman"/>
        </w:rPr>
        <w:t xml:space="preserve">I hereby certify that a true copy of the foregoing </w:t>
      </w:r>
      <w:r w:rsidRPr="009D4B8D">
        <w:rPr>
          <w:rFonts w:hAnsi="Times New Roman" w:cs="Times New Roman"/>
          <w:i/>
          <w:iCs/>
        </w:rPr>
        <w:t>Direct Testimony of Michael P. Haugh on Behalf of the Office of the Ohio Consumers</w:t>
      </w:r>
      <w:r w:rsidRPr="009D4B8D">
        <w:rPr>
          <w:rFonts w:hAnsi="Times New Roman" w:cs="Times New Roman"/>
          <w:i/>
          <w:iCs/>
          <w:lang w:val="fr-FR"/>
        </w:rPr>
        <w:t xml:space="preserve">' </w:t>
      </w:r>
      <w:r w:rsidRPr="009D4B8D">
        <w:rPr>
          <w:rFonts w:hAnsi="Times New Roman" w:cs="Times New Roman"/>
          <w:i/>
          <w:iCs/>
        </w:rPr>
        <w:t>Counsel</w:t>
      </w:r>
      <w:r w:rsidRPr="009D4B8D">
        <w:rPr>
          <w:rFonts w:hAnsi="Times New Roman" w:cs="Times New Roman"/>
        </w:rPr>
        <w:t xml:space="preserve"> was served via electronic transmission upon the parties below this </w:t>
      </w:r>
      <w:r>
        <w:rPr>
          <w:rFonts w:hAnsi="Times New Roman" w:cs="Times New Roman"/>
        </w:rPr>
        <w:t>29th</w:t>
      </w:r>
      <w:r w:rsidRPr="009D4B8D">
        <w:rPr>
          <w:rFonts w:hAnsi="Times New Roman" w:cs="Times New Roman"/>
        </w:rPr>
        <w:t xml:space="preserve"> day of March 2017.</w:t>
      </w:r>
    </w:p>
    <w:p w:rsidR="00927797" w:rsidRPr="00810619" w:rsidP="00D605BF">
      <w:pPr>
        <w:tabs>
          <w:tab w:val="left" w:pos="5040"/>
        </w:tabs>
        <w:rPr>
          <w:u w:val="single"/>
        </w:rPr>
      </w:pPr>
      <w:r w:rsidRPr="009D4B8D">
        <w:rPr>
          <w:rFonts w:eastAsia="Times New Roman"/>
        </w:rPr>
        <w:tab/>
      </w:r>
      <w:r w:rsidRPr="00810619">
        <w:rPr>
          <w:u w:val="single"/>
        </w:rPr>
        <w:t xml:space="preserve">/s/ </w:t>
      </w:r>
      <w:r>
        <w:rPr>
          <w:i/>
          <w:u w:val="single"/>
        </w:rPr>
        <w:t>William J. Michael</w:t>
      </w:r>
      <w:r w:rsidRPr="00810619">
        <w:rPr>
          <w:u w:val="single"/>
        </w:rPr>
        <w:tab/>
      </w:r>
      <w:r w:rsidRPr="00810619">
        <w:rPr>
          <w:u w:val="single"/>
        </w:rPr>
        <w:tab/>
      </w:r>
    </w:p>
    <w:p w:rsidR="00927797" w:rsidRPr="00C51639" w:rsidP="00927797">
      <w:pPr>
        <w:tabs>
          <w:tab w:val="left" w:pos="4320"/>
        </w:tabs>
        <w:ind w:right="-90"/>
      </w:pPr>
      <w:r w:rsidRPr="00C51639">
        <w:tab/>
      </w:r>
      <w:r w:rsidRPr="00C51639">
        <w:tab/>
      </w:r>
      <w:r>
        <w:t>William J. Michael</w:t>
      </w:r>
    </w:p>
    <w:p w:rsidR="00927797" w:rsidRPr="00927797" w:rsidP="00927797">
      <w:pPr>
        <w:pStyle w:val="EndnoteText"/>
        <w:widowControl/>
        <w:rPr>
          <w:rFonts w:ascii="Times New Roman" w:hAnsi="Times New Roman" w:cs="Times New Roman"/>
        </w:rPr>
      </w:pPr>
      <w:r w:rsidRPr="00C51639">
        <w:tab/>
      </w:r>
      <w:r w:rsidRPr="00C51639">
        <w:tab/>
      </w:r>
      <w:r w:rsidRPr="00C51639">
        <w:tab/>
      </w:r>
      <w:r w:rsidRPr="00C51639">
        <w:tab/>
      </w:r>
      <w:r w:rsidRPr="00C51639">
        <w:tab/>
      </w:r>
      <w:r w:rsidRPr="00C51639">
        <w:tab/>
      </w:r>
      <w:r>
        <w:tab/>
      </w:r>
      <w:r w:rsidRPr="00927797">
        <w:rPr>
          <w:rFonts w:ascii="Times New Roman" w:hAnsi="Times New Roman" w:cs="Times New Roman"/>
        </w:rPr>
        <w:t>Assistant Consumers’ Counsel</w:t>
      </w:r>
    </w:p>
    <w:p w:rsidR="0090014E" w:rsidRPr="00927797" w:rsidP="00927797">
      <w:pPr>
        <w:pStyle w:val="EndnoteText"/>
        <w:tabs>
          <w:tab w:val="left" w:pos="5040"/>
          <w:tab w:val="left" w:pos="8280"/>
        </w:tabs>
        <w:suppressAutoHyphens/>
        <w:rPr>
          <w:rFonts w:ascii="Times New Roman" w:hAnsi="Times New Roman" w:cs="Times New Roman"/>
          <w:b/>
          <w:bCs/>
          <w:sz w:val="16"/>
          <w:szCs w:val="16"/>
          <w:u w:val="single"/>
        </w:rPr>
      </w:pPr>
    </w:p>
    <w:p w:rsidR="00927797" w:rsidP="00927797">
      <w:pPr>
        <w:pStyle w:val="CommentText"/>
        <w:jc w:val="center"/>
        <w:rPr>
          <w:b/>
          <w:bCs/>
          <w:sz w:val="24"/>
          <w:szCs w:val="24"/>
          <w:u w:val="single"/>
        </w:rPr>
      </w:pPr>
      <w:r w:rsidRPr="00927797">
        <w:rPr>
          <w:b/>
          <w:bCs/>
          <w:sz w:val="24"/>
          <w:szCs w:val="24"/>
          <w:u w:val="single"/>
        </w:rPr>
        <w:t>SERVICE LIST</w:t>
      </w:r>
    </w:p>
    <w:p w:rsidR="00AC22DA" w:rsidP="00927797">
      <w:pPr>
        <w:pStyle w:val="CommentText"/>
        <w:jc w:val="center"/>
        <w:rPr>
          <w:b/>
          <w:bCs/>
          <w:sz w:val="24"/>
          <w:szCs w:val="24"/>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298"/>
        <w:gridCol w:w="4234"/>
      </w:tblGrid>
      <w:tr w:rsidTr="00EC1E19">
        <w:tblPrEx>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720" w:type="dxa"/>
          </w:tcPr>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william.wright@ohioattorneygeneral.gov</w:t>
            </w:r>
            <w:r w:rsidRPr="00FD2451">
              <w:rPr>
                <w:rFonts w:eastAsia="Arial Unicode MS"/>
                <w:color w:val="0000FF"/>
                <w:sz w:val="22"/>
                <w:szCs w:val="24"/>
                <w:bdr w:val="nil"/>
                <w:lang w:val="en-US" w:eastAsia="en-US" w:bidi="ar-SA"/>
              </w:rPr>
              <w:t xml:space="preserve"> </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dboehm@bkllawfirm.com</w:t>
            </w:r>
            <w:r w:rsidRPr="00FD2451">
              <w:rPr>
                <w:rFonts w:eastAsia="Arial Unicode MS"/>
                <w:color w:val="0000FF"/>
                <w:sz w:val="22"/>
                <w:szCs w:val="24"/>
                <w:bdr w:val="nil"/>
                <w:lang w:val="en-US" w:eastAsia="en-US" w:bidi="ar-SA"/>
              </w:rPr>
              <w:t xml:space="preserve"> </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mkurtz@bkllawfirm.com</w:t>
            </w:r>
            <w:r w:rsidRPr="00FD2451">
              <w:rPr>
                <w:rFonts w:eastAsia="Arial Unicode MS"/>
                <w:color w:val="0000FF"/>
                <w:sz w:val="22"/>
                <w:szCs w:val="24"/>
                <w:bdr w:val="nil"/>
                <w:lang w:val="en-US" w:eastAsia="en-US" w:bidi="ar-SA"/>
              </w:rPr>
              <w:t xml:space="preserve"> </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jkylercohn@bkllawfirm.com</w:t>
            </w:r>
            <w:r w:rsidRPr="00FD2451">
              <w:rPr>
                <w:rFonts w:eastAsia="Arial Unicode MS"/>
                <w:color w:val="0000FF"/>
                <w:sz w:val="22"/>
                <w:szCs w:val="24"/>
                <w:bdr w:val="nil"/>
                <w:lang w:val="en-US" w:eastAsia="en-US" w:bidi="ar-SA"/>
              </w:rPr>
              <w:t xml:space="preserve"> </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kboehm@bkllawfirm.com</w:t>
            </w:r>
            <w:r w:rsidRPr="00FD2451">
              <w:rPr>
                <w:rFonts w:eastAsia="Arial Unicode MS"/>
                <w:color w:val="0000FF"/>
                <w:sz w:val="22"/>
                <w:szCs w:val="24"/>
                <w:bdr w:val="nil"/>
                <w:lang w:val="en-US" w:eastAsia="en-US" w:bidi="ar-SA"/>
              </w:rPr>
              <w:t xml:space="preserve"> </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fdarr@mwncmh.com</w:t>
            </w:r>
            <w:r w:rsidRPr="00FD2451">
              <w:rPr>
                <w:rFonts w:eastAsia="Arial Unicode MS"/>
                <w:color w:val="0000FF"/>
                <w:sz w:val="22"/>
                <w:szCs w:val="24"/>
                <w:bdr w:val="nil"/>
                <w:lang w:val="en-US" w:eastAsia="en-US" w:bidi="ar-SA"/>
              </w:rPr>
              <w:t xml:space="preserve"> </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mpritchard@mwncmh.com</w:t>
            </w:r>
            <w:r w:rsidRPr="00FD2451">
              <w:rPr>
                <w:rFonts w:eastAsia="Arial Unicode MS"/>
                <w:color w:val="0000FF"/>
                <w:sz w:val="22"/>
                <w:szCs w:val="24"/>
                <w:bdr w:val="nil"/>
                <w:lang w:val="en-US" w:eastAsia="en-US" w:bidi="ar-SA"/>
              </w:rPr>
              <w:t xml:space="preserve"> </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mjsettineri@vorys.com</w:t>
            </w:r>
            <w:r w:rsidRPr="00FD2451">
              <w:rPr>
                <w:rFonts w:eastAsia="Arial Unicode MS"/>
                <w:color w:val="0000FF"/>
                <w:sz w:val="22"/>
                <w:szCs w:val="24"/>
                <w:bdr w:val="nil"/>
                <w:lang w:val="en-US" w:eastAsia="en-US" w:bidi="ar-SA"/>
              </w:rPr>
              <w:t xml:space="preserve"> </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smhoward@vorys.com</w:t>
            </w:r>
            <w:r w:rsidRPr="00FD2451">
              <w:rPr>
                <w:rFonts w:eastAsia="Arial Unicode MS"/>
                <w:color w:val="0000FF"/>
                <w:sz w:val="22"/>
                <w:szCs w:val="24"/>
                <w:bdr w:val="nil"/>
                <w:lang w:val="en-US" w:eastAsia="en-US" w:bidi="ar-SA"/>
              </w:rPr>
              <w:t xml:space="preserve"> </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glpetrucci@vorys.com</w:t>
            </w:r>
            <w:r w:rsidRPr="00FD2451">
              <w:rPr>
                <w:rFonts w:eastAsia="Arial Unicode MS"/>
                <w:color w:val="0000FF"/>
                <w:sz w:val="22"/>
                <w:szCs w:val="24"/>
                <w:bdr w:val="nil"/>
                <w:lang w:val="en-US" w:eastAsia="en-US" w:bidi="ar-SA"/>
              </w:rPr>
              <w:t xml:space="preserve"> </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ibatikov@vorys.com</w:t>
            </w:r>
            <w:r w:rsidRPr="00FD2451">
              <w:rPr>
                <w:rFonts w:eastAsia="Arial Unicode MS"/>
                <w:color w:val="0000FF"/>
                <w:sz w:val="22"/>
                <w:szCs w:val="24"/>
                <w:bdr w:val="nil"/>
                <w:lang w:val="en-US" w:eastAsia="en-US" w:bidi="ar-SA"/>
              </w:rPr>
              <w:t xml:space="preserve"> </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wasieck@vorys.com</w:t>
            </w:r>
            <w:r w:rsidRPr="00FD2451">
              <w:rPr>
                <w:rFonts w:eastAsia="Arial Unicode MS"/>
                <w:color w:val="0000FF"/>
                <w:sz w:val="22"/>
                <w:szCs w:val="24"/>
                <w:bdr w:val="nil"/>
                <w:lang w:val="en-US" w:eastAsia="en-US" w:bidi="ar-SA"/>
              </w:rPr>
              <w:t xml:space="preserve"> </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tdougherty@theOEC.org</w:t>
            </w:r>
            <w:r w:rsidRPr="00FD2451">
              <w:rPr>
                <w:rFonts w:eastAsia="Arial Unicode MS"/>
                <w:color w:val="0000FF"/>
                <w:sz w:val="22"/>
                <w:szCs w:val="24"/>
                <w:bdr w:val="nil"/>
                <w:lang w:val="en-US" w:eastAsia="en-US" w:bidi="ar-SA"/>
              </w:rPr>
              <w:t xml:space="preserve"> </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cmooney@ohiopartners.org</w:t>
            </w:r>
            <w:r w:rsidRPr="00FD2451">
              <w:rPr>
                <w:rFonts w:eastAsia="Arial Unicode MS"/>
                <w:color w:val="0000FF"/>
                <w:sz w:val="22"/>
                <w:szCs w:val="24"/>
                <w:bdr w:val="nil"/>
                <w:lang w:val="en-US" w:eastAsia="en-US" w:bidi="ar-SA"/>
              </w:rPr>
              <w:t xml:space="preserve"> </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joliker@igsenergy.com</w:t>
            </w:r>
            <w:r w:rsidRPr="00FD2451">
              <w:rPr>
                <w:rFonts w:eastAsia="Arial Unicode MS"/>
                <w:color w:val="0000FF"/>
                <w:sz w:val="22"/>
                <w:szCs w:val="24"/>
                <w:bdr w:val="nil"/>
                <w:lang w:val="en-US" w:eastAsia="en-US" w:bidi="ar-SA"/>
              </w:rPr>
              <w:t xml:space="preserve"> </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mswhite@igsenergy.com</w:t>
            </w:r>
            <w:r w:rsidRPr="00FD2451">
              <w:rPr>
                <w:rFonts w:eastAsia="Arial Unicode MS"/>
                <w:color w:val="0000FF"/>
                <w:sz w:val="22"/>
                <w:szCs w:val="24"/>
                <w:bdr w:val="nil"/>
                <w:lang w:val="en-US" w:eastAsia="en-US" w:bidi="ar-SA"/>
              </w:rPr>
              <w:t xml:space="preserve"> </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ebetterton@igsenergy.com</w:t>
            </w:r>
            <w:r w:rsidRPr="00FD2451">
              <w:rPr>
                <w:rFonts w:eastAsia="Arial Unicode MS"/>
                <w:color w:val="0000FF"/>
                <w:sz w:val="22"/>
                <w:szCs w:val="24"/>
                <w:bdr w:val="nil"/>
                <w:lang w:val="en-US" w:eastAsia="en-US" w:bidi="ar-SA"/>
              </w:rPr>
              <w:t xml:space="preserve"> </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Slesser@calfee.com</w:t>
            </w:r>
            <w:r w:rsidRPr="00FD2451">
              <w:rPr>
                <w:rFonts w:eastAsia="Arial Unicode MS"/>
                <w:color w:val="0000FF"/>
                <w:sz w:val="22"/>
                <w:szCs w:val="24"/>
                <w:bdr w:val="nil"/>
                <w:lang w:val="en-US" w:eastAsia="en-US" w:bidi="ar-SA"/>
              </w:rPr>
              <w:t xml:space="preserve"> </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jlang@calfee.com</w:t>
            </w:r>
            <w:r w:rsidRPr="00FD2451">
              <w:rPr>
                <w:rFonts w:eastAsia="Arial Unicode MS"/>
                <w:color w:val="0000FF"/>
                <w:sz w:val="22"/>
                <w:szCs w:val="24"/>
                <w:bdr w:val="nil"/>
                <w:lang w:val="en-US" w:eastAsia="en-US" w:bidi="ar-SA"/>
              </w:rPr>
              <w:t xml:space="preserve"> </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talexander@calfee.com</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mkeaney@calfee.com</w:t>
            </w:r>
            <w:r w:rsidRPr="00FD2451">
              <w:rPr>
                <w:rFonts w:eastAsia="Arial Unicode MS"/>
                <w:color w:val="0000FF"/>
                <w:sz w:val="22"/>
                <w:szCs w:val="24"/>
                <w:bdr w:val="nil"/>
                <w:lang w:val="en-US" w:eastAsia="en-US" w:bidi="ar-SA"/>
              </w:rPr>
              <w:t xml:space="preserve"> </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slesser@calfee.com</w:t>
            </w:r>
            <w:r w:rsidRPr="00FD2451">
              <w:rPr>
                <w:rFonts w:eastAsia="Arial Unicode MS"/>
                <w:color w:val="0000FF"/>
                <w:sz w:val="22"/>
                <w:szCs w:val="24"/>
                <w:bdr w:val="nil"/>
                <w:lang w:val="en-US" w:eastAsia="en-US" w:bidi="ar-SA"/>
              </w:rPr>
              <w:t xml:space="preserve"> </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jlang@calfee.com</w:t>
            </w:r>
            <w:r w:rsidRPr="00FD2451">
              <w:rPr>
                <w:rFonts w:eastAsia="Arial Unicode MS"/>
                <w:color w:val="0000FF"/>
                <w:sz w:val="22"/>
                <w:szCs w:val="24"/>
                <w:bdr w:val="nil"/>
                <w:lang w:val="en-US" w:eastAsia="en-US" w:bidi="ar-SA"/>
              </w:rPr>
              <w:t xml:space="preserve"> </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amy.spiller@duke-energy.com</w:t>
            </w:r>
            <w:r w:rsidRPr="00FD2451">
              <w:rPr>
                <w:rFonts w:eastAsia="Arial Unicode MS"/>
                <w:color w:val="0000FF"/>
                <w:sz w:val="22"/>
                <w:szCs w:val="24"/>
                <w:bdr w:val="nil"/>
                <w:lang w:val="en-US" w:eastAsia="en-US" w:bidi="ar-SA"/>
              </w:rPr>
              <w:t xml:space="preserve"> </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elizabeth.watts@duke-energy.com</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jeanne.kingery@duke-energy.com</w:t>
            </w:r>
            <w:r w:rsidRPr="00FD2451">
              <w:rPr>
                <w:rFonts w:eastAsia="Arial Unicode MS"/>
                <w:color w:val="0000FF"/>
                <w:sz w:val="22"/>
                <w:szCs w:val="24"/>
                <w:bdr w:val="nil"/>
                <w:lang w:val="en-US" w:eastAsia="en-US" w:bidi="ar-SA"/>
              </w:rPr>
              <w:t xml:space="preserve"> </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gthomas@gtpowergroup.com</w:t>
            </w:r>
            <w:r w:rsidRPr="00FD2451">
              <w:rPr>
                <w:rFonts w:eastAsia="Arial Unicode MS"/>
                <w:color w:val="0000FF"/>
                <w:sz w:val="22"/>
                <w:szCs w:val="24"/>
                <w:bdr w:val="nil"/>
                <w:lang w:val="en-US" w:eastAsia="en-US" w:bidi="ar-SA"/>
              </w:rPr>
              <w:t xml:space="preserve"> </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stheodore@epsa.org</w:t>
            </w:r>
            <w:r w:rsidRPr="00FD2451">
              <w:rPr>
                <w:rFonts w:eastAsia="Arial Unicode MS"/>
                <w:color w:val="0000FF"/>
                <w:sz w:val="22"/>
                <w:szCs w:val="24"/>
                <w:bdr w:val="nil"/>
                <w:lang w:val="en-US" w:eastAsia="en-US" w:bidi="ar-SA"/>
              </w:rPr>
              <w:t xml:space="preserve"> </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laurac@chappelleconsulting.net</w:t>
            </w:r>
            <w:r w:rsidRPr="00FD2451">
              <w:rPr>
                <w:rFonts w:eastAsia="Arial Unicode MS"/>
                <w:color w:val="0000FF"/>
                <w:sz w:val="22"/>
                <w:szCs w:val="24"/>
                <w:bdr w:val="nil"/>
                <w:lang w:val="en-US" w:eastAsia="en-US" w:bidi="ar-SA"/>
              </w:rPr>
              <w:t xml:space="preserve"> </w:t>
            </w:r>
          </w:p>
          <w:p w:rsidR="00AC22DA"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todonnell@dickinsonwright.com</w:t>
            </w:r>
            <w:r w:rsidRPr="00FD2451">
              <w:rPr>
                <w:rFonts w:eastAsia="Arial Unicode MS"/>
                <w:color w:val="0000FF"/>
                <w:sz w:val="22"/>
                <w:szCs w:val="24"/>
                <w:bdr w:val="nil"/>
                <w:lang w:val="en-US" w:eastAsia="en-US" w:bidi="ar-SA"/>
              </w:rPr>
              <w:t xml:space="preserve"> </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p>
          <w:p w:rsidR="00AC22DA" w:rsidRPr="00FD2451" w:rsidP="00EC1E19">
            <w:pPr>
              <w:autoSpaceDE w:val="0"/>
              <w:autoSpaceDN w:val="0"/>
              <w:adjustRightInd w:val="0"/>
              <w:rPr>
                <w:rStyle w:val="DefaultParagraphFont"/>
                <w:rFonts w:eastAsia="Arial Unicode MS"/>
                <w:color w:val="000000"/>
                <w:sz w:val="22"/>
                <w:szCs w:val="24"/>
                <w:bdr w:val="nil"/>
                <w:lang w:val="en-US" w:eastAsia="en-US" w:bidi="ar-SA"/>
              </w:rPr>
            </w:pPr>
            <w:r w:rsidRPr="00FD2451">
              <w:rPr>
                <w:rFonts w:eastAsia="Arial Unicode MS"/>
                <w:color w:val="000000"/>
                <w:sz w:val="22"/>
                <w:szCs w:val="24"/>
                <w:bdr w:val="nil"/>
                <w:lang w:val="en-US" w:eastAsia="en-US" w:bidi="ar-SA"/>
              </w:rPr>
              <w:t>Attorney Examiners:</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gregory.price@puc.state.oh.us</w:t>
            </w:r>
            <w:r w:rsidRPr="00FD2451">
              <w:rPr>
                <w:rFonts w:eastAsia="Arial Unicode MS"/>
                <w:color w:val="0000FF"/>
                <w:sz w:val="22"/>
                <w:szCs w:val="24"/>
                <w:bdr w:val="nil"/>
                <w:lang w:val="en-US" w:eastAsia="en-US" w:bidi="ar-SA"/>
              </w:rPr>
              <w:t xml:space="preserve"> </w:t>
            </w:r>
          </w:p>
          <w:p w:rsidR="00AC22DA" w:rsidRPr="00FD2451" w:rsidP="00EC1E19">
            <w:pPr>
              <w:autoSpaceDE w:val="0"/>
              <w:autoSpaceDN w:val="0"/>
              <w:adjustRightInd w:val="0"/>
              <w:rPr>
                <w:rStyle w:val="DefaultParagraphFont"/>
                <w:rFonts w:eastAsia="Arial Unicode MS"/>
                <w:sz w:val="22"/>
                <w:szCs w:val="20"/>
                <w:bdr w:val="nil"/>
                <w:lang w:val="en-US" w:eastAsia="en-US" w:bidi="ar-SA"/>
              </w:rPr>
            </w:pPr>
            <w:r w:rsidRPr="00FD2451">
              <w:rPr>
                <w:rFonts w:eastAsia="Arial Unicode MS"/>
                <w:sz w:val="22"/>
                <w:szCs w:val="24"/>
                <w:bdr w:val="nil"/>
                <w:lang w:val="en-US" w:eastAsia="en-US" w:bidi="ar-SA"/>
              </w:rPr>
              <w:t xml:space="preserve">nicholas.walstra@puc.state.oh.us </w:t>
            </w:r>
            <w:r w:rsidRPr="00FD2451">
              <w:rPr>
                <w:rFonts w:eastAsia="Arial Unicode MS"/>
                <w:color w:val="0000FF"/>
                <w:sz w:val="22"/>
                <w:szCs w:val="20"/>
                <w:bdr w:val="nil"/>
                <w:lang w:val="en-US" w:eastAsia="en-US" w:bidi="ar-SA"/>
              </w:rPr>
              <w:t xml:space="preserve"> </w:t>
            </w:r>
          </w:p>
        </w:tc>
        <w:tc>
          <w:tcPr>
            <w:tcW w:w="4640" w:type="dxa"/>
          </w:tcPr>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michael.schuler@aes.com</w:t>
            </w:r>
            <w:r w:rsidRPr="00FD2451">
              <w:rPr>
                <w:rFonts w:eastAsia="Arial Unicode MS"/>
                <w:color w:val="0000FF"/>
                <w:sz w:val="22"/>
                <w:szCs w:val="24"/>
                <w:bdr w:val="nil"/>
                <w:lang w:val="en-US" w:eastAsia="en-US" w:bidi="ar-SA"/>
              </w:rPr>
              <w:t xml:space="preserve"> </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cfaruki@ficlaw.com</w:t>
            </w:r>
            <w:r w:rsidRPr="00FD2451">
              <w:rPr>
                <w:rFonts w:eastAsia="Arial Unicode MS"/>
                <w:color w:val="0000FF"/>
                <w:sz w:val="22"/>
                <w:szCs w:val="24"/>
                <w:bdr w:val="nil"/>
                <w:lang w:val="en-US" w:eastAsia="en-US" w:bidi="ar-SA"/>
              </w:rPr>
              <w:t xml:space="preserve"> </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djireland@ficlaw.com</w:t>
            </w:r>
            <w:r w:rsidRPr="00FD2451">
              <w:rPr>
                <w:rFonts w:eastAsia="Arial Unicode MS"/>
                <w:color w:val="0000FF"/>
                <w:sz w:val="22"/>
                <w:szCs w:val="24"/>
                <w:bdr w:val="nil"/>
                <w:lang w:val="en-US" w:eastAsia="en-US" w:bidi="ar-SA"/>
              </w:rPr>
              <w:t xml:space="preserve"> </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jsharkey@ficlaw.com</w:t>
            </w:r>
            <w:r w:rsidRPr="00FD2451">
              <w:rPr>
                <w:rFonts w:eastAsia="Arial Unicode MS"/>
                <w:color w:val="0000FF"/>
                <w:sz w:val="22"/>
                <w:szCs w:val="24"/>
                <w:bdr w:val="nil"/>
                <w:lang w:val="en-US" w:eastAsia="en-US" w:bidi="ar-SA"/>
              </w:rPr>
              <w:t xml:space="preserve"> </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mfleisher@elpc.org</w:t>
            </w:r>
            <w:r w:rsidRPr="00FD2451">
              <w:rPr>
                <w:rFonts w:eastAsia="Arial Unicode MS"/>
                <w:color w:val="0000FF"/>
                <w:sz w:val="22"/>
                <w:szCs w:val="24"/>
                <w:bdr w:val="nil"/>
                <w:lang w:val="en-US" w:eastAsia="en-US" w:bidi="ar-SA"/>
              </w:rPr>
              <w:t xml:space="preserve"> </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kfield@elpc.org</w:t>
            </w:r>
            <w:r w:rsidRPr="00FD2451">
              <w:rPr>
                <w:rFonts w:eastAsia="Arial Unicode MS"/>
                <w:color w:val="0000FF"/>
                <w:sz w:val="22"/>
                <w:szCs w:val="24"/>
                <w:bdr w:val="nil"/>
                <w:lang w:val="en-US" w:eastAsia="en-US" w:bidi="ar-SA"/>
              </w:rPr>
              <w:t xml:space="preserve"> </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jeffrey.mayes@monitoringanalytics.com</w:t>
            </w:r>
            <w:r w:rsidRPr="00FD2451">
              <w:rPr>
                <w:rFonts w:eastAsia="Arial Unicode MS"/>
                <w:color w:val="0000FF"/>
                <w:sz w:val="22"/>
                <w:szCs w:val="24"/>
                <w:bdr w:val="nil"/>
                <w:lang w:val="en-US" w:eastAsia="en-US" w:bidi="ar-SA"/>
              </w:rPr>
              <w:t xml:space="preserve"> </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evelyn.robinson@pjm.com</w:t>
            </w:r>
            <w:r w:rsidRPr="00FD2451">
              <w:rPr>
                <w:rFonts w:eastAsia="Arial Unicode MS"/>
                <w:color w:val="0000FF"/>
                <w:sz w:val="22"/>
                <w:szCs w:val="24"/>
                <w:bdr w:val="nil"/>
                <w:lang w:val="en-US" w:eastAsia="en-US" w:bidi="ar-SA"/>
              </w:rPr>
              <w:t xml:space="preserve"> </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schmidt@sppgrp.com</w:t>
            </w:r>
            <w:r w:rsidRPr="00FD2451">
              <w:rPr>
                <w:rFonts w:eastAsia="Arial Unicode MS"/>
                <w:color w:val="0000FF"/>
                <w:sz w:val="22"/>
                <w:szCs w:val="24"/>
                <w:bdr w:val="nil"/>
                <w:lang w:val="en-US" w:eastAsia="en-US" w:bidi="ar-SA"/>
              </w:rPr>
              <w:t xml:space="preserve"> </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rsahli@columbus.rr.com</w:t>
            </w:r>
            <w:r w:rsidRPr="00FD2451">
              <w:rPr>
                <w:rFonts w:eastAsia="Arial Unicode MS"/>
                <w:color w:val="0000FF"/>
                <w:sz w:val="22"/>
                <w:szCs w:val="24"/>
                <w:bdr w:val="nil"/>
                <w:lang w:val="en-US" w:eastAsia="en-US" w:bidi="ar-SA"/>
              </w:rPr>
              <w:t xml:space="preserve"> </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tony.mendoza@sierraclub.org</w:t>
            </w:r>
            <w:r w:rsidRPr="00FD2451">
              <w:rPr>
                <w:rFonts w:eastAsia="Arial Unicode MS"/>
                <w:color w:val="0000FF"/>
                <w:sz w:val="22"/>
                <w:szCs w:val="24"/>
                <w:bdr w:val="nil"/>
                <w:lang w:val="en-US" w:eastAsia="en-US" w:bidi="ar-SA"/>
              </w:rPr>
              <w:t xml:space="preserve"> </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kristin.henry@sierraclub.org</w:t>
            </w:r>
            <w:r w:rsidRPr="00FD2451">
              <w:rPr>
                <w:rFonts w:eastAsia="Arial Unicode MS"/>
                <w:color w:val="0000FF"/>
                <w:sz w:val="22"/>
                <w:szCs w:val="24"/>
                <w:bdr w:val="nil"/>
                <w:lang w:val="en-US" w:eastAsia="en-US" w:bidi="ar-SA"/>
              </w:rPr>
              <w:t xml:space="preserve"> </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gpoulos@enernoc.com</w:t>
            </w:r>
            <w:r w:rsidRPr="00FD2451">
              <w:rPr>
                <w:rFonts w:eastAsia="Arial Unicode MS"/>
                <w:color w:val="0000FF"/>
                <w:sz w:val="22"/>
                <w:szCs w:val="24"/>
                <w:bdr w:val="nil"/>
                <w:lang w:val="en-US" w:eastAsia="en-US" w:bidi="ar-SA"/>
              </w:rPr>
              <w:t xml:space="preserve"> </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mdortch@kravitzllc.com</w:t>
            </w:r>
            <w:r w:rsidRPr="00FD2451">
              <w:rPr>
                <w:rFonts w:eastAsia="Arial Unicode MS"/>
                <w:color w:val="0000FF"/>
                <w:sz w:val="22"/>
                <w:szCs w:val="24"/>
                <w:bdr w:val="nil"/>
                <w:lang w:val="en-US" w:eastAsia="en-US" w:bidi="ar-SA"/>
              </w:rPr>
              <w:t xml:space="preserve"> </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rparsons@kravitzllc.com</w:t>
            </w:r>
            <w:r w:rsidRPr="00FD2451">
              <w:rPr>
                <w:rFonts w:eastAsia="Arial Unicode MS"/>
                <w:color w:val="0000FF"/>
                <w:sz w:val="22"/>
                <w:szCs w:val="24"/>
                <w:bdr w:val="nil"/>
                <w:lang w:val="en-US" w:eastAsia="en-US" w:bidi="ar-SA"/>
              </w:rPr>
              <w:t xml:space="preserve"> </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Bojko@carpenterlipps.com</w:t>
            </w:r>
            <w:r w:rsidRPr="00FD2451">
              <w:rPr>
                <w:rFonts w:eastAsia="Arial Unicode MS"/>
                <w:color w:val="0000FF"/>
                <w:sz w:val="22"/>
                <w:szCs w:val="24"/>
                <w:bdr w:val="nil"/>
                <w:lang w:val="en-US" w:eastAsia="en-US" w:bidi="ar-SA"/>
              </w:rPr>
              <w:t xml:space="preserve"> </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perko@carpenterlipps.com</w:t>
            </w:r>
            <w:r w:rsidRPr="00FD2451">
              <w:rPr>
                <w:rFonts w:eastAsia="Arial Unicode MS"/>
                <w:color w:val="0000FF"/>
                <w:sz w:val="22"/>
                <w:szCs w:val="24"/>
                <w:bdr w:val="nil"/>
                <w:lang w:val="en-US" w:eastAsia="en-US" w:bidi="ar-SA"/>
              </w:rPr>
              <w:t xml:space="preserve"> </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Ghiloni@carpenterlipps.com</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paul@carpenterlipps.com</w:t>
            </w:r>
            <w:r w:rsidRPr="00FD2451">
              <w:rPr>
                <w:rFonts w:eastAsia="Arial Unicode MS"/>
                <w:color w:val="0000FF"/>
                <w:sz w:val="22"/>
                <w:szCs w:val="24"/>
                <w:bdr w:val="nil"/>
                <w:lang w:val="en-US" w:eastAsia="en-US" w:bidi="ar-SA"/>
              </w:rPr>
              <w:t xml:space="preserve"> </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sechler@carpenterlipps.com</w:t>
            </w:r>
            <w:r w:rsidRPr="00FD2451">
              <w:rPr>
                <w:rFonts w:eastAsia="Arial Unicode MS"/>
                <w:color w:val="0000FF"/>
                <w:sz w:val="22"/>
                <w:szCs w:val="24"/>
                <w:bdr w:val="nil"/>
                <w:lang w:val="en-US" w:eastAsia="en-US" w:bidi="ar-SA"/>
              </w:rPr>
              <w:t xml:space="preserve"> </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rick.sites@ohiohospitals.org</w:t>
            </w:r>
            <w:r w:rsidRPr="00FD2451">
              <w:rPr>
                <w:rFonts w:eastAsia="Arial Unicode MS"/>
                <w:color w:val="0000FF"/>
                <w:sz w:val="22"/>
                <w:szCs w:val="24"/>
                <w:bdr w:val="nil"/>
                <w:lang w:val="en-US" w:eastAsia="en-US" w:bidi="ar-SA"/>
              </w:rPr>
              <w:t xml:space="preserve"> </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mwarnock@bricker.com</w:t>
            </w:r>
            <w:r w:rsidRPr="00FD2451">
              <w:rPr>
                <w:rFonts w:eastAsia="Arial Unicode MS"/>
                <w:color w:val="0000FF"/>
                <w:sz w:val="22"/>
                <w:szCs w:val="24"/>
                <w:bdr w:val="nil"/>
                <w:lang w:val="en-US" w:eastAsia="en-US" w:bidi="ar-SA"/>
              </w:rPr>
              <w:t xml:space="preserve"> </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 xml:space="preserve">dparram@bricker.com </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dborchers@bricker.com</w:t>
            </w:r>
            <w:r w:rsidRPr="00FD2451">
              <w:rPr>
                <w:rFonts w:eastAsia="Arial Unicode MS"/>
                <w:color w:val="0000FF"/>
                <w:sz w:val="22"/>
                <w:szCs w:val="24"/>
                <w:bdr w:val="nil"/>
                <w:lang w:val="en-US" w:eastAsia="en-US" w:bidi="ar-SA"/>
              </w:rPr>
              <w:t xml:space="preserve"> </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lhawrot@spilmanlaw.com</w:t>
            </w:r>
            <w:r w:rsidRPr="00FD2451">
              <w:rPr>
                <w:rFonts w:eastAsia="Arial Unicode MS"/>
                <w:color w:val="0000FF"/>
                <w:sz w:val="22"/>
                <w:szCs w:val="24"/>
                <w:bdr w:val="nil"/>
                <w:lang w:val="en-US" w:eastAsia="en-US" w:bidi="ar-SA"/>
              </w:rPr>
              <w:t xml:space="preserve"> </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dwilliamson@spilmanlaw.com</w:t>
            </w:r>
            <w:r w:rsidRPr="00FD2451">
              <w:rPr>
                <w:rFonts w:eastAsia="Arial Unicode MS"/>
                <w:color w:val="0000FF"/>
                <w:sz w:val="22"/>
                <w:szCs w:val="24"/>
                <w:bdr w:val="nil"/>
                <w:lang w:val="en-US" w:eastAsia="en-US" w:bidi="ar-SA"/>
              </w:rPr>
              <w:t xml:space="preserve"> </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charris@spilmanlaw.com</w:t>
            </w:r>
            <w:r w:rsidRPr="00FD2451">
              <w:rPr>
                <w:rFonts w:eastAsia="Arial Unicode MS"/>
                <w:color w:val="0000FF"/>
                <w:sz w:val="22"/>
                <w:szCs w:val="24"/>
                <w:bdr w:val="nil"/>
                <w:lang w:val="en-US" w:eastAsia="en-US" w:bidi="ar-SA"/>
              </w:rPr>
              <w:t xml:space="preserve"> </w:t>
            </w:r>
          </w:p>
          <w:p w:rsidR="00AC22DA" w:rsidRPr="00FD2451" w:rsidP="00EC1E19">
            <w:pPr>
              <w:autoSpaceDE w:val="0"/>
              <w:autoSpaceDN w:val="0"/>
              <w:adjustRightInd w:val="0"/>
              <w:rPr>
                <w:rStyle w:val="DefaultParagraphFont"/>
                <w:rFonts w:eastAsia="Arial Unicode MS"/>
                <w:sz w:val="22"/>
                <w:szCs w:val="20"/>
                <w:bdr w:val="nil"/>
                <w:lang w:val="en-US" w:eastAsia="en-US" w:bidi="ar-SA"/>
              </w:rPr>
            </w:pPr>
            <w:r w:rsidRPr="00FD2451">
              <w:rPr>
                <w:rFonts w:eastAsia="Arial Unicode MS"/>
                <w:sz w:val="22"/>
                <w:szCs w:val="24"/>
                <w:bdr w:val="nil"/>
                <w:lang w:val="en-US" w:eastAsia="en-US" w:bidi="ar-SA"/>
              </w:rPr>
              <w:t>ejacobs@ablelaw.org</w:t>
            </w:r>
            <w:r w:rsidRPr="00FD2451">
              <w:rPr>
                <w:rFonts w:eastAsia="Arial Unicode MS"/>
                <w:color w:val="0000FF"/>
                <w:sz w:val="22"/>
                <w:szCs w:val="20"/>
                <w:bdr w:val="nil"/>
                <w:lang w:val="en-US" w:eastAsia="en-US" w:bidi="ar-SA"/>
              </w:rPr>
              <w:t xml:space="preserve"> </w:t>
            </w:r>
            <w:r w:rsidRPr="00FD2451">
              <w:rPr>
                <w:rFonts w:eastAsia="Arial Unicode MS"/>
                <w:sz w:val="22"/>
                <w:szCs w:val="20"/>
                <w:bdr w:val="nil"/>
                <w:lang w:val="en-US" w:eastAsia="en-US" w:bidi="ar-SA"/>
              </w:rPr>
              <w:t xml:space="preserve">  </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rseiler@dickinsonwright.com</w:t>
            </w:r>
            <w:r w:rsidRPr="00FD2451">
              <w:rPr>
                <w:rFonts w:eastAsia="Arial Unicode MS"/>
                <w:color w:val="0000FF"/>
                <w:sz w:val="22"/>
                <w:szCs w:val="24"/>
                <w:bdr w:val="nil"/>
                <w:lang w:val="en-US" w:eastAsia="en-US" w:bidi="ar-SA"/>
              </w:rPr>
              <w:t xml:space="preserve"> </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cpirik@dickinsonwright.com</w:t>
            </w:r>
            <w:r w:rsidRPr="00FD2451">
              <w:rPr>
                <w:rFonts w:eastAsia="Arial Unicode MS"/>
                <w:color w:val="0000FF"/>
                <w:sz w:val="22"/>
                <w:szCs w:val="24"/>
                <w:bdr w:val="nil"/>
                <w:lang w:val="en-US" w:eastAsia="en-US" w:bidi="ar-SA"/>
              </w:rPr>
              <w:t xml:space="preserve"> </w:t>
            </w:r>
          </w:p>
          <w:p w:rsidR="00AC22DA" w:rsidP="00EC1E19">
            <w:pPr>
              <w:autoSpaceDE w:val="0"/>
              <w:autoSpaceDN w:val="0"/>
              <w:adjustRightInd w:val="0"/>
              <w:rPr>
                <w:rStyle w:val="Hyperlink"/>
                <w:rFonts w:eastAsia="Arial Unicode MS"/>
                <w:sz w:val="22"/>
                <w:szCs w:val="24"/>
                <w:u w:val="single"/>
                <w:bdr w:val="nil"/>
                <w:lang w:val="en-US" w:eastAsia="en-US" w:bidi="ar-SA"/>
              </w:rPr>
            </w:pPr>
            <w:r w:rsidRPr="00FD2451">
              <w:rPr>
                <w:rFonts w:eastAsia="Arial Unicode MS"/>
                <w:sz w:val="22"/>
                <w:szCs w:val="24"/>
                <w:bdr w:val="nil"/>
                <w:lang w:val="en-US" w:eastAsia="en-US" w:bidi="ar-SA"/>
              </w:rPr>
              <w:t>wvorys@dickinsonwright.com</w:t>
            </w:r>
          </w:p>
          <w:p w:rsidR="00AC22DA" w:rsidRPr="00FD2451" w:rsidP="00EC1E19">
            <w:pPr>
              <w:autoSpaceDE w:val="0"/>
              <w:autoSpaceDN w:val="0"/>
              <w:adjustRightInd w:val="0"/>
              <w:rPr>
                <w:rStyle w:val="DefaultParagraphFont"/>
                <w:rFonts w:eastAsia="Arial Unicode MS"/>
                <w:color w:val="0000FF"/>
                <w:sz w:val="22"/>
                <w:szCs w:val="24"/>
                <w:bdr w:val="nil"/>
                <w:lang w:val="en-US" w:eastAsia="en-US" w:bidi="ar-SA"/>
              </w:rPr>
            </w:pPr>
            <w:r w:rsidRPr="00FD2451">
              <w:rPr>
                <w:rFonts w:eastAsia="Arial Unicode MS"/>
                <w:sz w:val="22"/>
                <w:szCs w:val="24"/>
                <w:bdr w:val="nil"/>
                <w:lang w:val="en-US" w:eastAsia="en-US" w:bidi="ar-SA"/>
              </w:rPr>
              <w:t>jdoll@djflawfirm.com</w:t>
            </w:r>
            <w:r w:rsidRPr="00FD2451">
              <w:rPr>
                <w:rFonts w:eastAsia="Arial Unicode MS"/>
                <w:color w:val="0000FF"/>
                <w:sz w:val="22"/>
                <w:szCs w:val="24"/>
                <w:bdr w:val="nil"/>
                <w:lang w:val="en-US" w:eastAsia="en-US" w:bidi="ar-SA"/>
              </w:rPr>
              <w:t xml:space="preserve"> </w:t>
            </w:r>
          </w:p>
          <w:p w:rsidR="00AC22DA" w:rsidRPr="00FD2451" w:rsidP="00EC1E19">
            <w:pPr>
              <w:autoSpaceDE w:val="0"/>
              <w:autoSpaceDN w:val="0"/>
              <w:adjustRightInd w:val="0"/>
              <w:rPr>
                <w:rStyle w:val="DefaultParagraphFont"/>
                <w:rFonts w:eastAsia="Arial Unicode MS"/>
                <w:sz w:val="22"/>
                <w:szCs w:val="20"/>
                <w:bdr w:val="nil"/>
                <w:lang w:val="en-US" w:eastAsia="en-US" w:bidi="ar-SA"/>
              </w:rPr>
            </w:pPr>
            <w:r w:rsidRPr="00FD2451">
              <w:rPr>
                <w:rFonts w:eastAsia="Arial Unicode MS"/>
                <w:sz w:val="22"/>
                <w:szCs w:val="24"/>
                <w:bdr w:val="nil"/>
                <w:lang w:val="en-US" w:eastAsia="en-US" w:bidi="ar-SA"/>
              </w:rPr>
              <w:t>mcrawford@djflawfirm.com</w:t>
            </w:r>
          </w:p>
        </w:tc>
      </w:tr>
    </w:tbl>
    <w:p w:rsidR="00AC22DA" w:rsidP="00927797">
      <w:pPr>
        <w:pStyle w:val="CommentText"/>
        <w:jc w:val="center"/>
        <w:rPr>
          <w:b/>
          <w:bCs/>
          <w:sz w:val="24"/>
          <w:szCs w:val="24"/>
          <w:u w:val="single"/>
        </w:rPr>
      </w:pPr>
    </w:p>
    <w:p w:rsidR="00AC22DA" w:rsidP="00927797">
      <w:pPr>
        <w:pStyle w:val="CommentText"/>
        <w:jc w:val="center"/>
        <w:rPr>
          <w:b/>
          <w:bCs/>
          <w:sz w:val="24"/>
          <w:szCs w:val="24"/>
          <w:u w:val="single"/>
        </w:rPr>
      </w:pPr>
    </w:p>
    <w:p w:rsidR="00927797" w:rsidP="00927797">
      <w:pPr>
        <w:pStyle w:val="CommentText"/>
        <w:jc w:val="center"/>
        <w:rPr>
          <w:b/>
          <w:bCs/>
          <w:color w:val="000000" w:themeColor="text1"/>
          <w:sz w:val="16"/>
          <w:szCs w:val="16"/>
        </w:rPr>
      </w:pPr>
    </w:p>
    <w:p w:rsidR="005E4163" w:rsidRPr="009D4B8D" w:rsidP="005E4163">
      <w:pPr>
        <w:jc w:val="right"/>
        <w:rPr>
          <w:b/>
        </w:rPr>
      </w:pPr>
      <w:r w:rsidRPr="009D4B8D">
        <w:rPr>
          <w:b/>
        </w:rPr>
        <w:t>MPH – ATTACHMENT-1</w:t>
      </w:r>
    </w:p>
    <w:p w:rsidR="005E4163" w:rsidRPr="009D4B8D" w:rsidP="005E4163">
      <w:pPr>
        <w:rPr>
          <w:b/>
        </w:rPr>
      </w:pPr>
    </w:p>
    <w:p w:rsidR="005E4163" w:rsidRPr="009D4B8D" w:rsidP="005E4163">
      <w:pPr>
        <w:rPr>
          <w:b/>
        </w:rPr>
      </w:pPr>
      <w:r w:rsidRPr="009D4B8D">
        <w:rPr>
          <w:b/>
        </w:rPr>
        <w:t xml:space="preserve">Public Utilities Commission of Ohio </w:t>
      </w:r>
    </w:p>
    <w:p w:rsidR="005E4163" w:rsidRPr="009D4B8D" w:rsidP="005E4163">
      <w:pPr>
        <w:rPr>
          <w:b/>
        </w:rPr>
      </w:pPr>
    </w:p>
    <w:p w:rsidR="005E4163" w:rsidRPr="009D4B8D" w:rsidP="005E4163">
      <w:pPr>
        <w:spacing w:line="480" w:lineRule="auto"/>
        <w:ind w:left="720" w:hanging="720"/>
      </w:pPr>
      <w:r w:rsidRPr="009D4B8D">
        <w:rPr>
          <w:i/>
        </w:rPr>
        <w:t>Monongahela Power Company</w:t>
      </w:r>
      <w:r w:rsidRPr="009D4B8D">
        <w:t>, Case No. 04-1047-EL-ATA</w:t>
      </w:r>
    </w:p>
    <w:p w:rsidR="005E4163" w:rsidRPr="009D4B8D" w:rsidP="005E4163">
      <w:pPr>
        <w:spacing w:line="480" w:lineRule="auto"/>
      </w:pPr>
      <w:r w:rsidRPr="009D4B8D">
        <w:rPr>
          <w:i/>
        </w:rPr>
        <w:t>American Electric Power Company</w:t>
      </w:r>
      <w:r w:rsidRPr="009D4B8D">
        <w:t>, Case No. 05-376-EL-UNC</w:t>
      </w:r>
    </w:p>
    <w:p w:rsidR="005E4163" w:rsidRPr="009D4B8D" w:rsidP="005E4163">
      <w:pPr>
        <w:spacing w:line="480" w:lineRule="auto"/>
      </w:pPr>
      <w:r w:rsidRPr="009D4B8D">
        <w:rPr>
          <w:i/>
        </w:rPr>
        <w:t>Dayton Power and Light Company</w:t>
      </w:r>
      <w:r w:rsidRPr="009D4B8D">
        <w:t>, Case No. 05-276-EL-AIR</w:t>
      </w:r>
    </w:p>
    <w:p w:rsidR="005E4163" w:rsidRPr="009D4B8D" w:rsidP="005E4163">
      <w:pPr>
        <w:spacing w:line="480" w:lineRule="auto"/>
        <w:ind w:left="720" w:hanging="720"/>
      </w:pPr>
      <w:r w:rsidRPr="009D4B8D">
        <w:rPr>
          <w:i/>
        </w:rPr>
        <w:t>Dominion East Ohio Company</w:t>
      </w:r>
      <w:r w:rsidRPr="009D4B8D">
        <w:t>, Case No. 05-474-EL-ATA</w:t>
      </w:r>
    </w:p>
    <w:p w:rsidR="005E4163" w:rsidRPr="009D4B8D" w:rsidP="005E4163">
      <w:pPr>
        <w:spacing w:line="480" w:lineRule="auto"/>
        <w:ind w:left="720" w:hanging="720"/>
      </w:pPr>
      <w:r w:rsidRPr="009D4B8D">
        <w:rPr>
          <w:i/>
        </w:rPr>
        <w:t>Dominion East Ohio Company</w:t>
      </w:r>
      <w:r w:rsidRPr="009D4B8D">
        <w:t>, Case No. 05-219-GA-GCR</w:t>
      </w:r>
    </w:p>
    <w:p w:rsidR="005E4163" w:rsidRPr="009D4B8D" w:rsidP="005E4163">
      <w:pPr>
        <w:spacing w:line="480" w:lineRule="auto"/>
        <w:ind w:left="720" w:hanging="720"/>
      </w:pPr>
      <w:r w:rsidRPr="009D4B8D">
        <w:rPr>
          <w:i/>
        </w:rPr>
        <w:t>Columbia Gas of Ohio</w:t>
      </w:r>
      <w:r w:rsidRPr="009D4B8D">
        <w:t>, Case No. 05-221-GA-GCR</w:t>
      </w:r>
    </w:p>
    <w:p w:rsidR="005E4163" w:rsidRPr="009D4B8D" w:rsidP="005E4163">
      <w:pPr>
        <w:spacing w:line="480" w:lineRule="auto"/>
        <w:ind w:left="720" w:hanging="720"/>
      </w:pPr>
      <w:r w:rsidRPr="009D4B8D">
        <w:rPr>
          <w:i/>
        </w:rPr>
        <w:t>Duke Energy Ohio</w:t>
      </w:r>
      <w:r w:rsidRPr="009D4B8D">
        <w:t>, Case No. 03-93-EL-ATA</w:t>
      </w:r>
    </w:p>
    <w:p w:rsidR="005E4163" w:rsidRPr="009D4B8D" w:rsidP="005E4163">
      <w:pPr>
        <w:spacing w:line="480" w:lineRule="auto"/>
        <w:ind w:left="720" w:hanging="720"/>
      </w:pPr>
      <w:r w:rsidRPr="009D4B8D">
        <w:rPr>
          <w:i/>
        </w:rPr>
        <w:t>American Electric Power</w:t>
      </w:r>
      <w:r w:rsidRPr="009D4B8D">
        <w:t>, Case No. 07-63-EL-UNC</w:t>
      </w:r>
    </w:p>
    <w:p w:rsidR="005E4163" w:rsidRPr="009D4B8D" w:rsidP="005E4163">
      <w:pPr>
        <w:spacing w:line="480" w:lineRule="auto"/>
        <w:ind w:left="720" w:hanging="720"/>
      </w:pPr>
      <w:r w:rsidRPr="009D4B8D">
        <w:rPr>
          <w:i/>
        </w:rPr>
        <w:t xml:space="preserve">Eramet Marietta, Inc., </w:t>
      </w:r>
      <w:r w:rsidRPr="009D4B8D">
        <w:t>Case No. 09-516-EL-AEC</w:t>
      </w:r>
    </w:p>
    <w:p w:rsidR="00764BB4" w:rsidRPr="009D4B8D" w:rsidP="005E4163">
      <w:pPr>
        <w:spacing w:line="480" w:lineRule="auto"/>
        <w:ind w:left="720" w:hanging="720"/>
      </w:pPr>
      <w:r w:rsidRPr="009D4B8D">
        <w:rPr>
          <w:i/>
        </w:rPr>
        <w:t xml:space="preserve">TimkenSteel Corporation, </w:t>
      </w:r>
      <w:r w:rsidRPr="009D4B8D">
        <w:t>Case No. 15-1857-EL-AEC</w:t>
      </w:r>
    </w:p>
    <w:p w:rsidR="005E5040" w:rsidRPr="009D4B8D" w:rsidP="005E4163">
      <w:pPr>
        <w:spacing w:line="480" w:lineRule="auto"/>
        <w:ind w:left="720" w:hanging="720"/>
      </w:pPr>
      <w:r w:rsidRPr="009D4B8D">
        <w:rPr>
          <w:i/>
        </w:rPr>
        <w:t xml:space="preserve">American Electric Power Company, </w:t>
      </w:r>
      <w:r w:rsidRPr="009D4B8D">
        <w:t>Case No. 14-1693-EL-RDR</w:t>
      </w:r>
    </w:p>
    <w:p w:rsidR="00F41478" w:rsidRPr="009D4B8D" w:rsidP="005E4163">
      <w:pPr>
        <w:spacing w:line="480" w:lineRule="auto"/>
        <w:ind w:left="720" w:hanging="720"/>
        <w:rPr>
          <w:i/>
        </w:rPr>
      </w:pPr>
      <w:r w:rsidRPr="009D4B8D">
        <w:rPr>
          <w:i/>
        </w:rPr>
        <w:t xml:space="preserve">Columbia Gas of Ohio, </w:t>
      </w:r>
      <w:r w:rsidRPr="009D4B8D">
        <w:t>Case No. 16-1309-GA-UNC</w:t>
      </w:r>
      <w:r w:rsidRPr="009D4B8D">
        <w:rPr>
          <w:i/>
        </w:rPr>
        <w:t xml:space="preserve"> </w:t>
      </w:r>
    </w:p>
    <w:p w:rsidR="00C75201" w:rsidRPr="009D4B8D" w:rsidP="005E4163">
      <w:pPr>
        <w:spacing w:line="480" w:lineRule="auto"/>
        <w:ind w:left="720" w:hanging="720"/>
      </w:pPr>
      <w:r w:rsidRPr="009D4B8D">
        <w:rPr>
          <w:i/>
        </w:rPr>
        <w:t xml:space="preserve">American Electric Power, </w:t>
      </w:r>
      <w:r w:rsidRPr="009D4B8D">
        <w:t xml:space="preserve">Case No. 10-2929-EL-UNC  </w:t>
      </w:r>
    </w:p>
    <w:p w:rsidR="005E4163" w:rsidRPr="009D4B8D" w:rsidP="005E4163">
      <w:pPr>
        <w:spacing w:line="480" w:lineRule="auto"/>
        <w:ind w:left="720" w:hanging="720"/>
      </w:pPr>
    </w:p>
    <w:p w:rsidR="005E4163" w:rsidRPr="009D4B8D" w:rsidP="005E4163">
      <w:pPr>
        <w:spacing w:line="480" w:lineRule="auto"/>
        <w:ind w:left="720" w:hanging="720"/>
        <w:rPr>
          <w:b/>
        </w:rPr>
      </w:pPr>
      <w:r w:rsidRPr="009D4B8D">
        <w:rPr>
          <w:b/>
        </w:rPr>
        <w:t xml:space="preserve">Michigan Public Service Commission </w:t>
      </w:r>
    </w:p>
    <w:p w:rsidR="005E4163" w:rsidRPr="009D4B8D" w:rsidP="005E4163">
      <w:pPr>
        <w:spacing w:line="480" w:lineRule="auto"/>
        <w:ind w:left="720" w:hanging="720"/>
      </w:pPr>
      <w:r w:rsidRPr="009D4B8D">
        <w:rPr>
          <w:i/>
        </w:rPr>
        <w:t>Michigan Consolidated Gas Company</w:t>
      </w:r>
      <w:r w:rsidRPr="009D4B8D">
        <w:t>, Case No. U-17131</w:t>
      </w:r>
    </w:p>
    <w:p w:rsidR="00711988" w:rsidRPr="009D4B8D" w:rsidP="005E4163">
      <w:pPr>
        <w:spacing w:line="480" w:lineRule="auto"/>
        <w:ind w:left="720" w:hanging="720"/>
      </w:pPr>
    </w:p>
    <w:p w:rsidR="00711988" w:rsidRPr="009D4B8D" w:rsidP="005E4163">
      <w:pPr>
        <w:spacing w:line="480" w:lineRule="auto"/>
        <w:ind w:left="720" w:hanging="720"/>
      </w:pPr>
    </w:p>
    <w:p w:rsidR="00711988" w:rsidRPr="009D4B8D" w:rsidP="005E4163">
      <w:pPr>
        <w:spacing w:line="480" w:lineRule="auto"/>
        <w:ind w:left="720" w:hanging="720"/>
      </w:pPr>
    </w:p>
    <w:sectPr w:rsidSect="00C84A0F">
      <w:headerReference w:type="default" r:id="rId13"/>
      <w:footerReference w:type="default" r:id="rId14"/>
      <w:pgSz w:w="12240" w:h="15840"/>
      <w:pgMar w:top="1440" w:right="1800" w:bottom="1440" w:left="1800" w:header="36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variable"/>
    <w:sig w:usb0="00003A87" w:usb1="00000000" w:usb2="00000000" w:usb3="00000000" w:csb0="000000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65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554E" w:rsidRPr="00F811D9" w:rsidP="00110D52">
    <w:pPr>
      <w:pStyle w:val="Footer"/>
      <w:jc w:val="center"/>
    </w:pPr>
    <w:r w:rsidRPr="00F811D9">
      <w: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554E" w:rsidRPr="00F811D9">
    <w:pPr>
      <w:pStyle w:val="Footer"/>
      <w:jc w:val="center"/>
    </w:pPr>
  </w:p>
  <w:p w:rsidR="004B554E" w:rsidRPr="00F811D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29840200"/>
      <w:docPartObj>
        <w:docPartGallery w:val="Page Numbers (Bottom of Page)"/>
        <w:docPartUnique/>
      </w:docPartObj>
    </w:sdtPr>
    <w:sdtEndPr>
      <w:rPr>
        <w:noProof/>
      </w:rPr>
    </w:sdtEndPr>
    <w:sdtContent>
      <w:p w:rsidR="004949AD">
        <w:pPr>
          <w:pStyle w:val="Footer"/>
          <w:jc w:val="center"/>
        </w:pPr>
        <w:r>
          <w:fldChar w:fldCharType="begin"/>
        </w:r>
        <w:r>
          <w:instrText xml:space="preserve"> PAGE   \* MERGEFORMAT </w:instrText>
        </w:r>
        <w:r>
          <w:fldChar w:fldCharType="separate"/>
        </w:r>
        <w:r w:rsidR="00AD14E0">
          <w:rPr>
            <w:noProof/>
          </w:rPr>
          <w:t>14</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49A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E1DBC">
      <w:r>
        <w:separator/>
      </w:r>
    </w:p>
  </w:footnote>
  <w:footnote w:type="continuationSeparator" w:id="1">
    <w:p w:rsidR="00EE1DBC">
      <w:r>
        <w:continuationSeparator/>
      </w:r>
    </w:p>
  </w:footnote>
  <w:footnote w:type="continuationNotice" w:id="2">
    <w:p w:rsidR="00EE1DBC"/>
  </w:footnote>
  <w:footnote w:id="3">
    <w:p w:rsidR="004B554E" w:rsidP="002B203E">
      <w:pPr>
        <w:pStyle w:val="FootnoteText"/>
        <w:spacing w:after="120"/>
      </w:pPr>
      <w:r>
        <w:rPr>
          <w:rStyle w:val="FootnoteReference"/>
        </w:rPr>
        <w:footnoteRef/>
      </w:r>
      <w:r>
        <w:t xml:space="preserve"> </w:t>
      </w:r>
      <w:r>
        <w:rPr>
          <w:i/>
          <w:iCs/>
        </w:rPr>
        <w:t xml:space="preserve">Consumers' Counsel v. Pub. Util. Comm., </w:t>
      </w:r>
      <w:r>
        <w:t xml:space="preserve">64 Ohio St 3d 123, 125(1992), citing </w:t>
      </w:r>
      <w:r>
        <w:rPr>
          <w:i/>
          <w:iCs/>
        </w:rPr>
        <w:t>Akron v</w:t>
      </w:r>
      <w:r>
        <w:t xml:space="preserve">. </w:t>
      </w:r>
      <w:r>
        <w:rPr>
          <w:i/>
          <w:iCs/>
        </w:rPr>
        <w:t xml:space="preserve">Pub. Util. Comm., </w:t>
      </w:r>
      <w:r>
        <w:t>55 Ohio St. 2d 155, 157 (1978).</w:t>
      </w:r>
    </w:p>
  </w:footnote>
  <w:footnote w:id="4">
    <w:p w:rsidR="004B554E" w:rsidRPr="00D64CE6" w:rsidP="002B203E">
      <w:pPr>
        <w:pStyle w:val="FootnoteText"/>
        <w:spacing w:after="120"/>
        <w:rPr>
          <w:i/>
        </w:rPr>
      </w:pPr>
      <w:r>
        <w:rPr>
          <w:rStyle w:val="FootnoteReference"/>
        </w:rPr>
        <w:footnoteRef/>
      </w:r>
      <w:r>
        <w:t xml:space="preserve"> </w:t>
      </w:r>
      <w:r w:rsidRPr="005352BE">
        <w:t>See, e.g.</w:t>
      </w:r>
      <w:r>
        <w:rPr>
          <w:i/>
        </w:rPr>
        <w:t xml:space="preserve">, </w:t>
      </w:r>
      <w:r w:rsidRPr="005352BE">
        <w:rPr>
          <w:i/>
        </w:rPr>
        <w:t>In the Matter of the Application of Columbus Southern Power Company and Ohio Power Company, Individually and, if Their Proposed Merger Is Approved, as a Merged Company (collectively, AEP Ohio) for an Increase in Electric Distribution Rates</w:t>
      </w:r>
      <w:r>
        <w:t xml:space="preserve">, Case No. 11-351-EL-AIR, et al., Opinion and Order (December 14, 2011) at 9; </w:t>
      </w:r>
      <w:r w:rsidRPr="005352BE">
        <w:rPr>
          <w:i/>
        </w:rPr>
        <w:t>In re Application of the Dayton Power &amp; Light Co. for Approval to Modify its Competitive Bid True-up Rider</w:t>
      </w:r>
      <w:r>
        <w:t xml:space="preserve">, Case No. 14-563-EL-RDR (Sep. 9, 2015); </w:t>
      </w:r>
      <w:r w:rsidRPr="005352BE">
        <w:rPr>
          <w:i/>
        </w:rPr>
        <w:t>In re Application of the Columbus S. Power Co. &amp; Ohio Power Co. for Authority to Recover Costs Associated with the Ultimate Construction and Operation of an Integrated Gasification Combined Cycle Electric Generation Facility</w:t>
      </w:r>
      <w:r>
        <w:t>, Case No. 05-376- EL-UNC (Feb. 11, 2015).</w:t>
      </w:r>
    </w:p>
  </w:footnote>
  <w:footnote w:id="5">
    <w:p w:rsidR="004B554E" w:rsidP="002B203E">
      <w:pPr>
        <w:pStyle w:val="FootnoteText"/>
        <w:spacing w:after="120"/>
      </w:pPr>
      <w:r>
        <w:rPr>
          <w:rStyle w:val="FootnoteReference"/>
        </w:rPr>
        <w:footnoteRef/>
      </w:r>
      <w:r w:rsidR="006345C9">
        <w:t xml:space="preserve"> Settlement at page </w:t>
      </w:r>
      <w:r>
        <w:t>14.</w:t>
      </w:r>
    </w:p>
  </w:footnote>
  <w:footnote w:id="6">
    <w:p w:rsidR="004B554E" w:rsidP="002B203E">
      <w:pPr>
        <w:pStyle w:val="FootnoteText"/>
        <w:spacing w:after="120"/>
      </w:pPr>
      <w:r>
        <w:rPr>
          <w:rStyle w:val="FootnoteReference"/>
        </w:rPr>
        <w:footnoteRef/>
      </w:r>
      <w:r>
        <w:t xml:space="preserve"> Settlement at page</w:t>
      </w:r>
      <w:r w:rsidR="006345C9">
        <w:t xml:space="preserve"> </w:t>
      </w:r>
      <w:r>
        <w:t>11.</w:t>
      </w:r>
    </w:p>
  </w:footnote>
  <w:footnote w:id="7">
    <w:p w:rsidR="00BF2569" w:rsidP="002B203E">
      <w:pPr>
        <w:pStyle w:val="FootnoteText"/>
        <w:spacing w:after="120"/>
      </w:pPr>
      <w:r>
        <w:rPr>
          <w:rStyle w:val="FootnoteReference"/>
        </w:rPr>
        <w:footnoteRef/>
      </w:r>
      <w:r>
        <w:t xml:space="preserve"> </w:t>
      </w:r>
      <w:r w:rsidRPr="00A16BDF">
        <w:rPr>
          <w:i/>
        </w:rPr>
        <w:t>The Dayton Power and Light Company’s Notice of Filing its Letter Agreement with Mid-Atlantic Renewable Energy Coalition</w:t>
      </w:r>
      <w:r>
        <w:rPr>
          <w:i/>
        </w:rPr>
        <w:t xml:space="preserve"> </w:t>
      </w:r>
      <w:r w:rsidR="006345C9">
        <w:t>at page 2.</w:t>
      </w:r>
    </w:p>
  </w:footnote>
  <w:footnote w:id="8">
    <w:p w:rsidR="004B554E" w:rsidP="002B203E">
      <w:pPr>
        <w:pStyle w:val="FootnoteText"/>
        <w:spacing w:after="120"/>
      </w:pPr>
      <w:r>
        <w:rPr>
          <w:rStyle w:val="FootnoteReference"/>
        </w:rPr>
        <w:footnoteRef/>
      </w:r>
      <w:r>
        <w:t xml:space="preserve"> For similar reasons, the rebates may also be inconsistent with ORC 4905.33.  That statute prohibits making undue or unreasonable preferences or advantages.</w:t>
      </w:r>
    </w:p>
  </w:footnote>
  <w:footnote w:id="9">
    <w:p w:rsidR="004B554E" w:rsidP="002B203E">
      <w:pPr>
        <w:pStyle w:val="FootnoteText"/>
        <w:spacing w:after="120"/>
      </w:pPr>
      <w:r>
        <w:rPr>
          <w:rStyle w:val="FootnoteReference"/>
        </w:rPr>
        <w:footnoteRef/>
      </w:r>
      <w:r>
        <w:t xml:space="preserve"> </w:t>
      </w:r>
      <w:r w:rsidRPr="00B40FF8">
        <w:rPr>
          <w:i/>
        </w:rPr>
        <w:t>In the Matter of the Application of Columbus Southern Power Company and Ohio Power Company for Authority to Recover Costs Associated with the Ultimate Construction and Operation of an Integrated Gasification Combined Cycle Electric Generation Facility</w:t>
      </w:r>
      <w:r>
        <w:t xml:space="preserve"> PUCO Case No. 05-376-EL-UNC, Order On Remand at pages 11-12.</w:t>
      </w:r>
    </w:p>
  </w:footnote>
  <w:footnote w:id="10">
    <w:p w:rsidR="004B554E" w:rsidP="002B203E">
      <w:pPr>
        <w:pStyle w:val="FootnoteText"/>
        <w:spacing w:after="120"/>
      </w:pPr>
      <w:r>
        <w:rPr>
          <w:rStyle w:val="FootnoteReference"/>
        </w:rPr>
        <w:footnoteRef/>
      </w:r>
      <w:r>
        <w:t xml:space="preserve"> </w:t>
      </w:r>
      <w:r w:rsidRPr="00A236BD">
        <w:t>http://codes.ohio.gov/oac/4901%3A1-21</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65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65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65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3FCB" w:rsidP="00E43FCB">
    <w:pPr>
      <w:pStyle w:val="Header"/>
      <w:jc w:val="center"/>
      <w:rPr>
        <w:i/>
        <w:sz w:val="20"/>
      </w:rPr>
    </w:pPr>
    <w:r>
      <w:rPr>
        <w:i/>
        <w:sz w:val="20"/>
      </w:rPr>
      <w:t>Direct Testimony of Michael P. Haugh</w:t>
    </w:r>
  </w:p>
  <w:p w:rsidR="00E43FCB" w:rsidP="00E43FCB">
    <w:pPr>
      <w:pStyle w:val="Header"/>
      <w:jc w:val="center"/>
      <w:rPr>
        <w:i/>
        <w:sz w:val="20"/>
      </w:rPr>
    </w:pPr>
    <w:r>
      <w:rPr>
        <w:i/>
        <w:sz w:val="20"/>
      </w:rPr>
      <w:t xml:space="preserve">On Behalf of the Office of the </w:t>
    </w:r>
    <w:smartTag w:uri="urn:schemas-microsoft-com:office:smarttags" w:element="place">
      <w:smartTag w:uri="urn:schemas-microsoft-com:office:smarttags" w:element="State">
        <w:r>
          <w:rPr>
            <w:i/>
            <w:sz w:val="20"/>
          </w:rPr>
          <w:t>Ohio</w:t>
        </w:r>
      </w:smartTag>
    </w:smartTag>
    <w:r>
      <w:rPr>
        <w:i/>
        <w:sz w:val="20"/>
      </w:rPr>
      <w:t xml:space="preserve"> Consumers</w:t>
    </w:r>
    <w:r>
      <w:rPr>
        <w:i/>
        <w:sz w:val="20"/>
      </w:rPr>
      <w:t>’</w:t>
    </w:r>
    <w:r>
      <w:rPr>
        <w:i/>
        <w:sz w:val="20"/>
      </w:rPr>
      <w:t xml:space="preserve"> Counsel</w:t>
    </w:r>
  </w:p>
  <w:p w:rsidR="00E43FCB" w:rsidP="00E43FCB">
    <w:pPr>
      <w:pStyle w:val="Header"/>
      <w:jc w:val="center"/>
      <w:rPr>
        <w:i/>
        <w:sz w:val="20"/>
      </w:rPr>
    </w:pPr>
    <w:r>
      <w:rPr>
        <w:i/>
        <w:sz w:val="20"/>
      </w:rPr>
      <w:t>PUCO Case Nos. 16-0395-EL-SSO, et al.</w:t>
    </w:r>
  </w:p>
  <w:p w:rsidR="004B554E" w:rsidRPr="009A4CDE" w:rsidP="009A4CD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22DA" w:rsidRPr="009A4CDE" w:rsidP="009A4C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0"/>
    <w:multiLevelType w:val="singleLevel"/>
    <w:tmpl w:val="877AFD82"/>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4F90BF8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B03C85AA"/>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E988A418"/>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1B863EAE"/>
    <w:lvl w:ilvl="0">
      <w:start w:val="1"/>
      <w:numFmt w:val="bullet"/>
      <w:lvlText w:val=""/>
      <w:lvlJc w:val="left"/>
      <w:pPr>
        <w:tabs>
          <w:tab w:val="num" w:pos="360"/>
        </w:tabs>
        <w:ind w:left="360" w:hanging="360"/>
      </w:pPr>
      <w:rPr>
        <w:rFonts w:ascii="Symbol" w:hAnsi="Symbol" w:hint="default"/>
      </w:rPr>
    </w:lvl>
  </w:abstractNum>
  <w:abstractNum w:abstractNumId="5">
    <w:nsid w:val="0AF22848"/>
    <w:multiLevelType w:val="hybridMultilevel"/>
    <w:tmpl w:val="FA842F52"/>
    <w:lvl w:ilvl="0">
      <w:start w:val="3"/>
      <w:numFmt w:val="upperRoman"/>
      <w:lvlText w:val="%1."/>
      <w:lvlJc w:val="left"/>
      <w:pPr>
        <w:ind w:left="1800" w:hanging="720"/>
      </w:pPr>
      <w:rPr>
        <w:rFonts w:cstheme="majorBidi"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12A91B9D"/>
    <w:multiLevelType w:val="hybridMultilevel"/>
    <w:tmpl w:val="0292DA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36D4C2C"/>
    <w:multiLevelType w:val="hybridMultilevel"/>
    <w:tmpl w:val="F60E1C9A"/>
    <w:lvl w:ilvl="0">
      <w:start w:val="1"/>
      <w:numFmt w:val="bullet"/>
      <w:lvlText w:val=""/>
      <w:lvlJc w:val="left"/>
      <w:pPr>
        <w:ind w:left="2880" w:hanging="360"/>
      </w:pPr>
      <w:rPr>
        <w:rFonts w:ascii="Symbol" w:hAnsi="Symbol"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8">
    <w:nsid w:val="2A500268"/>
    <w:multiLevelType w:val="multilevel"/>
    <w:tmpl w:val="EEBE744A"/>
    <w:lvl w:ilvl="0">
      <w:start w:val="1"/>
      <w:numFmt w:val="decimal"/>
      <w:lvlText w:val="%1."/>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1.%2.%3.%4.%5.%6."/>
      <w:lvlJc w:val="left"/>
      <w:rPr>
        <w:color w:val="000000"/>
        <w:position w:val="0"/>
      </w:rPr>
    </w:lvl>
    <w:lvl w:ilvl="6">
      <w:start w:val="1"/>
      <w:numFmt w:val="decimal"/>
      <w:lvlText w:val="%1.%2.%3.%4.%5.%6.%7."/>
      <w:lvlJc w:val="left"/>
      <w:rPr>
        <w:color w:val="000000"/>
        <w:position w:val="0"/>
      </w:rPr>
    </w:lvl>
    <w:lvl w:ilvl="7">
      <w:start w:val="1"/>
      <w:numFmt w:val="decimal"/>
      <w:lvlText w:val="%1.%2.%3.%4.%5.%6.%7.%8."/>
      <w:lvlJc w:val="left"/>
      <w:rPr>
        <w:color w:val="000000"/>
        <w:position w:val="0"/>
      </w:rPr>
    </w:lvl>
    <w:lvl w:ilvl="8">
      <w:start w:val="1"/>
      <w:numFmt w:val="decimal"/>
      <w:lvlText w:val="%1.%2.%3.%4.%5.%6.%7.%8.%9."/>
      <w:lvlJc w:val="left"/>
      <w:rPr>
        <w:color w:val="000000"/>
        <w:position w:val="0"/>
      </w:rPr>
    </w:lvl>
  </w:abstractNum>
  <w:abstractNum w:abstractNumId="9">
    <w:nsid w:val="31635E21"/>
    <w:multiLevelType w:val="hybridMultilevel"/>
    <w:tmpl w:val="E6E472E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ABF77F3"/>
    <w:multiLevelType w:val="multilevel"/>
    <w:tmpl w:val="D1089E5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nsid w:val="4603267A"/>
    <w:multiLevelType w:val="multilevel"/>
    <w:tmpl w:val="95AC852E"/>
    <w:styleLink w:val="List1"/>
    <w:lvl w:ilvl="0">
      <w:start w:val="1"/>
      <w:numFmt w:val="decimal"/>
      <w:lvlText w:val="%1."/>
      <w:lvlJc w:val="left"/>
      <w:rPr>
        <w:position w:val="0"/>
        <w:rtl w:val="0"/>
      </w:rPr>
    </w:lvl>
    <w:lvl w:ilvl="1">
      <w:start w:val="3"/>
      <w:numFmt w:val="upperRoman"/>
      <w:lvlText w:val="%2."/>
      <w:lvlJc w:val="left"/>
      <w:pPr>
        <w:ind w:left="720" w:hanging="720"/>
      </w:pPr>
      <w:rPr>
        <w:rFonts w:cstheme="majorBidi" w:hint="default"/>
      </w:rPr>
    </w:lvl>
    <w:lvl w:ilvl="2">
      <w:start w:val="1"/>
      <w:numFmt w:val="bullet"/>
      <w:lvlText w:val="-"/>
      <w:lvlJc w:val="left"/>
      <w:pPr>
        <w:ind w:left="360" w:hanging="360"/>
      </w:pPr>
      <w:rPr>
        <w:rFonts w:ascii="Times New Roman" w:eastAsia="Arial Unicode MS" w:hAnsi="Times New Roman" w:cs="Times New Roman" w:hint="default"/>
        <w:b/>
        <w:i/>
      </w:rPr>
    </w:lvl>
    <w:lvl w:ilvl="3">
      <w:start w:val="1"/>
      <w:numFmt w:val="bullet"/>
      <w:lvlText w:val="-"/>
      <w:lvlJc w:val="left"/>
      <w:pPr>
        <w:ind w:left="360" w:hanging="360"/>
      </w:pPr>
      <w:rPr>
        <w:rFonts w:ascii="Times New Roman" w:eastAsia="Arial Unicode MS" w:hAnsi="Times New Roman" w:cs="Times New Roman" w:hint="default"/>
        <w:b/>
        <w:i/>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nsid w:val="4FA11850"/>
    <w:multiLevelType w:val="hybridMultilevel"/>
    <w:tmpl w:val="9656F89C"/>
    <w:lvl w:ilvl="0">
      <w:start w:val="1"/>
      <w:numFmt w:val="upperRoman"/>
      <w:pStyle w:val="Heading1"/>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5A082435"/>
    <w:multiLevelType w:val="multilevel"/>
    <w:tmpl w:val="95AC852E"/>
    <w:lvl w:ilvl="0">
      <w:start w:val="1"/>
      <w:numFmt w:val="decimal"/>
      <w:lvlText w:val="%1."/>
      <w:lvlJc w:val="left"/>
      <w:rPr>
        <w:position w:val="0"/>
        <w:rtl w:val="0"/>
      </w:rPr>
    </w:lvl>
    <w:lvl w:ilvl="1">
      <w:start w:val="3"/>
      <w:numFmt w:val="upperRoman"/>
      <w:lvlText w:val="%2."/>
      <w:lvlJc w:val="left"/>
      <w:pPr>
        <w:ind w:left="720" w:hanging="720"/>
      </w:pPr>
      <w:rPr>
        <w:rFonts w:cstheme="majorBidi" w:hint="default"/>
      </w:rPr>
    </w:lvl>
    <w:lvl w:ilvl="2">
      <w:start w:val="1"/>
      <w:numFmt w:val="bullet"/>
      <w:lvlText w:val="-"/>
      <w:lvlJc w:val="left"/>
      <w:pPr>
        <w:ind w:left="360" w:hanging="360"/>
      </w:pPr>
      <w:rPr>
        <w:rFonts w:ascii="Times New Roman" w:eastAsia="Arial Unicode MS" w:hAnsi="Times New Roman" w:cs="Times New Roman" w:hint="default"/>
        <w:b/>
        <w:i/>
      </w:rPr>
    </w:lvl>
    <w:lvl w:ilvl="3">
      <w:start w:val="1"/>
      <w:numFmt w:val="bullet"/>
      <w:lvlText w:val="-"/>
      <w:lvlJc w:val="left"/>
      <w:pPr>
        <w:ind w:left="360" w:hanging="360"/>
      </w:pPr>
      <w:rPr>
        <w:rFonts w:ascii="Times New Roman" w:eastAsia="Arial Unicode MS" w:hAnsi="Times New Roman" w:cs="Times New Roman" w:hint="default"/>
        <w:b/>
        <w:i/>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4">
    <w:nsid w:val="632669A8"/>
    <w:multiLevelType w:val="multilevel"/>
    <w:tmpl w:val="34888E8E"/>
    <w:lvl w:ilvl="0">
      <w:start w:val="1"/>
      <w:numFmt w:val="decimal"/>
      <w:lvlText w:val="%1."/>
      <w:lvlJc w:val="left"/>
      <w:rPr>
        <w:color w:val="000000"/>
        <w:position w:val="0"/>
        <w:rtl w:val="0"/>
      </w:rPr>
    </w:lvl>
    <w:lvl w:ilvl="1">
      <w:start w:val="1"/>
      <w:numFmt w:val="decimal"/>
      <w:lvlText w:val="%2."/>
      <w:lvlJc w:val="left"/>
      <w:rPr>
        <w:color w:val="000000"/>
        <w:position w:val="0"/>
        <w:rtl w:val="0"/>
      </w:rPr>
    </w:lvl>
    <w:lvl w:ilvl="2">
      <w:start w:val="1"/>
      <w:numFmt w:val="decimal"/>
      <w:lvlText w:val="%3."/>
      <w:lvlJc w:val="left"/>
      <w:rPr>
        <w:color w:val="000000"/>
        <w:position w:val="0"/>
        <w:rtl w:val="0"/>
      </w:rPr>
    </w:lvl>
    <w:lvl w:ilvl="3">
      <w:start w:val="1"/>
      <w:numFmt w:val="decimal"/>
      <w:lvlText w:val="(%4)"/>
      <w:lvlJc w:val="left"/>
      <w:rPr>
        <w:color w:val="000000"/>
        <w:position w:val="0"/>
        <w:rtl w:val="0"/>
      </w:rPr>
    </w:lvl>
    <w:lvl w:ilvl="4">
      <w:start w:val="1"/>
      <w:numFmt w:val="decimal"/>
      <w:lvlText w:val="(%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5">
    <w:nsid w:val="641A1213"/>
    <w:multiLevelType w:val="multilevel"/>
    <w:tmpl w:val="3BA0FC60"/>
    <w:styleLink w:val="List0"/>
    <w:lvl w:ilvl="0">
      <w:start w:val="1"/>
      <w:numFmt w:val="decimal"/>
      <w:lvlText w:val="%1."/>
      <w:lvlJc w:val="left"/>
      <w:rPr>
        <w:color w:val="000000"/>
        <w:position w:val="0"/>
        <w:rtl w:val="0"/>
      </w:rPr>
    </w:lvl>
    <w:lvl w:ilvl="1">
      <w:start w:val="1"/>
      <w:numFmt w:val="decimal"/>
      <w:lvlText w:val="%2."/>
      <w:lvlJc w:val="left"/>
      <w:rPr>
        <w:color w:val="000000"/>
        <w:position w:val="0"/>
        <w:rtl w:val="0"/>
      </w:rPr>
    </w:lvl>
    <w:lvl w:ilvl="2">
      <w:start w:val="1"/>
      <w:numFmt w:val="decimal"/>
      <w:lvlText w:val="%3."/>
      <w:lvlJc w:val="left"/>
      <w:rPr>
        <w:color w:val="000000"/>
        <w:position w:val="0"/>
        <w:rtl w:val="0"/>
      </w:rPr>
    </w:lvl>
    <w:lvl w:ilvl="3">
      <w:start w:val="1"/>
      <w:numFmt w:val="decimal"/>
      <w:lvlText w:val="(%4)"/>
      <w:lvlJc w:val="left"/>
      <w:rPr>
        <w:color w:val="000000"/>
        <w:position w:val="0"/>
        <w:rtl w:val="0"/>
      </w:rPr>
    </w:lvl>
    <w:lvl w:ilvl="4">
      <w:start w:val="1"/>
      <w:numFmt w:val="decimal"/>
      <w:lvlText w:val="(%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6">
    <w:nsid w:val="7591064E"/>
    <w:multiLevelType w:val="hybridMultilevel"/>
    <w:tmpl w:val="2F982CDC"/>
    <w:lvl w:ilvl="0">
      <w:start w:val="1"/>
      <w:numFmt w:val="bullet"/>
      <w:lvlText w:val=""/>
      <w:lvlJc w:val="left"/>
      <w:pPr>
        <w:ind w:left="1507" w:hanging="360"/>
      </w:pPr>
      <w:rPr>
        <w:rFonts w:ascii="Symbol" w:hAnsi="Symbol" w:hint="default"/>
      </w:rPr>
    </w:lvl>
    <w:lvl w:ilvl="1" w:tentative="1">
      <w:start w:val="1"/>
      <w:numFmt w:val="bullet"/>
      <w:lvlText w:val="o"/>
      <w:lvlJc w:val="left"/>
      <w:pPr>
        <w:ind w:left="2227" w:hanging="360"/>
      </w:pPr>
      <w:rPr>
        <w:rFonts w:ascii="Courier New" w:hAnsi="Courier New" w:cs="Courier New" w:hint="default"/>
      </w:rPr>
    </w:lvl>
    <w:lvl w:ilvl="2" w:tentative="1">
      <w:start w:val="1"/>
      <w:numFmt w:val="bullet"/>
      <w:lvlText w:val=""/>
      <w:lvlJc w:val="left"/>
      <w:pPr>
        <w:ind w:left="2947" w:hanging="360"/>
      </w:pPr>
      <w:rPr>
        <w:rFonts w:ascii="Wingdings" w:hAnsi="Wingdings" w:hint="default"/>
      </w:rPr>
    </w:lvl>
    <w:lvl w:ilvl="3" w:tentative="1">
      <w:start w:val="1"/>
      <w:numFmt w:val="bullet"/>
      <w:lvlText w:val=""/>
      <w:lvlJc w:val="left"/>
      <w:pPr>
        <w:ind w:left="3667" w:hanging="360"/>
      </w:pPr>
      <w:rPr>
        <w:rFonts w:ascii="Symbol" w:hAnsi="Symbol" w:hint="default"/>
      </w:rPr>
    </w:lvl>
    <w:lvl w:ilvl="4" w:tentative="1">
      <w:start w:val="1"/>
      <w:numFmt w:val="bullet"/>
      <w:lvlText w:val="o"/>
      <w:lvlJc w:val="left"/>
      <w:pPr>
        <w:ind w:left="4387" w:hanging="360"/>
      </w:pPr>
      <w:rPr>
        <w:rFonts w:ascii="Courier New" w:hAnsi="Courier New" w:cs="Courier New" w:hint="default"/>
      </w:rPr>
    </w:lvl>
    <w:lvl w:ilvl="5" w:tentative="1">
      <w:start w:val="1"/>
      <w:numFmt w:val="bullet"/>
      <w:lvlText w:val=""/>
      <w:lvlJc w:val="left"/>
      <w:pPr>
        <w:ind w:left="5107" w:hanging="360"/>
      </w:pPr>
      <w:rPr>
        <w:rFonts w:ascii="Wingdings" w:hAnsi="Wingdings" w:hint="default"/>
      </w:rPr>
    </w:lvl>
    <w:lvl w:ilvl="6" w:tentative="1">
      <w:start w:val="1"/>
      <w:numFmt w:val="bullet"/>
      <w:lvlText w:val=""/>
      <w:lvlJc w:val="left"/>
      <w:pPr>
        <w:ind w:left="5827" w:hanging="360"/>
      </w:pPr>
      <w:rPr>
        <w:rFonts w:ascii="Symbol" w:hAnsi="Symbol" w:hint="default"/>
      </w:rPr>
    </w:lvl>
    <w:lvl w:ilvl="7" w:tentative="1">
      <w:start w:val="1"/>
      <w:numFmt w:val="bullet"/>
      <w:lvlText w:val="o"/>
      <w:lvlJc w:val="left"/>
      <w:pPr>
        <w:ind w:left="6547" w:hanging="360"/>
      </w:pPr>
      <w:rPr>
        <w:rFonts w:ascii="Courier New" w:hAnsi="Courier New" w:cs="Courier New" w:hint="default"/>
      </w:rPr>
    </w:lvl>
    <w:lvl w:ilvl="8" w:tentative="1">
      <w:start w:val="1"/>
      <w:numFmt w:val="bullet"/>
      <w:lvlText w:val=""/>
      <w:lvlJc w:val="left"/>
      <w:pPr>
        <w:ind w:left="7267" w:hanging="360"/>
      </w:pPr>
      <w:rPr>
        <w:rFonts w:ascii="Wingdings" w:hAnsi="Wingdings" w:hint="default"/>
      </w:rPr>
    </w:lvl>
  </w:abstractNum>
  <w:abstractNum w:abstractNumId="17">
    <w:nsid w:val="7BF35FE9"/>
    <w:multiLevelType w:val="multilevel"/>
    <w:tmpl w:val="59C0B50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4"/>
  </w:num>
  <w:num w:numId="2">
    <w:abstractNumId w:val="8"/>
  </w:num>
  <w:num w:numId="3">
    <w:abstractNumId w:val="15"/>
  </w:num>
  <w:num w:numId="4">
    <w:abstractNumId w:val="10"/>
  </w:num>
  <w:num w:numId="5">
    <w:abstractNumId w:val="17"/>
  </w:num>
  <w:num w:numId="6">
    <w:abstractNumId w:val="11"/>
    <w:lvlOverride w:ilvl="0">
      <w:lvl w:ilvl="0">
        <w:start w:val="1"/>
        <w:numFmt w:val="decimal"/>
        <w:lvlText w:val="%1."/>
        <w:lvlJc w:val="left"/>
        <w:pPr>
          <w:ind w:left="360" w:hanging="360"/>
        </w:pPr>
        <w:rPr>
          <w:rFonts w:hint="default"/>
          <w:sz w:val="24"/>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7">
    <w:abstractNumId w:val="4"/>
  </w:num>
  <w:num w:numId="8">
    <w:abstractNumId w:val="3"/>
  </w:num>
  <w:num w:numId="9">
    <w:abstractNumId w:val="2"/>
  </w:num>
  <w:num w:numId="10">
    <w:abstractNumId w:val="1"/>
  </w:num>
  <w:num w:numId="11">
    <w:abstractNumId w:val="0"/>
  </w:num>
  <w:num w:numId="12">
    <w:abstractNumId w:val="11"/>
  </w:num>
  <w:num w:numId="13">
    <w:abstractNumId w:val="6"/>
  </w:num>
  <w:num w:numId="14">
    <w:abstractNumId w:val="9"/>
  </w:num>
  <w:num w:numId="15">
    <w:abstractNumId w:val="5"/>
  </w:num>
  <w:num w:numId="16">
    <w:abstractNumId w:val="12"/>
  </w:num>
  <w:num w:numId="17">
    <w:abstractNumId w:val="7"/>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 w:id="2"/>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3688"/>
    <w:rPr>
      <w:sz w:val="24"/>
      <w:szCs w:val="24"/>
    </w:rPr>
  </w:style>
  <w:style w:type="paragraph" w:styleId="Heading1">
    <w:name w:val="heading 1"/>
    <w:basedOn w:val="Normal"/>
    <w:next w:val="Normal"/>
    <w:link w:val="Heading1Char"/>
    <w:autoRedefine/>
    <w:uiPriority w:val="9"/>
    <w:qFormat/>
    <w:rsid w:val="00711988"/>
    <w:pPr>
      <w:keepNext/>
      <w:keepLines/>
      <w:numPr>
        <w:numId w:val="16"/>
      </w:numPr>
      <w:tabs>
        <w:tab w:val="left" w:pos="720"/>
      </w:tabs>
      <w:spacing w:line="480" w:lineRule="auto"/>
      <w:ind w:hanging="1800"/>
      <w:outlineLvl w:val="0"/>
    </w:pPr>
    <w:rPr>
      <w:rFonts w:ascii="Times New Roman Bold" w:hAnsi="Times New Roman Bold" w:eastAsiaTheme="majorEastAsia" w:cstheme="majorBidi"/>
      <w:b/>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84A0F"/>
    <w:rPr>
      <w:u w:val="single"/>
    </w:rPr>
  </w:style>
  <w:style w:type="paragraph" w:customStyle="1" w:styleId="HeaderFooter">
    <w:name w:val="Header &amp; Footer"/>
    <w:rsid w:val="00C84A0F"/>
    <w:pPr>
      <w:tabs>
        <w:tab w:val="right" w:pos="9020"/>
      </w:tabs>
    </w:pPr>
    <w:rPr>
      <w:rFonts w:ascii="Helvetica" w:hAnsi="Arial Unicode MS" w:cs="Arial Unicode MS"/>
      <w:color w:val="000000"/>
      <w:sz w:val="24"/>
      <w:szCs w:val="24"/>
    </w:rPr>
  </w:style>
  <w:style w:type="paragraph" w:styleId="Footer">
    <w:name w:val="footer"/>
    <w:link w:val="FooterChar"/>
    <w:uiPriority w:val="99"/>
    <w:rsid w:val="00C84A0F"/>
    <w:pPr>
      <w:tabs>
        <w:tab w:val="center" w:pos="4680"/>
        <w:tab w:val="right" w:pos="9360"/>
      </w:tabs>
    </w:pPr>
    <w:rPr>
      <w:rFonts w:hAnsi="Arial Unicode MS" w:cs="Arial Unicode MS"/>
      <w:color w:val="000000"/>
      <w:sz w:val="24"/>
      <w:szCs w:val="24"/>
      <w:u w:color="000000"/>
    </w:rPr>
  </w:style>
  <w:style w:type="paragraph" w:customStyle="1" w:styleId="BodyA">
    <w:name w:val="Body A"/>
    <w:rsid w:val="00C84A0F"/>
    <w:rPr>
      <w:rFonts w:hAnsi="Arial Unicode MS" w:cs="Arial Unicode MS"/>
      <w:color w:val="000000"/>
      <w:sz w:val="24"/>
      <w:szCs w:val="24"/>
      <w:u w:color="000000"/>
    </w:rPr>
  </w:style>
  <w:style w:type="paragraph" w:styleId="TOC1">
    <w:name w:val="toc 1"/>
    <w:autoRedefine/>
    <w:uiPriority w:val="39"/>
    <w:qFormat/>
    <w:rsid w:val="0046290E"/>
    <w:pPr>
      <w:tabs>
        <w:tab w:val="decimal" w:leader="dot" w:pos="8640"/>
      </w:tabs>
      <w:spacing w:after="240"/>
      <w:ind w:left="720" w:hanging="720"/>
    </w:pPr>
    <w:rPr>
      <w:rFonts w:eastAsia="Times New Roman"/>
      <w:caps/>
      <w:sz w:val="24"/>
      <w:szCs w:val="24"/>
      <w:u w:color="000000"/>
    </w:rPr>
  </w:style>
  <w:style w:type="paragraph" w:customStyle="1" w:styleId="Heading">
    <w:name w:val="Heading"/>
    <w:next w:val="BodyA"/>
    <w:rsid w:val="00C84A0F"/>
    <w:pPr>
      <w:keepNext/>
      <w:keepLines/>
      <w:spacing w:line="480" w:lineRule="auto"/>
      <w:outlineLvl w:val="0"/>
    </w:pPr>
    <w:rPr>
      <w:rFonts w:eastAsia="Times New Roman"/>
      <w:b/>
      <w:bCs/>
      <w:color w:val="000000"/>
      <w:sz w:val="24"/>
      <w:szCs w:val="24"/>
      <w:u w:color="000000"/>
    </w:rPr>
  </w:style>
  <w:style w:type="paragraph" w:styleId="Header">
    <w:name w:val="header"/>
    <w:link w:val="HeaderChar"/>
    <w:uiPriority w:val="99"/>
    <w:rsid w:val="00C84A0F"/>
    <w:pPr>
      <w:tabs>
        <w:tab w:val="center" w:pos="4680"/>
        <w:tab w:val="right" w:pos="9360"/>
      </w:tabs>
    </w:pPr>
    <w:rPr>
      <w:rFonts w:hAnsi="Arial Unicode MS" w:cs="Arial Unicode MS"/>
      <w:color w:val="000000"/>
      <w:sz w:val="24"/>
      <w:szCs w:val="24"/>
      <w:u w:color="000000"/>
    </w:rPr>
  </w:style>
  <w:style w:type="paragraph" w:customStyle="1" w:styleId="DirectQuestion">
    <w:name w:val="Direct Question"/>
    <w:next w:val="BodyA"/>
    <w:rsid w:val="00C84A0F"/>
    <w:pPr>
      <w:tabs>
        <w:tab w:val="left" w:pos="1440"/>
      </w:tabs>
      <w:spacing w:line="480" w:lineRule="auto"/>
      <w:ind w:left="1440" w:hanging="1440"/>
    </w:pPr>
    <w:rPr>
      <w:rFonts w:hAnsi="Arial Unicode MS" w:cs="Arial Unicode MS"/>
      <w:b/>
      <w:bCs/>
      <w:i/>
      <w:iCs/>
      <w:caps/>
      <w:color w:val="000000"/>
      <w:sz w:val="24"/>
      <w:szCs w:val="24"/>
      <w:u w:color="000000"/>
    </w:rPr>
  </w:style>
  <w:style w:type="numbering" w:customStyle="1" w:styleId="List0">
    <w:name w:val="List 0"/>
    <w:basedOn w:val="ImportedStyle1"/>
    <w:rsid w:val="00C84A0F"/>
    <w:pPr>
      <w:numPr>
        <w:numId w:val="3"/>
      </w:numPr>
    </w:pPr>
  </w:style>
  <w:style w:type="numbering" w:customStyle="1" w:styleId="ImportedStyle1">
    <w:name w:val="Imported Style 1"/>
    <w:rsid w:val="00C84A0F"/>
  </w:style>
  <w:style w:type="paragraph" w:customStyle="1" w:styleId="DirectAnswer">
    <w:name w:val="Direct Answer"/>
    <w:next w:val="DirectNext"/>
    <w:rsid w:val="00C84A0F"/>
    <w:pPr>
      <w:spacing w:line="480" w:lineRule="auto"/>
      <w:ind w:left="720" w:hanging="720"/>
    </w:pPr>
    <w:rPr>
      <w:rFonts w:hAnsi="Arial Unicode MS" w:cs="Arial Unicode MS"/>
      <w:color w:val="000000"/>
      <w:sz w:val="24"/>
      <w:szCs w:val="24"/>
      <w:u w:color="000000"/>
    </w:rPr>
  </w:style>
  <w:style w:type="paragraph" w:customStyle="1" w:styleId="DirectNext">
    <w:name w:val="Direct Next"/>
    <w:rsid w:val="00C84A0F"/>
    <w:pPr>
      <w:spacing w:line="504" w:lineRule="exact"/>
      <w:ind w:left="720"/>
    </w:pPr>
    <w:rPr>
      <w:rFonts w:hAnsi="Arial Unicode MS" w:cs="Arial Unicode MS"/>
      <w:color w:val="000000"/>
      <w:sz w:val="24"/>
      <w:szCs w:val="24"/>
      <w:u w:color="000000"/>
    </w:rPr>
  </w:style>
  <w:style w:type="numbering" w:customStyle="1" w:styleId="List1">
    <w:name w:val="List 1"/>
    <w:basedOn w:val="ImportedStyle2"/>
    <w:rsid w:val="00C84A0F"/>
    <w:pPr>
      <w:numPr>
        <w:numId w:val="12"/>
      </w:numPr>
    </w:pPr>
  </w:style>
  <w:style w:type="numbering" w:customStyle="1" w:styleId="ImportedStyle2">
    <w:name w:val="Imported Style 2"/>
    <w:rsid w:val="00C84A0F"/>
  </w:style>
  <w:style w:type="paragraph" w:styleId="ListParagraph">
    <w:name w:val="List Paragraph"/>
    <w:rsid w:val="00C84A0F"/>
    <w:pPr>
      <w:ind w:left="720"/>
    </w:pPr>
    <w:rPr>
      <w:rFonts w:hAnsi="Arial Unicode MS" w:cs="Arial Unicode MS"/>
      <w:color w:val="000000"/>
      <w:sz w:val="24"/>
      <w:szCs w:val="24"/>
      <w:u w:color="000000"/>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link w:val="FootnoteTextChar"/>
    <w:rsid w:val="00C84A0F"/>
    <w:rPr>
      <w:rFonts w:eastAsia="Times New Roman"/>
      <w:color w:val="000000"/>
      <w:u w:color="000000"/>
    </w:rPr>
  </w:style>
  <w:style w:type="paragraph" w:customStyle="1" w:styleId="Default">
    <w:name w:val="Default"/>
    <w:rsid w:val="00C84A0F"/>
    <w:rPr>
      <w:rFonts w:ascii="Helvetica" w:eastAsia="Helvetica" w:hAnsi="Helvetica" w:cs="Helvetica"/>
      <w:color w:val="000000"/>
      <w:sz w:val="22"/>
      <w:szCs w:val="22"/>
    </w:rPr>
  </w:style>
  <w:style w:type="paragraph" w:styleId="EndnoteText">
    <w:name w:val="endnote text"/>
    <w:link w:val="EndnoteTextChar"/>
    <w:rsid w:val="00C84A0F"/>
    <w:pPr>
      <w:widowControl w:val="0"/>
    </w:pPr>
    <w:rPr>
      <w:rFonts w:ascii="Courier New" w:eastAsia="Courier New" w:hAnsi="Courier New" w:cs="Courier New"/>
      <w:color w:val="000000"/>
      <w:sz w:val="24"/>
      <w:szCs w:val="24"/>
      <w:u w:color="000000"/>
    </w:rPr>
  </w:style>
  <w:style w:type="paragraph" w:styleId="BodyText">
    <w:name w:val="Body Text"/>
    <w:link w:val="BodyTextChar"/>
    <w:rsid w:val="00C84A0F"/>
    <w:pPr>
      <w:spacing w:after="120"/>
    </w:pPr>
    <w:rPr>
      <w:rFonts w:hAnsi="Arial Unicode MS" w:cs="Arial Unicode MS"/>
      <w:color w:val="000000"/>
      <w:u w:color="000000"/>
    </w:rPr>
  </w:style>
  <w:style w:type="paragraph" w:styleId="CommentText">
    <w:name w:val="annotation text"/>
    <w:link w:val="CommentTextChar"/>
    <w:rsid w:val="00C84A0F"/>
    <w:rPr>
      <w:rFonts w:hAnsi="Arial Unicode MS" w:cs="Arial Unicode MS"/>
      <w:color w:val="000000"/>
      <w:u w:color="000000"/>
    </w:rPr>
  </w:style>
  <w:style w:type="character" w:styleId="CommentReference">
    <w:name w:val="annotation reference"/>
    <w:basedOn w:val="DefaultParagraphFont"/>
    <w:uiPriority w:val="99"/>
    <w:semiHidden/>
    <w:unhideWhenUsed/>
    <w:rsid w:val="00C84A0F"/>
    <w:rPr>
      <w:sz w:val="16"/>
      <w:szCs w:val="16"/>
    </w:rPr>
  </w:style>
  <w:style w:type="paragraph" w:styleId="BalloonText">
    <w:name w:val="Balloon Text"/>
    <w:basedOn w:val="Normal"/>
    <w:link w:val="BalloonTextChar"/>
    <w:uiPriority w:val="99"/>
    <w:semiHidden/>
    <w:unhideWhenUsed/>
    <w:rsid w:val="0019689A"/>
    <w:rPr>
      <w:rFonts w:ascii="Tahoma" w:hAnsi="Tahoma" w:cs="Tahoma"/>
      <w:sz w:val="16"/>
      <w:szCs w:val="16"/>
    </w:rPr>
  </w:style>
  <w:style w:type="character" w:customStyle="1" w:styleId="BalloonTextChar">
    <w:name w:val="Balloon Text Char"/>
    <w:basedOn w:val="DefaultParagraphFont"/>
    <w:link w:val="BalloonText"/>
    <w:uiPriority w:val="99"/>
    <w:semiHidden/>
    <w:rsid w:val="0019689A"/>
    <w:rPr>
      <w:rFonts w:ascii="Tahoma" w:hAnsi="Tahoma" w:cs="Tahoma"/>
      <w:sz w:val="16"/>
      <w:szCs w:val="16"/>
    </w:rPr>
  </w:style>
  <w:style w:type="character" w:styleId="LineNumber">
    <w:name w:val="line number"/>
    <w:basedOn w:val="DefaultParagraphFont"/>
    <w:uiPriority w:val="99"/>
    <w:semiHidden/>
    <w:unhideWhenUsed/>
    <w:rsid w:val="009A4CDE"/>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iPriority w:val="99"/>
    <w:unhideWhenUsed/>
    <w:rsid w:val="00521479"/>
    <w:rPr>
      <w:vertAlign w:val="superscript"/>
    </w:rPr>
  </w:style>
  <w:style w:type="paragraph" w:styleId="CommentSubject">
    <w:name w:val="annotation subject"/>
    <w:basedOn w:val="CommentText"/>
    <w:next w:val="CommentText"/>
    <w:link w:val="CommentSubjectChar"/>
    <w:uiPriority w:val="99"/>
    <w:semiHidden/>
    <w:unhideWhenUsed/>
    <w:rsid w:val="00661AFA"/>
    <w:rPr>
      <w:rFonts w:hAnsi="Times New Roman" w:cs="Times New Roman"/>
      <w:b/>
      <w:bCs/>
      <w:color w:val="auto"/>
    </w:rPr>
  </w:style>
  <w:style w:type="character" w:customStyle="1" w:styleId="CommentTextChar">
    <w:name w:val="Comment Text Char"/>
    <w:basedOn w:val="DefaultParagraphFont"/>
    <w:link w:val="CommentText"/>
    <w:rsid w:val="00661AFA"/>
    <w:rPr>
      <w:rFonts w:hAnsi="Arial Unicode MS" w:cs="Arial Unicode MS"/>
      <w:color w:val="000000"/>
      <w:u w:color="000000"/>
    </w:rPr>
  </w:style>
  <w:style w:type="character" w:customStyle="1" w:styleId="CommentSubjectChar">
    <w:name w:val="Comment Subject Char"/>
    <w:basedOn w:val="CommentTextChar"/>
    <w:link w:val="CommentSubject"/>
    <w:uiPriority w:val="99"/>
    <w:semiHidden/>
    <w:rsid w:val="00661AFA"/>
    <w:rPr>
      <w:rFonts w:hAnsi="Arial Unicode MS" w:cs="Arial Unicode MS"/>
      <w:b/>
      <w:bCs/>
      <w:color w:val="000000"/>
      <w:u w:color="000000"/>
    </w:rPr>
  </w:style>
  <w:style w:type="paragraph" w:styleId="NoSpacing">
    <w:name w:val="No Spacing"/>
    <w:uiPriority w:val="1"/>
    <w:qFormat/>
    <w:rsid w:val="00A416CB"/>
    <w:rPr>
      <w:sz w:val="24"/>
      <w:szCs w:val="24"/>
    </w:rPr>
  </w:style>
  <w:style w:type="table" w:customStyle="1" w:styleId="TableGrid1">
    <w:name w:val="Table Grid1"/>
    <w:basedOn w:val="TableNormal"/>
    <w:next w:val="TableGrid"/>
    <w:uiPriority w:val="59"/>
    <w:rsid w:val="0090014E"/>
    <w:pPr>
      <w:pBdr>
        <w:top w:val="none" w:sz="0" w:space="0" w:color="auto"/>
        <w:left w:val="none" w:sz="0" w:space="0" w:color="auto"/>
        <w:bottom w:val="none" w:sz="0" w:space="0" w:color="auto"/>
        <w:right w:val="none" w:sz="0" w:space="0" w:color="auto"/>
        <w:between w:val="none" w:sz="0" w:space="0" w:color="auto"/>
        <w:bar w:val="none" w:sz="0" w:space="0" w:color="auto"/>
      </w:pBdr>
    </w:pPr>
    <w:rPr>
      <w:rFonts w:ascii="Calibri" w:eastAsia="Calibri" w:hAnsi="Calibr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00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11988"/>
    <w:rPr>
      <w:rFonts w:ascii="Times New Roman Bold" w:hAnsi="Times New Roman Bold" w:eastAsiaTheme="majorEastAsia" w:cstheme="majorBidi"/>
      <w:b/>
      <w:bCs/>
      <w:caps/>
      <w:sz w:val="24"/>
      <w:szCs w:val="28"/>
    </w:rPr>
  </w:style>
  <w:style w:type="character" w:customStyle="1" w:styleId="BodyTextChar">
    <w:name w:val="Body Text Char"/>
    <w:basedOn w:val="DefaultParagraphFont"/>
    <w:link w:val="BodyText"/>
    <w:rsid w:val="00263688"/>
    <w:rPr>
      <w:rFonts w:hAnsi="Arial Unicode MS" w:cs="Arial Unicode MS"/>
      <w:color w:val="000000"/>
      <w:u w:color="000000"/>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basedOn w:val="DefaultParagraphFont"/>
    <w:link w:val="FootnoteText"/>
    <w:uiPriority w:val="99"/>
    <w:rsid w:val="00CA22F6"/>
    <w:rPr>
      <w:rFonts w:eastAsia="Times New Roman"/>
      <w:color w:val="000000"/>
      <w:u w:color="000000"/>
    </w:rPr>
  </w:style>
  <w:style w:type="character" w:customStyle="1" w:styleId="FooterChar">
    <w:name w:val="Footer Char"/>
    <w:basedOn w:val="DefaultParagraphFont"/>
    <w:link w:val="Footer"/>
    <w:uiPriority w:val="99"/>
    <w:rsid w:val="00CA22F6"/>
    <w:rPr>
      <w:rFonts w:hAnsi="Arial Unicode MS" w:cs="Arial Unicode MS"/>
      <w:color w:val="000000"/>
      <w:sz w:val="24"/>
      <w:szCs w:val="24"/>
      <w:u w:color="000000"/>
    </w:rPr>
  </w:style>
  <w:style w:type="paragraph" w:styleId="Revision">
    <w:name w:val="Revision"/>
    <w:hidden/>
    <w:uiPriority w:val="99"/>
    <w:semiHidden/>
    <w:rsid w:val="00B2043F"/>
    <w:pPr>
      <w:pBdr>
        <w:top w:val="none" w:sz="0" w:space="0" w:color="auto"/>
        <w:left w:val="none" w:sz="0" w:space="0" w:color="auto"/>
        <w:bottom w:val="none" w:sz="0" w:space="0" w:color="auto"/>
        <w:right w:val="none" w:sz="0" w:space="0" w:color="auto"/>
        <w:between w:val="none" w:sz="0" w:space="0" w:color="auto"/>
        <w:bar w:val="none" w:sz="0" w:space="0" w:color="auto"/>
      </w:pBdr>
    </w:pPr>
    <w:rPr>
      <w:sz w:val="24"/>
      <w:szCs w:val="24"/>
    </w:rPr>
  </w:style>
  <w:style w:type="character" w:styleId="FollowedHyperlink">
    <w:name w:val="FollowedHyperlink"/>
    <w:basedOn w:val="DefaultParagraphFont"/>
    <w:uiPriority w:val="99"/>
    <w:semiHidden/>
    <w:unhideWhenUsed/>
    <w:rsid w:val="00D04670"/>
    <w:rPr>
      <w:color w:val="FF00FF" w:themeColor="followedHyperlink"/>
      <w:u w:val="single"/>
    </w:rPr>
  </w:style>
  <w:style w:type="character" w:customStyle="1" w:styleId="EndnoteTextChar">
    <w:name w:val="Endnote Text Char"/>
    <w:link w:val="EndnoteText"/>
    <w:locked/>
    <w:rsid w:val="00927797"/>
    <w:rPr>
      <w:rFonts w:ascii="Courier New" w:eastAsia="Courier New" w:hAnsi="Courier New" w:cs="Courier New"/>
      <w:color w:val="000000"/>
      <w:sz w:val="24"/>
      <w:szCs w:val="24"/>
      <w:u w:color="000000"/>
    </w:rPr>
  </w:style>
  <w:style w:type="character" w:customStyle="1" w:styleId="HeaderChar">
    <w:name w:val="Header Char"/>
    <w:basedOn w:val="DefaultParagraphFont"/>
    <w:link w:val="Header"/>
    <w:uiPriority w:val="99"/>
    <w:rsid w:val="00E43FCB"/>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_rels/theme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3148</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2017-03-29T17:01:30Z</dcterms:created>
  <dcterms:modified xsi:type="dcterms:W3CDTF">2017-03-29T17:01:30Z</dcterms:modified>
</cp:coreProperties>
</file>