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1CF2" w14:textId="77777777" w:rsidR="00324EEA" w:rsidRPr="00324EEA" w:rsidRDefault="00324EEA" w:rsidP="00324EEA">
      <w:pPr>
        <w:jc w:val="center"/>
        <w:rPr>
          <w:rFonts w:eastAsia="Times New Roman" w:cs="Arial"/>
          <w:b/>
          <w:smallCaps/>
          <w:sz w:val="28"/>
          <w:szCs w:val="28"/>
        </w:rPr>
      </w:pPr>
      <w:r w:rsidRPr="00324EEA">
        <w:rPr>
          <w:rFonts w:eastAsia="Times New Roman" w:cs="Arial"/>
          <w:b/>
          <w:smallCaps/>
          <w:sz w:val="28"/>
          <w:szCs w:val="28"/>
        </w:rPr>
        <w:t>Before</w:t>
      </w:r>
    </w:p>
    <w:p w14:paraId="49DB40D6" w14:textId="77777777" w:rsidR="00324EEA" w:rsidRPr="00324EEA" w:rsidRDefault="00324EEA" w:rsidP="00324EEA">
      <w:pPr>
        <w:jc w:val="center"/>
        <w:rPr>
          <w:rFonts w:eastAsia="Times New Roman" w:cs="Arial"/>
          <w:b/>
          <w:smallCaps/>
          <w:sz w:val="32"/>
          <w:szCs w:val="32"/>
        </w:rPr>
      </w:pPr>
      <w:r w:rsidRPr="00324EEA">
        <w:rPr>
          <w:rFonts w:eastAsia="Times New Roman" w:cs="Arial"/>
          <w:b/>
          <w:smallCaps/>
          <w:sz w:val="28"/>
          <w:szCs w:val="28"/>
        </w:rPr>
        <w:t>The Public Utilities Commission of Ohio</w:t>
      </w:r>
    </w:p>
    <w:p w14:paraId="7B53322C" w14:textId="77777777" w:rsidR="00324EEA" w:rsidRPr="00324EEA" w:rsidRDefault="00324EEA" w:rsidP="00324EEA">
      <w:pPr>
        <w:jc w:val="both"/>
        <w:rPr>
          <w:rFonts w:eastAsia="Times New Roman" w:cs="Arial"/>
        </w:rPr>
      </w:pPr>
    </w:p>
    <w:p w14:paraId="41B8B96C" w14:textId="77777777" w:rsidR="00324EEA" w:rsidRPr="00324EEA" w:rsidRDefault="00324EEA" w:rsidP="00324EEA">
      <w:pPr>
        <w:jc w:val="both"/>
        <w:rPr>
          <w:rFonts w:eastAsia="Times New Roman" w:cs="Arial"/>
        </w:rPr>
      </w:pPr>
    </w:p>
    <w:p w14:paraId="66AE2C63" w14:textId="77777777" w:rsidR="00324EEA" w:rsidRPr="00324EEA" w:rsidRDefault="00324EEA" w:rsidP="00324EEA">
      <w:pPr>
        <w:tabs>
          <w:tab w:val="left" w:pos="4680"/>
          <w:tab w:val="left" w:pos="5220"/>
        </w:tabs>
        <w:autoSpaceDE w:val="0"/>
        <w:autoSpaceDN w:val="0"/>
        <w:adjustRightInd w:val="0"/>
        <w:rPr>
          <w:rFonts w:eastAsia="Calibri" w:cs="Arial"/>
          <w:bCs/>
        </w:rPr>
      </w:pPr>
      <w:r w:rsidRPr="00324EEA">
        <w:rPr>
          <w:rFonts w:eastAsia="Calibri" w:cs="Arial"/>
          <w:bCs/>
        </w:rPr>
        <w:t>The Office of the Ohio Consumers’ Counsel,</w:t>
      </w:r>
      <w:r w:rsidRPr="00324EEA">
        <w:rPr>
          <w:rFonts w:eastAsia="Calibri" w:cs="Arial"/>
          <w:bCs/>
        </w:rPr>
        <w:tab/>
        <w:t>)</w:t>
      </w:r>
    </w:p>
    <w:p w14:paraId="42E9CF18" w14:textId="77777777" w:rsidR="00324EEA" w:rsidRPr="00324EEA" w:rsidRDefault="00324EEA" w:rsidP="00324EEA">
      <w:pPr>
        <w:tabs>
          <w:tab w:val="left" w:pos="4680"/>
          <w:tab w:val="left" w:pos="5220"/>
        </w:tabs>
        <w:autoSpaceDE w:val="0"/>
        <w:autoSpaceDN w:val="0"/>
        <w:adjustRightInd w:val="0"/>
        <w:rPr>
          <w:rFonts w:eastAsia="Calibri" w:cs="Arial"/>
          <w:bCs/>
        </w:rPr>
      </w:pPr>
      <w:r w:rsidRPr="00324EEA">
        <w:rPr>
          <w:rFonts w:eastAsia="Calibri" w:cs="Arial"/>
          <w:bCs/>
        </w:rPr>
        <w:tab/>
      </w:r>
      <w:r w:rsidRPr="00324EEA">
        <w:rPr>
          <w:rFonts w:eastAsia="Calibri" w:cs="Arial"/>
          <w:bCs/>
        </w:rPr>
        <w:tab/>
        <w:t>)</w:t>
      </w:r>
    </w:p>
    <w:p w14:paraId="1EBAB299"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t>Complainant,</w:t>
      </w:r>
      <w:r w:rsidRPr="00324EEA">
        <w:rPr>
          <w:rFonts w:eastAsia="Times New Roman" w:cs="Arial"/>
        </w:rPr>
        <w:tab/>
      </w:r>
      <w:r w:rsidRPr="00324EEA">
        <w:rPr>
          <w:rFonts w:eastAsia="Times New Roman" w:cs="Arial"/>
        </w:rPr>
        <w:tab/>
        <w:t>)</w:t>
      </w:r>
    </w:p>
    <w:p w14:paraId="7B625A1D"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p>
    <w:p w14:paraId="07281621"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v.</w:t>
      </w:r>
      <w:r w:rsidRPr="00324EEA">
        <w:rPr>
          <w:rFonts w:eastAsia="Times New Roman" w:cs="Arial"/>
        </w:rPr>
        <w:tab/>
      </w:r>
      <w:r w:rsidRPr="00324EEA">
        <w:rPr>
          <w:rFonts w:eastAsia="Times New Roman" w:cs="Arial"/>
        </w:rPr>
        <w:tab/>
      </w:r>
      <w:r w:rsidRPr="00324EEA">
        <w:rPr>
          <w:rFonts w:eastAsia="Times New Roman" w:cs="Arial"/>
        </w:rPr>
        <w:tab/>
        <w:t>)</w:t>
      </w:r>
      <w:r w:rsidRPr="00324EEA">
        <w:rPr>
          <w:rFonts w:eastAsia="Times New Roman" w:cs="Arial"/>
        </w:rPr>
        <w:tab/>
        <w:t>Case No. 16-0782-EL-CSS</w:t>
      </w:r>
    </w:p>
    <w:p w14:paraId="27E5B2C0"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p>
    <w:p w14:paraId="32074385"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Ohio Power Company</w:t>
      </w:r>
      <w:r w:rsidRPr="00324EEA">
        <w:rPr>
          <w:rFonts w:eastAsia="Times New Roman" w:cs="Arial"/>
        </w:rPr>
        <w:tab/>
      </w:r>
      <w:r w:rsidRPr="00324EEA">
        <w:rPr>
          <w:rFonts w:eastAsia="Times New Roman" w:cs="Arial"/>
        </w:rPr>
        <w:tab/>
        <w:t>)</w:t>
      </w:r>
    </w:p>
    <w:p w14:paraId="5BB62200"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r w:rsidRPr="00324EEA">
        <w:rPr>
          <w:rFonts w:eastAsia="Times New Roman" w:cs="Arial"/>
        </w:rPr>
        <w:tab/>
      </w:r>
    </w:p>
    <w:p w14:paraId="75434E49"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t>Respondent.</w:t>
      </w:r>
      <w:r w:rsidRPr="00324EEA">
        <w:rPr>
          <w:rFonts w:eastAsia="Times New Roman" w:cs="Arial"/>
        </w:rPr>
        <w:tab/>
      </w:r>
      <w:r w:rsidRPr="00324EEA">
        <w:rPr>
          <w:rFonts w:eastAsia="Times New Roman" w:cs="Arial"/>
        </w:rPr>
        <w:tab/>
        <w:t>)</w:t>
      </w:r>
    </w:p>
    <w:p w14:paraId="321F4320" w14:textId="77777777" w:rsidR="00324EEA" w:rsidRPr="00324EEA" w:rsidRDefault="00324EEA" w:rsidP="00324EEA">
      <w:pPr>
        <w:jc w:val="both"/>
        <w:rPr>
          <w:rFonts w:eastAsia="Times New Roman" w:cs="Arial"/>
        </w:rPr>
      </w:pPr>
    </w:p>
    <w:p w14:paraId="745EFF29" w14:textId="77777777" w:rsidR="00324EEA" w:rsidRPr="00324EEA" w:rsidRDefault="00324EEA" w:rsidP="00324EEA">
      <w:pPr>
        <w:jc w:val="both"/>
        <w:rPr>
          <w:rFonts w:eastAsia="Times New Roman" w:cs="Arial"/>
        </w:rPr>
      </w:pPr>
    </w:p>
    <w:p w14:paraId="7B6FAE3E" w14:textId="77777777" w:rsidR="00324EEA" w:rsidRPr="000E7793" w:rsidRDefault="00324EEA" w:rsidP="00324EEA">
      <w:pPr>
        <w:pBdr>
          <w:top w:val="single" w:sz="12" w:space="1" w:color="auto"/>
        </w:pBdr>
        <w:tabs>
          <w:tab w:val="left" w:pos="7320"/>
        </w:tabs>
        <w:jc w:val="both"/>
        <w:rPr>
          <w:rFonts w:eastAsia="Times New Roman" w:cs="Arial"/>
        </w:rPr>
      </w:pPr>
    </w:p>
    <w:p w14:paraId="067C8586" w14:textId="77777777" w:rsidR="001D304F" w:rsidRPr="001D304F" w:rsidRDefault="001D304F" w:rsidP="001D304F">
      <w:pPr>
        <w:pBdr>
          <w:bottom w:val="single" w:sz="12" w:space="1" w:color="auto"/>
        </w:pBdr>
        <w:tabs>
          <w:tab w:val="left" w:pos="7320"/>
        </w:tabs>
        <w:jc w:val="center"/>
        <w:rPr>
          <w:rFonts w:eastAsia="Times New Roman" w:cs="Arial"/>
          <w:b/>
          <w:smallCaps/>
          <w:sz w:val="28"/>
          <w:szCs w:val="28"/>
        </w:rPr>
      </w:pPr>
      <w:r w:rsidRPr="001D304F">
        <w:rPr>
          <w:rFonts w:eastAsia="Times New Roman" w:cs="Arial"/>
          <w:b/>
          <w:smallCaps/>
          <w:sz w:val="28"/>
          <w:szCs w:val="28"/>
        </w:rPr>
        <w:t xml:space="preserve">Reply of Industrial Energy Users-Ohio </w:t>
      </w:r>
    </w:p>
    <w:p w14:paraId="721B290A" w14:textId="77777777" w:rsidR="00324EEA" w:rsidRDefault="001D304F" w:rsidP="001D304F">
      <w:pPr>
        <w:pBdr>
          <w:bottom w:val="single" w:sz="12" w:space="1" w:color="auto"/>
        </w:pBdr>
        <w:tabs>
          <w:tab w:val="left" w:pos="7320"/>
        </w:tabs>
        <w:jc w:val="center"/>
        <w:rPr>
          <w:rFonts w:eastAsia="Times New Roman" w:cs="Arial"/>
          <w:b/>
          <w:smallCaps/>
          <w:sz w:val="28"/>
          <w:szCs w:val="28"/>
        </w:rPr>
      </w:pPr>
      <w:r w:rsidRPr="001D304F">
        <w:rPr>
          <w:rFonts w:eastAsia="Times New Roman" w:cs="Arial"/>
          <w:b/>
          <w:smallCaps/>
          <w:sz w:val="28"/>
          <w:szCs w:val="28"/>
        </w:rPr>
        <w:t>to a Memorandum Opposing its Motion to Intervene by the Office of the Ohio Consumers’ Counsel</w:t>
      </w:r>
    </w:p>
    <w:p w14:paraId="170249CA" w14:textId="77777777" w:rsidR="000E7793" w:rsidRPr="000E7793" w:rsidRDefault="000E7793" w:rsidP="001D304F">
      <w:pPr>
        <w:pBdr>
          <w:bottom w:val="single" w:sz="12" w:space="1" w:color="auto"/>
        </w:pBdr>
        <w:tabs>
          <w:tab w:val="left" w:pos="7320"/>
        </w:tabs>
        <w:jc w:val="center"/>
        <w:rPr>
          <w:rFonts w:eastAsia="Times New Roman" w:cs="Arial"/>
        </w:rPr>
      </w:pPr>
    </w:p>
    <w:p w14:paraId="4DD58640" w14:textId="77777777" w:rsidR="00324EEA" w:rsidRPr="00324EEA" w:rsidRDefault="00324EEA" w:rsidP="00324EEA">
      <w:pPr>
        <w:jc w:val="center"/>
        <w:rPr>
          <w:rFonts w:eastAsia="Times New Roman" w:cs="Arial"/>
          <w:b/>
          <w:smallCaps/>
          <w:sz w:val="28"/>
        </w:rPr>
      </w:pPr>
    </w:p>
    <w:p w14:paraId="138C241D" w14:textId="77777777" w:rsidR="00324EEA" w:rsidRPr="00324EEA" w:rsidRDefault="00324EEA" w:rsidP="00324EEA">
      <w:pPr>
        <w:jc w:val="center"/>
        <w:rPr>
          <w:rFonts w:eastAsia="Times New Roman" w:cs="Arial"/>
          <w:b/>
          <w:smallCaps/>
          <w:sz w:val="28"/>
        </w:rPr>
      </w:pPr>
    </w:p>
    <w:p w14:paraId="02521E5E" w14:textId="77777777" w:rsidR="00324EEA" w:rsidRPr="00324EEA" w:rsidRDefault="00324EEA" w:rsidP="00324EEA">
      <w:pPr>
        <w:jc w:val="center"/>
        <w:rPr>
          <w:rFonts w:eastAsia="Times New Roman" w:cs="Arial"/>
          <w:b/>
          <w:smallCaps/>
          <w:sz w:val="28"/>
        </w:rPr>
      </w:pPr>
    </w:p>
    <w:p w14:paraId="2363A79C" w14:textId="77777777" w:rsidR="00324EEA" w:rsidRPr="00324EEA" w:rsidRDefault="00324EEA" w:rsidP="00324EEA">
      <w:pPr>
        <w:jc w:val="center"/>
        <w:rPr>
          <w:rFonts w:eastAsia="Times New Roman" w:cs="Arial"/>
          <w:b/>
          <w:smallCaps/>
          <w:sz w:val="28"/>
        </w:rPr>
      </w:pPr>
    </w:p>
    <w:p w14:paraId="4121CCA3" w14:textId="77777777" w:rsidR="00324EEA" w:rsidRPr="00324EEA" w:rsidRDefault="00324EEA" w:rsidP="00324EEA">
      <w:pPr>
        <w:jc w:val="center"/>
        <w:rPr>
          <w:rFonts w:eastAsia="Times New Roman" w:cs="Arial"/>
          <w:b/>
          <w:smallCaps/>
          <w:sz w:val="28"/>
        </w:rPr>
      </w:pPr>
    </w:p>
    <w:p w14:paraId="48B46633" w14:textId="77777777" w:rsidR="00324EEA" w:rsidRPr="00324EEA" w:rsidRDefault="00324EEA" w:rsidP="00324EEA">
      <w:pPr>
        <w:jc w:val="center"/>
        <w:rPr>
          <w:rFonts w:eastAsia="Times New Roman" w:cs="Arial"/>
          <w:b/>
          <w:smallCaps/>
          <w:sz w:val="28"/>
        </w:rPr>
      </w:pPr>
    </w:p>
    <w:p w14:paraId="4BC19C53" w14:textId="77777777" w:rsidR="00324EEA" w:rsidRPr="00324EEA" w:rsidRDefault="00324EEA" w:rsidP="00324EEA">
      <w:pPr>
        <w:jc w:val="center"/>
        <w:rPr>
          <w:rFonts w:eastAsia="Times New Roman" w:cs="Arial"/>
          <w:b/>
          <w:smallCaps/>
          <w:sz w:val="28"/>
        </w:rPr>
      </w:pPr>
    </w:p>
    <w:p w14:paraId="5D970846" w14:textId="77777777" w:rsidR="00324EEA" w:rsidRPr="00324EEA" w:rsidRDefault="00324EEA" w:rsidP="00324EEA">
      <w:pPr>
        <w:rPr>
          <w:rFonts w:eastAsia="Times New Roman" w:cs="Arial"/>
          <w:b/>
          <w:smallCaps/>
          <w:sz w:val="28"/>
        </w:rPr>
      </w:pPr>
    </w:p>
    <w:p w14:paraId="06254365" w14:textId="77777777" w:rsidR="00324EEA" w:rsidRPr="00324EEA" w:rsidRDefault="00324EEA" w:rsidP="00324EEA">
      <w:pPr>
        <w:jc w:val="center"/>
        <w:rPr>
          <w:rFonts w:eastAsia="Times New Roman" w:cs="Arial"/>
          <w:b/>
          <w:smallCaps/>
          <w:sz w:val="28"/>
        </w:rPr>
      </w:pPr>
    </w:p>
    <w:p w14:paraId="5E9724A0" w14:textId="77777777" w:rsidR="00324EEA" w:rsidRPr="00324EEA" w:rsidRDefault="00324EEA" w:rsidP="00324EEA">
      <w:pPr>
        <w:jc w:val="center"/>
        <w:rPr>
          <w:rFonts w:eastAsia="Times New Roman" w:cs="Arial"/>
          <w:b/>
          <w:smallCaps/>
          <w:sz w:val="28"/>
        </w:rPr>
      </w:pPr>
    </w:p>
    <w:p w14:paraId="6764EB09" w14:textId="77777777" w:rsidR="00324EEA" w:rsidRPr="00324EEA" w:rsidRDefault="00324EEA" w:rsidP="00324EEA">
      <w:pPr>
        <w:widowControl w:val="0"/>
        <w:ind w:left="4320"/>
        <w:rPr>
          <w:rFonts w:eastAsia="Calibri" w:cs="Arial"/>
          <w:bCs/>
        </w:rPr>
      </w:pPr>
      <w:r w:rsidRPr="00324EEA">
        <w:rPr>
          <w:rFonts w:eastAsia="Calibri" w:cs="Arial"/>
          <w:bCs/>
        </w:rPr>
        <w:t>Frank P. Darr (Reg. No. 0025469)</w:t>
      </w:r>
    </w:p>
    <w:p w14:paraId="25999B1A" w14:textId="77777777" w:rsidR="00324EEA" w:rsidRPr="00324EEA" w:rsidRDefault="00324EEA" w:rsidP="00324EEA">
      <w:pPr>
        <w:widowControl w:val="0"/>
        <w:ind w:left="4320"/>
        <w:rPr>
          <w:rFonts w:eastAsia="Calibri" w:cs="Arial"/>
          <w:bCs/>
        </w:rPr>
      </w:pPr>
      <w:r w:rsidRPr="00324EEA">
        <w:rPr>
          <w:rFonts w:eastAsia="Calibri" w:cs="Arial"/>
          <w:bCs/>
        </w:rPr>
        <w:t xml:space="preserve">  (Counsel of Record)</w:t>
      </w:r>
    </w:p>
    <w:p w14:paraId="10DFFE54" w14:textId="77777777" w:rsidR="00324EEA" w:rsidRPr="00324EEA" w:rsidRDefault="00324EEA" w:rsidP="00324EEA">
      <w:pPr>
        <w:widowControl w:val="0"/>
        <w:ind w:left="4320"/>
        <w:rPr>
          <w:rFonts w:eastAsia="Calibri" w:cs="Arial"/>
          <w:b/>
          <w:bCs/>
        </w:rPr>
      </w:pPr>
      <w:r w:rsidRPr="00324EEA">
        <w:rPr>
          <w:rFonts w:eastAsia="Calibri" w:cs="Arial"/>
          <w:bCs/>
        </w:rPr>
        <w:t>Matthew R. Pritchard (Reg. No. 0088070)</w:t>
      </w:r>
    </w:p>
    <w:p w14:paraId="7C2C93BC" w14:textId="77777777" w:rsidR="00324EEA" w:rsidRPr="00324EEA" w:rsidRDefault="00324EEA" w:rsidP="00324EEA">
      <w:pPr>
        <w:widowControl w:val="0"/>
        <w:ind w:left="4320"/>
        <w:rPr>
          <w:rFonts w:eastAsia="Calibri" w:cs="Arial"/>
          <w:b/>
          <w:bCs/>
          <w:smallCaps/>
        </w:rPr>
      </w:pPr>
      <w:r w:rsidRPr="00324EEA">
        <w:rPr>
          <w:rFonts w:eastAsia="Calibri" w:cs="Arial"/>
          <w:bCs/>
          <w:smallCaps/>
        </w:rPr>
        <w:t>McNees Wallace &amp; Nurick LLC</w:t>
      </w:r>
    </w:p>
    <w:p w14:paraId="552C8E7A" w14:textId="77777777" w:rsidR="00324EEA" w:rsidRPr="00324EEA" w:rsidRDefault="00324EEA" w:rsidP="00324EEA">
      <w:pPr>
        <w:widowControl w:val="0"/>
        <w:ind w:left="4320"/>
        <w:rPr>
          <w:rFonts w:eastAsia="Calibri" w:cs="Arial"/>
          <w:b/>
          <w:bCs/>
        </w:rPr>
      </w:pPr>
      <w:r w:rsidRPr="00324EEA">
        <w:rPr>
          <w:rFonts w:eastAsia="Calibri" w:cs="Arial"/>
          <w:bCs/>
        </w:rPr>
        <w:t>21 East State Street, 17</w:t>
      </w:r>
      <w:r w:rsidRPr="00324EEA">
        <w:rPr>
          <w:rFonts w:eastAsia="Calibri" w:cs="Arial"/>
          <w:bCs/>
          <w:vertAlign w:val="superscript"/>
        </w:rPr>
        <w:t>TH</w:t>
      </w:r>
      <w:r w:rsidRPr="00324EEA">
        <w:rPr>
          <w:rFonts w:eastAsia="Calibri" w:cs="Arial"/>
          <w:bCs/>
        </w:rPr>
        <w:t xml:space="preserve"> Floor</w:t>
      </w:r>
    </w:p>
    <w:p w14:paraId="2962CFD7"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rPr>
      </w:pPr>
      <w:r w:rsidRPr="00324EEA">
        <w:rPr>
          <w:rFonts w:eastAsia="Calibri" w:cs="Arial"/>
        </w:rPr>
        <w:t>Columbus, OH  43215</w:t>
      </w:r>
    </w:p>
    <w:p w14:paraId="4ECC25B3"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rPr>
      </w:pPr>
      <w:r w:rsidRPr="00324EEA">
        <w:rPr>
          <w:rFonts w:eastAsia="Calibri" w:cs="Arial"/>
        </w:rPr>
        <w:t>Telephone:  (614) 469-8000</w:t>
      </w:r>
    </w:p>
    <w:p w14:paraId="08CF1F85"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24EEA">
        <w:rPr>
          <w:rFonts w:eastAsia="Calibri" w:cs="Arial"/>
          <w:color w:val="000000"/>
        </w:rPr>
        <w:t>Telecopier:  (614) 469-4653</w:t>
      </w:r>
    </w:p>
    <w:p w14:paraId="0CF8DC7B"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24EEA">
        <w:rPr>
          <w:rFonts w:eastAsia="Calibri" w:cs="Arial"/>
        </w:rPr>
        <w:t>fdarr@mwncmh.com</w:t>
      </w:r>
    </w:p>
    <w:p w14:paraId="422EFFC6"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24EEA">
        <w:rPr>
          <w:rFonts w:eastAsia="Calibri" w:cs="Arial"/>
          <w:color w:val="000000"/>
        </w:rPr>
        <w:t>(willing to accept service by e-mail)</w:t>
      </w:r>
    </w:p>
    <w:p w14:paraId="20172566"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324EEA">
        <w:rPr>
          <w:rFonts w:eastAsia="Calibri" w:cs="Arial"/>
          <w:color w:val="000000"/>
        </w:rPr>
        <w:t>mpritchard@mwncmh.com</w:t>
      </w:r>
    </w:p>
    <w:p w14:paraId="3302850F" w14:textId="77777777" w:rsidR="00324EEA" w:rsidRPr="00324EEA" w:rsidRDefault="00324EEA" w:rsidP="00324EEA">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324EEA">
        <w:rPr>
          <w:rFonts w:eastAsia="Calibri" w:cs="Arial"/>
          <w:color w:val="000000"/>
        </w:rPr>
        <w:t>(willing to accept service by e-mail)</w:t>
      </w:r>
    </w:p>
    <w:p w14:paraId="02B76379" w14:textId="77777777" w:rsidR="00324EEA" w:rsidRPr="00324EEA" w:rsidRDefault="00324EEA" w:rsidP="00324EEA">
      <w:pPr>
        <w:tabs>
          <w:tab w:val="left" w:pos="4301"/>
        </w:tabs>
        <w:rPr>
          <w:rFonts w:eastAsia="Times New Roman" w:cs="Arial"/>
          <w:b/>
          <w:bCs/>
        </w:rPr>
      </w:pPr>
    </w:p>
    <w:p w14:paraId="506FD653" w14:textId="77777777" w:rsidR="00324EEA" w:rsidRPr="00324EEA" w:rsidRDefault="001D304F" w:rsidP="00324EEA">
      <w:pPr>
        <w:ind w:left="4320" w:hanging="4320"/>
        <w:rPr>
          <w:rFonts w:eastAsia="Times New Roman" w:cs="Arial"/>
          <w:b/>
          <w:bCs/>
          <w:smallCaps/>
        </w:rPr>
      </w:pPr>
      <w:r>
        <w:rPr>
          <w:rFonts w:eastAsia="Times New Roman" w:cs="Arial"/>
          <w:b/>
          <w:bCs/>
        </w:rPr>
        <w:t xml:space="preserve">June </w:t>
      </w:r>
      <w:r w:rsidR="000F6CE6">
        <w:rPr>
          <w:rFonts w:eastAsia="Times New Roman" w:cs="Arial"/>
          <w:b/>
          <w:bCs/>
        </w:rPr>
        <w:t>1</w:t>
      </w:r>
      <w:r w:rsidR="00324EEA" w:rsidRPr="00324EEA">
        <w:rPr>
          <w:rFonts w:eastAsia="Times New Roman" w:cs="Arial"/>
          <w:b/>
          <w:bCs/>
        </w:rPr>
        <w:t>, 2016</w:t>
      </w:r>
      <w:r w:rsidR="00324EEA" w:rsidRPr="00324EEA">
        <w:rPr>
          <w:rFonts w:eastAsia="Times New Roman" w:cs="Arial"/>
          <w:b/>
          <w:bCs/>
        </w:rPr>
        <w:tab/>
        <w:t>Attorneys for Industrial Energy Users-Ohio</w:t>
      </w:r>
    </w:p>
    <w:p w14:paraId="6D7DFEED" w14:textId="77777777" w:rsidR="00324EEA" w:rsidRPr="00324EEA" w:rsidRDefault="00324EEA" w:rsidP="00324EEA">
      <w:pPr>
        <w:jc w:val="center"/>
        <w:rPr>
          <w:rFonts w:eastAsia="Times New Roman" w:cs="Arial"/>
          <w:b/>
          <w:smallCaps/>
          <w:sz w:val="32"/>
          <w:szCs w:val="32"/>
        </w:rPr>
        <w:sectPr w:rsidR="00324EEA" w:rsidRPr="00324E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14:paraId="15A9B399" w14:textId="77777777" w:rsidR="00324EEA" w:rsidRPr="00324EEA" w:rsidRDefault="00324EEA" w:rsidP="00324EEA">
      <w:pPr>
        <w:jc w:val="center"/>
        <w:rPr>
          <w:rFonts w:eastAsia="Times New Roman" w:cs="Arial"/>
          <w:b/>
          <w:smallCaps/>
          <w:sz w:val="28"/>
          <w:szCs w:val="28"/>
        </w:rPr>
      </w:pPr>
      <w:r w:rsidRPr="00324EEA">
        <w:rPr>
          <w:rFonts w:eastAsia="Times New Roman" w:cs="Arial"/>
          <w:b/>
          <w:smallCaps/>
          <w:sz w:val="28"/>
          <w:szCs w:val="28"/>
        </w:rPr>
        <w:lastRenderedPageBreak/>
        <w:t>Before</w:t>
      </w:r>
    </w:p>
    <w:p w14:paraId="2A5BC4D5" w14:textId="77777777" w:rsidR="00324EEA" w:rsidRPr="00324EEA" w:rsidRDefault="00324EEA" w:rsidP="00324EEA">
      <w:pPr>
        <w:jc w:val="center"/>
        <w:rPr>
          <w:rFonts w:eastAsia="Times New Roman" w:cs="Arial"/>
          <w:b/>
          <w:smallCaps/>
          <w:sz w:val="28"/>
          <w:szCs w:val="28"/>
        </w:rPr>
      </w:pPr>
      <w:r w:rsidRPr="00324EEA">
        <w:rPr>
          <w:rFonts w:eastAsia="Times New Roman" w:cs="Arial"/>
          <w:b/>
          <w:smallCaps/>
          <w:sz w:val="28"/>
          <w:szCs w:val="28"/>
        </w:rPr>
        <w:t>The Public Utilities Commission of Ohio</w:t>
      </w:r>
    </w:p>
    <w:p w14:paraId="1D9AE776" w14:textId="77777777" w:rsidR="00324EEA" w:rsidRPr="00324EEA" w:rsidRDefault="00324EEA" w:rsidP="00324EEA">
      <w:pPr>
        <w:jc w:val="both"/>
        <w:rPr>
          <w:rFonts w:eastAsia="Times New Roman" w:cs="Arial"/>
        </w:rPr>
      </w:pPr>
    </w:p>
    <w:p w14:paraId="5AAE69AA" w14:textId="77777777" w:rsidR="00324EEA" w:rsidRPr="00324EEA" w:rsidRDefault="00324EEA" w:rsidP="00324EEA">
      <w:pPr>
        <w:jc w:val="both"/>
        <w:rPr>
          <w:rFonts w:eastAsia="Times New Roman" w:cs="Arial"/>
        </w:rPr>
      </w:pPr>
    </w:p>
    <w:p w14:paraId="701889C1" w14:textId="77777777" w:rsidR="00324EEA" w:rsidRPr="00324EEA" w:rsidRDefault="00324EEA" w:rsidP="00324EEA">
      <w:pPr>
        <w:tabs>
          <w:tab w:val="left" w:pos="4680"/>
          <w:tab w:val="left" w:pos="5220"/>
        </w:tabs>
        <w:autoSpaceDE w:val="0"/>
        <w:autoSpaceDN w:val="0"/>
        <w:adjustRightInd w:val="0"/>
        <w:rPr>
          <w:rFonts w:eastAsia="Calibri" w:cs="Arial"/>
          <w:bCs/>
        </w:rPr>
      </w:pPr>
      <w:r w:rsidRPr="00324EEA">
        <w:rPr>
          <w:rFonts w:eastAsia="Calibri" w:cs="Arial"/>
          <w:bCs/>
        </w:rPr>
        <w:t>The Office of the Ohio Consumers’ Counsel,</w:t>
      </w:r>
      <w:r w:rsidRPr="00324EEA">
        <w:rPr>
          <w:rFonts w:eastAsia="Calibri" w:cs="Arial"/>
          <w:bCs/>
        </w:rPr>
        <w:tab/>
        <w:t>)</w:t>
      </w:r>
    </w:p>
    <w:p w14:paraId="786999A3" w14:textId="77777777" w:rsidR="00324EEA" w:rsidRPr="00324EEA" w:rsidRDefault="00324EEA" w:rsidP="00324EEA">
      <w:pPr>
        <w:tabs>
          <w:tab w:val="left" w:pos="4680"/>
          <w:tab w:val="left" w:pos="5220"/>
        </w:tabs>
        <w:autoSpaceDE w:val="0"/>
        <w:autoSpaceDN w:val="0"/>
        <w:adjustRightInd w:val="0"/>
        <w:rPr>
          <w:rFonts w:eastAsia="Calibri" w:cs="Arial"/>
          <w:bCs/>
        </w:rPr>
      </w:pPr>
      <w:r w:rsidRPr="00324EEA">
        <w:rPr>
          <w:rFonts w:eastAsia="Calibri" w:cs="Arial"/>
          <w:bCs/>
        </w:rPr>
        <w:tab/>
      </w:r>
      <w:r w:rsidRPr="00324EEA">
        <w:rPr>
          <w:rFonts w:eastAsia="Calibri" w:cs="Arial"/>
          <w:bCs/>
        </w:rPr>
        <w:tab/>
        <w:t>)</w:t>
      </w:r>
    </w:p>
    <w:p w14:paraId="0637EB0B"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t>Complainant,</w:t>
      </w:r>
      <w:r w:rsidRPr="00324EEA">
        <w:rPr>
          <w:rFonts w:eastAsia="Times New Roman" w:cs="Arial"/>
        </w:rPr>
        <w:tab/>
      </w:r>
      <w:r w:rsidRPr="00324EEA">
        <w:rPr>
          <w:rFonts w:eastAsia="Times New Roman" w:cs="Arial"/>
        </w:rPr>
        <w:tab/>
        <w:t>)</w:t>
      </w:r>
    </w:p>
    <w:p w14:paraId="2A40BCF8"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p>
    <w:p w14:paraId="109E43DF"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v.</w:t>
      </w:r>
      <w:r w:rsidRPr="00324EEA">
        <w:rPr>
          <w:rFonts w:eastAsia="Times New Roman" w:cs="Arial"/>
        </w:rPr>
        <w:tab/>
      </w:r>
      <w:r w:rsidRPr="00324EEA">
        <w:rPr>
          <w:rFonts w:eastAsia="Times New Roman" w:cs="Arial"/>
        </w:rPr>
        <w:tab/>
      </w:r>
      <w:r w:rsidRPr="00324EEA">
        <w:rPr>
          <w:rFonts w:eastAsia="Times New Roman" w:cs="Arial"/>
        </w:rPr>
        <w:tab/>
        <w:t>)</w:t>
      </w:r>
      <w:r w:rsidRPr="00324EEA">
        <w:rPr>
          <w:rFonts w:eastAsia="Times New Roman" w:cs="Arial"/>
        </w:rPr>
        <w:tab/>
        <w:t>Case No. 16-0782-EL-CSS</w:t>
      </w:r>
    </w:p>
    <w:p w14:paraId="229E8A52"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p>
    <w:p w14:paraId="372D2A21"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Ohio Power Company</w:t>
      </w:r>
      <w:r w:rsidRPr="00324EEA">
        <w:rPr>
          <w:rFonts w:eastAsia="Times New Roman" w:cs="Arial"/>
        </w:rPr>
        <w:tab/>
      </w:r>
      <w:r w:rsidRPr="00324EEA">
        <w:rPr>
          <w:rFonts w:eastAsia="Times New Roman" w:cs="Arial"/>
        </w:rPr>
        <w:tab/>
        <w:t>)</w:t>
      </w:r>
    </w:p>
    <w:p w14:paraId="5AB6129F"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r>
      <w:r w:rsidRPr="00324EEA">
        <w:rPr>
          <w:rFonts w:eastAsia="Times New Roman" w:cs="Arial"/>
        </w:rPr>
        <w:tab/>
      </w:r>
      <w:r w:rsidRPr="00324EEA">
        <w:rPr>
          <w:rFonts w:eastAsia="Times New Roman" w:cs="Arial"/>
        </w:rPr>
        <w:tab/>
        <w:t>)</w:t>
      </w:r>
      <w:r w:rsidRPr="00324EEA">
        <w:rPr>
          <w:rFonts w:eastAsia="Times New Roman" w:cs="Arial"/>
        </w:rPr>
        <w:tab/>
      </w:r>
    </w:p>
    <w:p w14:paraId="15F5476A" w14:textId="77777777" w:rsidR="00324EEA" w:rsidRPr="00324EEA" w:rsidRDefault="00324EEA" w:rsidP="00324EEA">
      <w:pPr>
        <w:tabs>
          <w:tab w:val="left" w:pos="720"/>
          <w:tab w:val="left" w:pos="4680"/>
          <w:tab w:val="left" w:pos="5220"/>
        </w:tabs>
        <w:autoSpaceDE w:val="0"/>
        <w:autoSpaceDN w:val="0"/>
        <w:adjustRightInd w:val="0"/>
        <w:rPr>
          <w:rFonts w:eastAsia="Times New Roman" w:cs="Arial"/>
        </w:rPr>
      </w:pPr>
      <w:r w:rsidRPr="00324EEA">
        <w:rPr>
          <w:rFonts w:eastAsia="Times New Roman" w:cs="Arial"/>
        </w:rPr>
        <w:tab/>
        <w:t>Respondent.</w:t>
      </w:r>
      <w:r w:rsidRPr="00324EEA">
        <w:rPr>
          <w:rFonts w:eastAsia="Times New Roman" w:cs="Arial"/>
        </w:rPr>
        <w:tab/>
      </w:r>
      <w:r w:rsidRPr="00324EEA">
        <w:rPr>
          <w:rFonts w:eastAsia="Times New Roman" w:cs="Arial"/>
        </w:rPr>
        <w:tab/>
        <w:t>)</w:t>
      </w:r>
    </w:p>
    <w:p w14:paraId="7DC16553" w14:textId="77777777" w:rsidR="00324EEA" w:rsidRPr="00324EEA" w:rsidRDefault="00324EEA" w:rsidP="00324EEA">
      <w:pPr>
        <w:jc w:val="both"/>
        <w:rPr>
          <w:rFonts w:eastAsia="Times New Roman" w:cs="Arial"/>
        </w:rPr>
      </w:pPr>
    </w:p>
    <w:p w14:paraId="7F592DB7" w14:textId="77777777" w:rsidR="00324EEA" w:rsidRPr="00324EEA" w:rsidRDefault="00324EEA" w:rsidP="00324EEA">
      <w:pPr>
        <w:jc w:val="both"/>
        <w:rPr>
          <w:rFonts w:eastAsia="Times New Roman" w:cs="Arial"/>
        </w:rPr>
      </w:pPr>
    </w:p>
    <w:p w14:paraId="1B3BBC65" w14:textId="77777777" w:rsidR="00324EEA" w:rsidRPr="00324EEA" w:rsidRDefault="00324EEA" w:rsidP="00324EEA">
      <w:pPr>
        <w:pBdr>
          <w:top w:val="single" w:sz="12" w:space="1" w:color="auto"/>
        </w:pBdr>
        <w:tabs>
          <w:tab w:val="left" w:pos="7320"/>
        </w:tabs>
        <w:jc w:val="center"/>
        <w:rPr>
          <w:rFonts w:eastAsia="Times New Roman" w:cs="Arial"/>
        </w:rPr>
      </w:pPr>
    </w:p>
    <w:p w14:paraId="5DB72C5B" w14:textId="77777777" w:rsidR="00D87683" w:rsidRDefault="00324EEA" w:rsidP="00324EEA">
      <w:pPr>
        <w:keepNext/>
        <w:tabs>
          <w:tab w:val="left" w:pos="7320"/>
        </w:tabs>
        <w:jc w:val="center"/>
        <w:outlineLvl w:val="0"/>
        <w:rPr>
          <w:rFonts w:eastAsia="Times New Roman" w:cs="Arial"/>
          <w:b/>
          <w:smallCaps/>
          <w:sz w:val="28"/>
          <w:szCs w:val="28"/>
        </w:rPr>
      </w:pPr>
      <w:r>
        <w:rPr>
          <w:rFonts w:eastAsia="Times New Roman" w:cs="Arial"/>
          <w:b/>
          <w:smallCaps/>
          <w:sz w:val="28"/>
          <w:szCs w:val="28"/>
        </w:rPr>
        <w:t>Reply</w:t>
      </w:r>
      <w:r w:rsidRPr="00324EEA">
        <w:rPr>
          <w:rFonts w:eastAsia="Times New Roman" w:cs="Arial"/>
          <w:b/>
          <w:smallCaps/>
          <w:sz w:val="28"/>
          <w:szCs w:val="28"/>
        </w:rPr>
        <w:t xml:space="preserve"> of</w:t>
      </w:r>
      <w:r w:rsidR="00D87683">
        <w:rPr>
          <w:rFonts w:eastAsia="Times New Roman" w:cs="Arial"/>
          <w:b/>
          <w:smallCaps/>
          <w:sz w:val="28"/>
          <w:szCs w:val="28"/>
        </w:rPr>
        <w:t xml:space="preserve"> </w:t>
      </w:r>
      <w:r w:rsidRPr="00324EEA">
        <w:rPr>
          <w:rFonts w:eastAsia="Times New Roman" w:cs="Arial"/>
          <w:b/>
          <w:smallCaps/>
          <w:sz w:val="28"/>
          <w:szCs w:val="28"/>
        </w:rPr>
        <w:t>Industrial Energy Users-Ohio</w:t>
      </w:r>
      <w:r>
        <w:rPr>
          <w:rFonts w:eastAsia="Times New Roman" w:cs="Arial"/>
          <w:b/>
          <w:smallCaps/>
          <w:sz w:val="28"/>
          <w:szCs w:val="28"/>
        </w:rPr>
        <w:t xml:space="preserve"> </w:t>
      </w:r>
    </w:p>
    <w:p w14:paraId="572D8BB4" w14:textId="77777777" w:rsidR="00324EEA" w:rsidRPr="00324EEA" w:rsidRDefault="00324EEA" w:rsidP="00324EEA">
      <w:pPr>
        <w:keepNext/>
        <w:tabs>
          <w:tab w:val="left" w:pos="7320"/>
        </w:tabs>
        <w:jc w:val="center"/>
        <w:outlineLvl w:val="0"/>
        <w:rPr>
          <w:rFonts w:eastAsia="Times New Roman" w:cs="Arial"/>
          <w:b/>
          <w:smallCaps/>
          <w:sz w:val="28"/>
          <w:szCs w:val="28"/>
        </w:rPr>
      </w:pPr>
      <w:r>
        <w:rPr>
          <w:rFonts w:eastAsia="Times New Roman" w:cs="Arial"/>
          <w:b/>
          <w:smallCaps/>
          <w:sz w:val="28"/>
          <w:szCs w:val="28"/>
        </w:rPr>
        <w:t xml:space="preserve">to </w:t>
      </w:r>
      <w:r w:rsidR="00474BDA">
        <w:rPr>
          <w:rFonts w:eastAsia="Times New Roman" w:cs="Arial"/>
          <w:b/>
          <w:smallCaps/>
          <w:sz w:val="28"/>
          <w:szCs w:val="28"/>
        </w:rPr>
        <w:t xml:space="preserve">a </w:t>
      </w:r>
      <w:r>
        <w:rPr>
          <w:rFonts w:eastAsia="Times New Roman" w:cs="Arial"/>
          <w:b/>
          <w:smallCaps/>
          <w:sz w:val="28"/>
          <w:szCs w:val="28"/>
        </w:rPr>
        <w:t xml:space="preserve">Memorandum </w:t>
      </w:r>
      <w:r w:rsidR="00474BDA">
        <w:rPr>
          <w:rFonts w:eastAsia="Times New Roman" w:cs="Arial"/>
          <w:b/>
          <w:smallCaps/>
          <w:sz w:val="28"/>
          <w:szCs w:val="28"/>
        </w:rPr>
        <w:t>Opposing</w:t>
      </w:r>
      <w:r w:rsidR="00D87683">
        <w:rPr>
          <w:rFonts w:eastAsia="Times New Roman" w:cs="Arial"/>
          <w:b/>
          <w:smallCaps/>
          <w:sz w:val="28"/>
          <w:szCs w:val="28"/>
        </w:rPr>
        <w:t xml:space="preserve"> </w:t>
      </w:r>
      <w:r w:rsidR="00474BDA">
        <w:rPr>
          <w:rFonts w:eastAsia="Times New Roman" w:cs="Arial"/>
          <w:b/>
          <w:smallCaps/>
          <w:sz w:val="28"/>
          <w:szCs w:val="28"/>
        </w:rPr>
        <w:t xml:space="preserve">its Motion to Intervene </w:t>
      </w:r>
      <w:r w:rsidR="00D87683">
        <w:rPr>
          <w:rFonts w:eastAsia="Times New Roman" w:cs="Arial"/>
          <w:b/>
          <w:smallCaps/>
          <w:sz w:val="28"/>
          <w:szCs w:val="28"/>
        </w:rPr>
        <w:t xml:space="preserve">by the Office of the Ohio Consumers’ Counsel </w:t>
      </w:r>
    </w:p>
    <w:p w14:paraId="095560C5" w14:textId="77777777" w:rsidR="00324EEA" w:rsidRPr="00324EEA" w:rsidRDefault="00324EEA" w:rsidP="00324EEA">
      <w:pPr>
        <w:pBdr>
          <w:bottom w:val="single" w:sz="12" w:space="1" w:color="auto"/>
        </w:pBdr>
        <w:tabs>
          <w:tab w:val="left" w:pos="7320"/>
        </w:tabs>
        <w:jc w:val="center"/>
        <w:rPr>
          <w:rFonts w:eastAsia="Times New Roman" w:cs="Arial"/>
        </w:rPr>
      </w:pPr>
    </w:p>
    <w:p w14:paraId="2B6E1A05" w14:textId="77777777" w:rsidR="00324EEA" w:rsidRPr="00324EEA" w:rsidRDefault="00324EEA" w:rsidP="00324EEA">
      <w:pPr>
        <w:spacing w:line="480" w:lineRule="auto"/>
        <w:ind w:firstLine="720"/>
        <w:jc w:val="both"/>
        <w:rPr>
          <w:rFonts w:eastAsia="Times New Roman" w:cs="Arial"/>
        </w:rPr>
      </w:pPr>
    </w:p>
    <w:p w14:paraId="39E8EAFD" w14:textId="77777777" w:rsidR="00C42986" w:rsidRPr="006D1F1C" w:rsidRDefault="00C42986" w:rsidP="000D04B5">
      <w:pPr>
        <w:pStyle w:val="ListParagraph"/>
        <w:numPr>
          <w:ilvl w:val="0"/>
          <w:numId w:val="1"/>
        </w:numPr>
        <w:autoSpaceDE w:val="0"/>
        <w:autoSpaceDN w:val="0"/>
        <w:adjustRightInd w:val="0"/>
        <w:spacing w:line="480" w:lineRule="auto"/>
        <w:jc w:val="both"/>
        <w:rPr>
          <w:rStyle w:val="Strong"/>
          <w:rFonts w:ascii="Arial Bold" w:hAnsi="Arial Bold"/>
          <w:caps/>
          <w:u w:val="single"/>
        </w:rPr>
      </w:pPr>
      <w:r w:rsidRPr="005C47B5">
        <w:rPr>
          <w:rStyle w:val="Strong"/>
          <w:rFonts w:ascii="Arial Bold" w:hAnsi="Arial Bold"/>
          <w:caps/>
        </w:rPr>
        <w:t>Introduction</w:t>
      </w:r>
    </w:p>
    <w:p w14:paraId="378BB617" w14:textId="6673669C" w:rsidR="0007568E" w:rsidRDefault="003A3C58" w:rsidP="003A3C58">
      <w:pPr>
        <w:autoSpaceDE w:val="0"/>
        <w:autoSpaceDN w:val="0"/>
        <w:adjustRightInd w:val="0"/>
        <w:spacing w:line="480" w:lineRule="auto"/>
        <w:ind w:firstLine="720"/>
        <w:jc w:val="both"/>
      </w:pPr>
      <w:r>
        <w:t>In a complaint filed on April 12, 2016, t</w:t>
      </w:r>
      <w:r w:rsidR="00BF58AC">
        <w:t>he</w:t>
      </w:r>
      <w:r w:rsidR="009651F6">
        <w:t xml:space="preserve"> Office of the Ohio Consumers’ Counsel </w:t>
      </w:r>
      <w:r w:rsidR="00B756F6">
        <w:t xml:space="preserve">(“OCC”) </w:t>
      </w:r>
      <w:r w:rsidR="00A13C45">
        <w:t>sought</w:t>
      </w:r>
      <w:r w:rsidR="00EF6348">
        <w:t xml:space="preserve"> </w:t>
      </w:r>
      <w:r w:rsidR="00202F9B">
        <w:t xml:space="preserve">an order </w:t>
      </w:r>
      <w:r w:rsidR="00EF6348">
        <w:t xml:space="preserve">directing </w:t>
      </w:r>
      <w:r w:rsidR="007158F8">
        <w:t>Ohio Power Company (“AEP-Ohio”)</w:t>
      </w:r>
      <w:r w:rsidR="00EF6348">
        <w:t xml:space="preserve"> </w:t>
      </w:r>
      <w:r w:rsidR="00202F9B">
        <w:t xml:space="preserve">to </w:t>
      </w:r>
      <w:r w:rsidR="00EF6348">
        <w:t xml:space="preserve">enforce </w:t>
      </w:r>
      <w:r w:rsidR="002C55F3">
        <w:t xml:space="preserve">or </w:t>
      </w:r>
      <w:r w:rsidR="00202F9B">
        <w:t>amend</w:t>
      </w:r>
      <w:r w:rsidR="000C4400">
        <w:t xml:space="preserve"> </w:t>
      </w:r>
      <w:r w:rsidR="00202F9B">
        <w:t>the</w:t>
      </w:r>
      <w:r w:rsidR="000C4400">
        <w:t xml:space="preserve"> resale restriction</w:t>
      </w:r>
      <w:r w:rsidR="002C55F3">
        <w:t xml:space="preserve"> in </w:t>
      </w:r>
      <w:r w:rsidR="00F07900">
        <w:t>its</w:t>
      </w:r>
      <w:r w:rsidR="002C55F3">
        <w:t xml:space="preserve"> General Terms and Conditions of Service</w:t>
      </w:r>
      <w:r w:rsidR="003E74F7">
        <w:t xml:space="preserve"> to protect the interests of residential customers</w:t>
      </w:r>
      <w:r w:rsidR="009651F6">
        <w:t xml:space="preserve">.  </w:t>
      </w:r>
      <w:r w:rsidR="00BF58AC">
        <w:t xml:space="preserve">In responsive pleadings, </w:t>
      </w:r>
      <w:r w:rsidR="00E2299B">
        <w:t>AEP-Ohio</w:t>
      </w:r>
      <w:r w:rsidR="00BF58AC">
        <w:t xml:space="preserve"> </w:t>
      </w:r>
      <w:r w:rsidR="00A13C45">
        <w:t>proposed</w:t>
      </w:r>
      <w:r w:rsidR="00BF58AC">
        <w:t xml:space="preserve"> </w:t>
      </w:r>
      <w:r w:rsidR="00B91046">
        <w:t xml:space="preserve">a </w:t>
      </w:r>
      <w:r w:rsidR="006B5F5D">
        <w:t xml:space="preserve">“remedy” </w:t>
      </w:r>
      <w:r w:rsidR="00B91046">
        <w:t>that would impose unlawful restrictions on the resale of electric generation services</w:t>
      </w:r>
      <w:r w:rsidR="00761366">
        <w:t xml:space="preserve"> affecting all customers</w:t>
      </w:r>
      <w:r w:rsidR="00A22753">
        <w:t>.</w:t>
      </w:r>
      <w:r w:rsidR="00B91046">
        <w:t xml:space="preserve"> </w:t>
      </w:r>
      <w:r w:rsidR="00A22753">
        <w:t xml:space="preserve"> Additionally, AEP-Ohio </w:t>
      </w:r>
      <w:r w:rsidR="00E74A0E">
        <w:t>sought</w:t>
      </w:r>
      <w:r w:rsidR="002B14CD">
        <w:t xml:space="preserve"> </w:t>
      </w:r>
      <w:r w:rsidR="00A22753">
        <w:t xml:space="preserve">a new nonbypassable charge to fund the </w:t>
      </w:r>
      <w:r w:rsidR="009C0271">
        <w:t>expansion</w:t>
      </w:r>
      <w:r w:rsidR="00A22753">
        <w:t xml:space="preserve"> of </w:t>
      </w:r>
      <w:r w:rsidR="00E74A0E">
        <w:t xml:space="preserve">its </w:t>
      </w:r>
      <w:r w:rsidR="00A22753">
        <w:t>faciliti</w:t>
      </w:r>
      <w:r w:rsidR="0066615D">
        <w:t xml:space="preserve">es if </w:t>
      </w:r>
      <w:r w:rsidR="009C0271">
        <w:t>its proposed restriction on resale</w:t>
      </w:r>
      <w:r w:rsidR="0066615D">
        <w:t xml:space="preserve"> </w:t>
      </w:r>
      <w:r w:rsidR="009C0271">
        <w:t>is</w:t>
      </w:r>
      <w:r w:rsidR="0066615D">
        <w:t xml:space="preserve"> authorized. </w:t>
      </w:r>
      <w:r w:rsidR="00812794">
        <w:t xml:space="preserve"> </w:t>
      </w:r>
      <w:r w:rsidR="0066615D">
        <w:t>Based on issues that OCC and AEP-Ohio raise in their pleadings</w:t>
      </w:r>
      <w:r w:rsidR="006D03EF">
        <w:t xml:space="preserve">, Industrial Energy Users-Ohio </w:t>
      </w:r>
      <w:r w:rsidR="00EE6CC9">
        <w:t xml:space="preserve">(“IEU-Ohio”) </w:t>
      </w:r>
      <w:r w:rsidR="00A13C45">
        <w:t>moved</w:t>
      </w:r>
      <w:r w:rsidR="006D03EF">
        <w:t xml:space="preserve"> to intervene because </w:t>
      </w:r>
      <w:r w:rsidR="00C01AE7">
        <w:t xml:space="preserve">the interests of </w:t>
      </w:r>
      <w:r w:rsidR="006D03EF">
        <w:t xml:space="preserve">its members operating in the AEP-Ohio service </w:t>
      </w:r>
      <w:r w:rsidR="00C01AE7">
        <w:t xml:space="preserve">area may be </w:t>
      </w:r>
      <w:r w:rsidR="001D5AF4">
        <w:t>impaired</w:t>
      </w:r>
      <w:r w:rsidR="00C01AE7">
        <w:t xml:space="preserve"> by the outcome of </w:t>
      </w:r>
      <w:r w:rsidR="00C01AE7">
        <w:lastRenderedPageBreak/>
        <w:t>this case.</w:t>
      </w:r>
      <w:r w:rsidR="00F20EE9">
        <w:t xml:space="preserve">  </w:t>
      </w:r>
      <w:r w:rsidR="003034B7">
        <w:t xml:space="preserve">Motion to Intervene and Memorandum in Support of Industrial Energy Users-Ohio (May 10, 2016) (“IEU-Ohio Motion to Intervene”).  </w:t>
      </w:r>
    </w:p>
    <w:p w14:paraId="05D56374" w14:textId="77777777" w:rsidR="00DC3EDB" w:rsidRDefault="00CA5819" w:rsidP="0007568E">
      <w:pPr>
        <w:autoSpaceDE w:val="0"/>
        <w:autoSpaceDN w:val="0"/>
        <w:adjustRightInd w:val="0"/>
        <w:spacing w:line="480" w:lineRule="auto"/>
        <w:ind w:firstLine="720"/>
        <w:jc w:val="both"/>
      </w:pPr>
      <w:r>
        <w:t xml:space="preserve">On May 25, 2016, OCC filed a memorandum opposing IEU-Ohio’s </w:t>
      </w:r>
      <w:r w:rsidR="00B20573">
        <w:t>M</w:t>
      </w:r>
      <w:r>
        <w:t xml:space="preserve">otion to </w:t>
      </w:r>
      <w:r w:rsidR="00B20573">
        <w:t>I</w:t>
      </w:r>
      <w:r>
        <w:t xml:space="preserve">ntervene.  Memorandum Contra Motions to Intervene of Industrial Energy Users-Ohio, Nationwide Energy Partners, LLC, the Ohio Apartment Association, and the International Council of Shopping Centers by the Office of the Ohio Consumers’ Counsel (May 25, 2016) (“OCC Memo Contra”).  In its Memorandum Contra, OCC asserts </w:t>
      </w:r>
      <w:r w:rsidR="0041229A">
        <w:t>that IEU-Ohio lacks sufficient interest in this case to warrant its intervention</w:t>
      </w:r>
      <w:r>
        <w:t xml:space="preserve">.  </w:t>
      </w:r>
      <w:r w:rsidR="00856167" w:rsidRPr="00856167">
        <w:rPr>
          <w:i/>
        </w:rPr>
        <w:t>Id.</w:t>
      </w:r>
      <w:r>
        <w:t xml:space="preserve"> at 7, </w:t>
      </w:r>
      <w:r>
        <w:rPr>
          <w:i/>
        </w:rPr>
        <w:t>citing</w:t>
      </w:r>
      <w:r>
        <w:t xml:space="preserve"> </w:t>
      </w:r>
      <w:r>
        <w:rPr>
          <w:i/>
        </w:rPr>
        <w:t>Whitt v. Nationwide Energy Partners, LLC</w:t>
      </w:r>
      <w:r>
        <w:t>, Case No. 15-697-EL-CSS, Entry (Nov. 18, 2015) (“</w:t>
      </w:r>
      <w:r>
        <w:rPr>
          <w:i/>
        </w:rPr>
        <w:t>Whitt</w:t>
      </w:r>
      <w:r>
        <w:t>”).  OCC also asserts that IEU-Ohio’s participation in the case will u</w:t>
      </w:r>
      <w:r w:rsidR="00DC3EDB">
        <w:t xml:space="preserve">nduly delay the resolution of the case.  OCC Memo Contra at 8-9.  Finally, OCC asserts that it and AEP-Ohio </w:t>
      </w:r>
      <w:r w:rsidR="009C0271">
        <w:t>will adequately address the issues raised in the pleadings</w:t>
      </w:r>
      <w:r w:rsidR="00DC3EDB">
        <w:t xml:space="preserve"> before the </w:t>
      </w:r>
      <w:r w:rsidR="003034B7">
        <w:t>Public Utilities Commission of Ohio (“Commission”)</w:t>
      </w:r>
      <w:r w:rsidR="00DC3EDB">
        <w:t>.</w:t>
      </w:r>
      <w:r w:rsidR="009C0271">
        <w:t xml:space="preserve">  </w:t>
      </w:r>
      <w:r w:rsidR="00856167" w:rsidRPr="00856167">
        <w:rPr>
          <w:i/>
        </w:rPr>
        <w:t>Id.</w:t>
      </w:r>
      <w:r w:rsidR="009C0271">
        <w:t xml:space="preserve"> at 9.</w:t>
      </w:r>
    </w:p>
    <w:p w14:paraId="66551D79" w14:textId="1E9DA06E" w:rsidR="00804564" w:rsidRDefault="00906721" w:rsidP="0007568E">
      <w:pPr>
        <w:autoSpaceDE w:val="0"/>
        <w:autoSpaceDN w:val="0"/>
        <w:adjustRightInd w:val="0"/>
        <w:spacing w:line="480" w:lineRule="auto"/>
        <w:ind w:firstLine="720"/>
        <w:jc w:val="both"/>
      </w:pPr>
      <w:r>
        <w:t>As demons</w:t>
      </w:r>
      <w:r w:rsidR="004F6157">
        <w:t>trated in IEU-Ohio’s Motion to I</w:t>
      </w:r>
      <w:r>
        <w:t xml:space="preserve">ntervene and below, OCC’s claims are not correct.  </w:t>
      </w:r>
      <w:r w:rsidR="00A73512">
        <w:t xml:space="preserve">Based on the pleadings, </w:t>
      </w:r>
      <w:r w:rsidR="007A23B4">
        <w:t xml:space="preserve">IEU-Ohio has an </w:t>
      </w:r>
      <w:r w:rsidR="00EB26F1">
        <w:t>interest</w:t>
      </w:r>
      <w:r w:rsidR="007A23B4">
        <w:t xml:space="preserve"> in this matter that may be impaired by the outcome of the case, IEU-Ohio’s participation will not unduly delay the proceeding, and no other party in this matter represents the interests of IEU-Ohio.  </w:t>
      </w:r>
      <w:r w:rsidR="00B51977">
        <w:t xml:space="preserve">Motion to Intervene and Memorandum in Support of Industrial Energy Users-Ohio (May 10, 2016) (“IEU-Ohio Motion to Intervene”).  </w:t>
      </w:r>
      <w:r w:rsidR="00054710">
        <w:t xml:space="preserve">Under </w:t>
      </w:r>
      <w:r w:rsidR="00BE4169">
        <w:t xml:space="preserve">the requirements of </w:t>
      </w:r>
      <w:r w:rsidR="00054710">
        <w:t xml:space="preserve">R.C. 4903.211 and Rule </w:t>
      </w:r>
      <w:r w:rsidR="00382598">
        <w:t>4901-1-11</w:t>
      </w:r>
      <w:r w:rsidR="003D4E65">
        <w:t>, Ohio Administrative Code (“OAC”)</w:t>
      </w:r>
      <w:r w:rsidR="00382598">
        <w:t xml:space="preserve">, therefore, the Commission should grant IEU-Ohio’s </w:t>
      </w:r>
      <w:r w:rsidR="008D2FFC">
        <w:t>M</w:t>
      </w:r>
      <w:r w:rsidR="00382598">
        <w:t xml:space="preserve">otion to </w:t>
      </w:r>
      <w:r w:rsidR="008D2FFC">
        <w:t>I</w:t>
      </w:r>
      <w:r w:rsidR="00382598">
        <w:t>ntervene.</w:t>
      </w:r>
    </w:p>
    <w:p w14:paraId="6A589DF8" w14:textId="77777777" w:rsidR="003C799D" w:rsidRPr="005C47B5" w:rsidRDefault="003C799D" w:rsidP="008028DD">
      <w:pPr>
        <w:pStyle w:val="ListParagraph"/>
        <w:numPr>
          <w:ilvl w:val="0"/>
          <w:numId w:val="1"/>
        </w:numPr>
        <w:jc w:val="both"/>
        <w:rPr>
          <w:rFonts w:ascii="Arial Bold" w:hAnsi="Arial Bold"/>
          <w:b/>
          <w:caps/>
        </w:rPr>
      </w:pPr>
      <w:r w:rsidRPr="005C47B5">
        <w:rPr>
          <w:rFonts w:ascii="Arial Bold" w:hAnsi="Arial Bold" w:cs="Arial"/>
          <w:b/>
          <w:caps/>
        </w:rPr>
        <w:t xml:space="preserve">IEU-Ohio has a real and substantial interest in the proceeding and is so situated that the disposition of the proceeding may, as a practical matter, impair or impede </w:t>
      </w:r>
      <w:r w:rsidR="00F3637D" w:rsidRPr="005C47B5">
        <w:rPr>
          <w:rFonts w:ascii="Arial Bold" w:hAnsi="Arial Bold" w:cs="Arial"/>
          <w:b/>
          <w:caps/>
        </w:rPr>
        <w:t>its</w:t>
      </w:r>
      <w:r w:rsidRPr="005C47B5">
        <w:rPr>
          <w:rFonts w:ascii="Arial Bold" w:hAnsi="Arial Bold" w:cs="Arial"/>
          <w:b/>
          <w:caps/>
        </w:rPr>
        <w:t xml:space="preserve"> ability to protect that interest</w:t>
      </w:r>
    </w:p>
    <w:p w14:paraId="64B12C53" w14:textId="77777777" w:rsidR="00E63D6B" w:rsidRPr="00E63D6B" w:rsidRDefault="00E63D6B" w:rsidP="008028DD">
      <w:pPr>
        <w:pStyle w:val="ListParagraph"/>
        <w:ind w:left="1440"/>
        <w:jc w:val="both"/>
        <w:rPr>
          <w:b/>
        </w:rPr>
      </w:pPr>
    </w:p>
    <w:p w14:paraId="7BFE684E" w14:textId="2641670F" w:rsidR="00AA621A" w:rsidRDefault="002929D6" w:rsidP="008028DD">
      <w:pPr>
        <w:spacing w:line="480" w:lineRule="auto"/>
        <w:ind w:firstLine="720"/>
        <w:jc w:val="both"/>
        <w:rPr>
          <w:rFonts w:eastAsia="Calibri" w:cs="Arial"/>
        </w:rPr>
      </w:pPr>
      <w:r>
        <w:rPr>
          <w:rFonts w:eastAsia="Calibri" w:cs="Arial"/>
        </w:rPr>
        <w:t xml:space="preserve">Citing the Commission’s decision in two unrelated matters, </w:t>
      </w:r>
      <w:r w:rsidR="00272220">
        <w:rPr>
          <w:rFonts w:eastAsia="Calibri" w:cs="Arial"/>
        </w:rPr>
        <w:t>OCC</w:t>
      </w:r>
      <w:r w:rsidR="002546A5">
        <w:rPr>
          <w:rFonts w:eastAsia="Calibri" w:cs="Arial"/>
        </w:rPr>
        <w:t xml:space="preserve"> premises its claim that IEU-Ohio does not have </w:t>
      </w:r>
      <w:r w:rsidR="00EB26F1">
        <w:rPr>
          <w:rFonts w:eastAsia="Calibri" w:cs="Arial"/>
        </w:rPr>
        <w:t xml:space="preserve">a </w:t>
      </w:r>
      <w:r w:rsidR="002546A5">
        <w:rPr>
          <w:rFonts w:eastAsia="Calibri" w:cs="Arial"/>
        </w:rPr>
        <w:t xml:space="preserve">sufficient interest in the case on the </w:t>
      </w:r>
      <w:r w:rsidR="00EB26F1">
        <w:rPr>
          <w:rFonts w:eastAsia="Calibri" w:cs="Arial"/>
        </w:rPr>
        <w:t>assertion</w:t>
      </w:r>
      <w:r w:rsidR="002546A5">
        <w:rPr>
          <w:rFonts w:eastAsia="Calibri" w:cs="Arial"/>
        </w:rPr>
        <w:t xml:space="preserve"> that</w:t>
      </w:r>
      <w:r w:rsidR="00272220">
        <w:rPr>
          <w:rFonts w:eastAsia="Calibri" w:cs="Arial"/>
        </w:rPr>
        <w:t xml:space="preserve"> </w:t>
      </w:r>
      <w:r w:rsidR="00C20201">
        <w:rPr>
          <w:rFonts w:eastAsia="Calibri" w:cs="Arial"/>
        </w:rPr>
        <w:t xml:space="preserve">“an intervenor must refrain from expanding the issues beyond those stated in the complaint.”  </w:t>
      </w:r>
      <w:r w:rsidR="00747823">
        <w:rPr>
          <w:rFonts w:eastAsia="Calibri" w:cs="Arial"/>
        </w:rPr>
        <w:t xml:space="preserve">OCC Memo Contra at 5.  </w:t>
      </w:r>
      <w:r w:rsidR="00C20201">
        <w:rPr>
          <w:rFonts w:eastAsia="Calibri" w:cs="Arial"/>
        </w:rPr>
        <w:t xml:space="preserve">OCC </w:t>
      </w:r>
      <w:r w:rsidR="00344F35">
        <w:rPr>
          <w:rFonts w:eastAsia="Calibri" w:cs="Arial"/>
        </w:rPr>
        <w:t xml:space="preserve">then </w:t>
      </w:r>
      <w:r w:rsidR="00C20201">
        <w:rPr>
          <w:rFonts w:eastAsia="Calibri" w:cs="Arial"/>
        </w:rPr>
        <w:t xml:space="preserve">states that </w:t>
      </w:r>
      <w:r w:rsidR="00272220">
        <w:rPr>
          <w:rFonts w:eastAsia="Calibri" w:cs="Arial"/>
        </w:rPr>
        <w:t xml:space="preserve">it “filed its Complaint on behalf of residential customers against AEP Ohio.  OCC sought to prohibit AEP Ohio from providing electric service to submetering and reselling </w:t>
      </w:r>
      <w:r w:rsidR="00C0572F">
        <w:rPr>
          <w:rFonts w:eastAsia="Calibri" w:cs="Arial"/>
        </w:rPr>
        <w:t>entities</w:t>
      </w:r>
      <w:r w:rsidR="00272220">
        <w:rPr>
          <w:rFonts w:eastAsia="Calibri" w:cs="Arial"/>
        </w:rPr>
        <w:t xml:space="preserve"> that inflict harm</w:t>
      </w:r>
      <w:r w:rsidR="00010B0A">
        <w:rPr>
          <w:rFonts w:eastAsia="Calibri" w:cs="Arial"/>
        </w:rPr>
        <w:t xml:space="preserve"> on the Utility’s residential customers.”  </w:t>
      </w:r>
      <w:r w:rsidR="00856167" w:rsidRPr="00856167">
        <w:rPr>
          <w:rFonts w:eastAsia="Calibri" w:cs="Arial"/>
          <w:i/>
        </w:rPr>
        <w:t>Id.</w:t>
      </w:r>
      <w:r w:rsidR="00747823">
        <w:rPr>
          <w:rFonts w:eastAsia="Calibri" w:cs="Arial"/>
        </w:rPr>
        <w:t xml:space="preserve"> </w:t>
      </w:r>
      <w:r w:rsidR="0049035B">
        <w:rPr>
          <w:rFonts w:eastAsia="Calibri" w:cs="Arial"/>
        </w:rPr>
        <w:t xml:space="preserve">at 6.  </w:t>
      </w:r>
      <w:r w:rsidR="005119A2">
        <w:rPr>
          <w:rFonts w:eastAsia="Calibri" w:cs="Arial"/>
        </w:rPr>
        <w:t>Based on its statement of the scope of the case</w:t>
      </w:r>
      <w:r w:rsidR="00305EB9">
        <w:rPr>
          <w:rFonts w:eastAsia="Calibri" w:cs="Arial"/>
        </w:rPr>
        <w:t xml:space="preserve">, </w:t>
      </w:r>
      <w:r w:rsidR="005119A2">
        <w:rPr>
          <w:rFonts w:eastAsia="Calibri" w:cs="Arial"/>
        </w:rPr>
        <w:t>OCC</w:t>
      </w:r>
      <w:r w:rsidR="00305EB9">
        <w:rPr>
          <w:rFonts w:eastAsia="Calibri" w:cs="Arial"/>
        </w:rPr>
        <w:t xml:space="preserve"> asserts that IEU-Ohio</w:t>
      </w:r>
      <w:r w:rsidR="007657DE">
        <w:rPr>
          <w:rFonts w:eastAsia="Calibri" w:cs="Arial"/>
        </w:rPr>
        <w:t xml:space="preserve"> </w:t>
      </w:r>
      <w:r w:rsidR="00344F35">
        <w:rPr>
          <w:rFonts w:eastAsia="Calibri" w:cs="Arial"/>
        </w:rPr>
        <w:t>does</w:t>
      </w:r>
      <w:r w:rsidR="007657DE">
        <w:rPr>
          <w:rFonts w:eastAsia="Calibri" w:cs="Arial"/>
        </w:rPr>
        <w:t xml:space="preserve"> not </w:t>
      </w:r>
      <w:r w:rsidR="00344F35">
        <w:rPr>
          <w:rFonts w:eastAsia="Calibri" w:cs="Arial"/>
        </w:rPr>
        <w:t xml:space="preserve">have an </w:t>
      </w:r>
      <w:r w:rsidR="007657DE">
        <w:rPr>
          <w:rFonts w:eastAsia="Calibri" w:cs="Arial"/>
        </w:rPr>
        <w:t xml:space="preserve">interest in the outcome of the case </w:t>
      </w:r>
      <w:r w:rsidR="00344F35">
        <w:rPr>
          <w:rFonts w:eastAsia="Calibri" w:cs="Arial"/>
        </w:rPr>
        <w:t>beyond</w:t>
      </w:r>
      <w:r w:rsidR="007657DE">
        <w:rPr>
          <w:rFonts w:eastAsia="Calibri" w:cs="Arial"/>
        </w:rPr>
        <w:t xml:space="preserve"> its precedential effect</w:t>
      </w:r>
      <w:r w:rsidR="00344F35">
        <w:rPr>
          <w:rFonts w:eastAsia="Calibri" w:cs="Arial"/>
        </w:rPr>
        <w:t>, c</w:t>
      </w:r>
      <w:r w:rsidR="00C6634E">
        <w:rPr>
          <w:rFonts w:eastAsia="Calibri" w:cs="Arial"/>
        </w:rPr>
        <w:t xml:space="preserve">iting the </w:t>
      </w:r>
      <w:r w:rsidR="00C6634E" w:rsidRPr="00C6634E">
        <w:rPr>
          <w:rFonts w:eastAsia="Calibri" w:cs="Arial"/>
          <w:i/>
        </w:rPr>
        <w:t>Whitt</w:t>
      </w:r>
      <w:r w:rsidR="00C6634E">
        <w:rPr>
          <w:rFonts w:eastAsia="Calibri" w:cs="Arial"/>
        </w:rPr>
        <w:t xml:space="preserve"> case</w:t>
      </w:r>
      <w:r w:rsidR="00A3411B">
        <w:rPr>
          <w:rFonts w:eastAsia="Calibri" w:cs="Arial"/>
        </w:rPr>
        <w:t xml:space="preserve">.  </w:t>
      </w:r>
      <w:r w:rsidR="00856167" w:rsidRPr="00856167">
        <w:rPr>
          <w:rFonts w:eastAsia="Calibri" w:cs="Arial"/>
          <w:i/>
        </w:rPr>
        <w:t>Id.</w:t>
      </w:r>
      <w:r w:rsidR="00A3411B">
        <w:rPr>
          <w:rFonts w:eastAsia="Calibri" w:cs="Arial"/>
        </w:rPr>
        <w:t xml:space="preserve"> at </w:t>
      </w:r>
      <w:r w:rsidR="004E41D3">
        <w:rPr>
          <w:rFonts w:eastAsia="Calibri" w:cs="Arial"/>
        </w:rPr>
        <w:t>7-</w:t>
      </w:r>
      <w:r w:rsidR="00A3411B">
        <w:rPr>
          <w:rFonts w:eastAsia="Calibri" w:cs="Arial"/>
        </w:rPr>
        <w:t>8.</w:t>
      </w:r>
      <w:r w:rsidR="007C5124">
        <w:rPr>
          <w:rFonts w:eastAsia="Calibri" w:cs="Arial"/>
        </w:rPr>
        <w:t xml:space="preserve"> </w:t>
      </w:r>
      <w:r w:rsidR="003C799D" w:rsidRPr="00827681">
        <w:rPr>
          <w:rFonts w:eastAsia="Calibri" w:cs="Arial"/>
        </w:rPr>
        <w:t xml:space="preserve"> </w:t>
      </w:r>
    </w:p>
    <w:p w14:paraId="142CDC67" w14:textId="181020BB" w:rsidR="007D545F" w:rsidRPr="004A7B5D" w:rsidRDefault="007D545F" w:rsidP="008028DD">
      <w:pPr>
        <w:spacing w:line="480" w:lineRule="auto"/>
        <w:ind w:firstLine="720"/>
        <w:jc w:val="both"/>
      </w:pPr>
      <w:r>
        <w:rPr>
          <w:rFonts w:eastAsia="Calibri" w:cs="Arial"/>
        </w:rPr>
        <w:t>These claims are not supported by the facts or Commission precedent.</w:t>
      </w:r>
    </w:p>
    <w:p w14:paraId="4491A0C6" w14:textId="77777777" w:rsidR="00886F91" w:rsidRDefault="008058A6" w:rsidP="00294055">
      <w:pPr>
        <w:spacing w:line="480" w:lineRule="auto"/>
        <w:ind w:firstLine="720"/>
        <w:jc w:val="both"/>
      </w:pPr>
      <w:r>
        <w:t xml:space="preserve">Initially, IEU-Ohio is not seeking to “expand the issues” presented in this case beyond those presented by the pleadings.  </w:t>
      </w:r>
    </w:p>
    <w:p w14:paraId="5E706D37" w14:textId="5D71419B" w:rsidR="008171FD" w:rsidRDefault="008058A6" w:rsidP="00294055">
      <w:pPr>
        <w:spacing w:line="480" w:lineRule="auto"/>
        <w:ind w:firstLine="720"/>
        <w:jc w:val="both"/>
      </w:pPr>
      <w:r>
        <w:t xml:space="preserve">Under </w:t>
      </w:r>
      <w:r w:rsidR="004F6157">
        <w:t>R.C. 4903.221 and Rule 4901-1-11</w:t>
      </w:r>
      <w:r w:rsidR="003D4E65">
        <w:t>, OAC</w:t>
      </w:r>
      <w:r w:rsidR="00886F91">
        <w:t xml:space="preserve">, </w:t>
      </w:r>
      <w:r w:rsidR="004F6157">
        <w:t xml:space="preserve">a person seeking to intervene in a Commission proceeding </w:t>
      </w:r>
      <w:r w:rsidR="00886F91">
        <w:t xml:space="preserve">must </w:t>
      </w:r>
      <w:r w:rsidR="004F6157">
        <w:t>have an interest in the outcome that may be impaired by the disposition of the case</w:t>
      </w:r>
      <w:r w:rsidR="004A7B5D">
        <w:t>.</w:t>
      </w:r>
      <w:r w:rsidR="004F6157">
        <w:rPr>
          <w:rStyle w:val="FootnoteReference"/>
        </w:rPr>
        <w:footnoteReference w:id="1"/>
      </w:r>
      <w:r w:rsidR="006D4317">
        <w:rPr>
          <w:rFonts w:eastAsia="Calibri" w:cs="Arial"/>
        </w:rPr>
        <w:t xml:space="preserve"> </w:t>
      </w:r>
      <w:r w:rsidR="004A7B5D">
        <w:rPr>
          <w:rFonts w:eastAsia="Calibri" w:cs="Arial"/>
        </w:rPr>
        <w:t xml:space="preserve"> </w:t>
      </w:r>
      <w:r w:rsidR="00886F91">
        <w:rPr>
          <w:rFonts w:eastAsia="Calibri" w:cs="Arial"/>
        </w:rPr>
        <w:t xml:space="preserve">Determining whether such an interest exists is determined by the </w:t>
      </w:r>
      <w:r w:rsidR="006D4317">
        <w:rPr>
          <w:rFonts w:eastAsia="Calibri" w:cs="Arial"/>
        </w:rPr>
        <w:t>pleadings in this case</w:t>
      </w:r>
      <w:r w:rsidR="00801ABF">
        <w:rPr>
          <w:rFonts w:eastAsia="Calibri" w:cs="Arial"/>
        </w:rPr>
        <w:t xml:space="preserve">. </w:t>
      </w:r>
      <w:r w:rsidR="007A3DE3">
        <w:rPr>
          <w:rFonts w:eastAsia="Calibri" w:cs="Arial"/>
        </w:rPr>
        <w:t xml:space="preserve"> </w:t>
      </w:r>
      <w:r w:rsidR="007F5CF8">
        <w:rPr>
          <w:rFonts w:cs="Arial"/>
          <w:i/>
        </w:rPr>
        <w:t>Ohio Consumers’ Counsel v. Pub. Util. Comm’n of Ohio</w:t>
      </w:r>
      <w:r w:rsidR="007F5CF8">
        <w:rPr>
          <w:rFonts w:cs="Arial"/>
        </w:rPr>
        <w:t>, 111 Ohio St. 3d 384 (2006)</w:t>
      </w:r>
      <w:r w:rsidR="007F5CF8">
        <w:t xml:space="preserve">.  </w:t>
      </w:r>
    </w:p>
    <w:p w14:paraId="62A1793A" w14:textId="3A0134E4" w:rsidR="003C799D" w:rsidRPr="00827681" w:rsidRDefault="005F24BD" w:rsidP="00294055">
      <w:pPr>
        <w:spacing w:line="480" w:lineRule="auto"/>
        <w:ind w:firstLine="720"/>
        <w:jc w:val="both"/>
        <w:rPr>
          <w:rFonts w:eastAsia="Calibri" w:cs="Arial"/>
        </w:rPr>
      </w:pPr>
      <w:r>
        <w:rPr>
          <w:rFonts w:eastAsia="Calibri" w:cs="Arial"/>
        </w:rPr>
        <w:t xml:space="preserve">In the Complaint, OCC has put </w:t>
      </w:r>
      <w:r w:rsidR="003D4E65">
        <w:rPr>
          <w:rFonts w:eastAsia="Calibri" w:cs="Arial"/>
        </w:rPr>
        <w:t>in</w:t>
      </w:r>
      <w:r>
        <w:rPr>
          <w:rFonts w:eastAsia="Calibri" w:cs="Arial"/>
        </w:rPr>
        <w:t xml:space="preserve"> issue</w:t>
      </w:r>
      <w:r w:rsidR="00A33C57">
        <w:rPr>
          <w:rFonts w:eastAsia="Calibri" w:cs="Arial"/>
        </w:rPr>
        <w:t xml:space="preserve"> the current resale restriction</w:t>
      </w:r>
      <w:r>
        <w:rPr>
          <w:rFonts w:eastAsia="Calibri" w:cs="Arial"/>
        </w:rPr>
        <w:t xml:space="preserve"> contained in AEP-Ohio’s </w:t>
      </w:r>
      <w:r w:rsidR="001F5F07">
        <w:rPr>
          <w:rFonts w:eastAsia="Calibri" w:cs="Arial"/>
        </w:rPr>
        <w:t xml:space="preserve">General </w:t>
      </w:r>
      <w:r w:rsidR="006A69AC">
        <w:rPr>
          <w:rFonts w:eastAsia="Calibri" w:cs="Arial"/>
        </w:rPr>
        <w:t>Terms and Cond</w:t>
      </w:r>
      <w:r w:rsidR="00810646">
        <w:rPr>
          <w:rFonts w:eastAsia="Calibri" w:cs="Arial"/>
        </w:rPr>
        <w:t xml:space="preserve">itions of Service.  Complaint </w:t>
      </w:r>
      <w:r w:rsidR="00E76013">
        <w:rPr>
          <w:rFonts w:eastAsia="Calibri" w:cs="Arial"/>
        </w:rPr>
        <w:t>at 2</w:t>
      </w:r>
      <w:r w:rsidR="006A69AC">
        <w:rPr>
          <w:rFonts w:eastAsia="Calibri" w:cs="Arial"/>
        </w:rPr>
        <w:t xml:space="preserve"> (Apr. 12, 2016).  </w:t>
      </w:r>
      <w:r w:rsidR="003C799D" w:rsidRPr="00827681">
        <w:rPr>
          <w:rFonts w:eastAsia="Calibri" w:cs="Arial"/>
        </w:rPr>
        <w:t>AEP-Ohio</w:t>
      </w:r>
      <w:r w:rsidR="00C43103">
        <w:rPr>
          <w:rFonts w:eastAsia="Calibri" w:cs="Arial"/>
        </w:rPr>
        <w:t>’s</w:t>
      </w:r>
      <w:r w:rsidR="00164690">
        <w:rPr>
          <w:rFonts w:eastAsia="Calibri" w:cs="Arial"/>
        </w:rPr>
        <w:t xml:space="preserve"> Answer</w:t>
      </w:r>
      <w:r w:rsidR="00810646">
        <w:rPr>
          <w:rFonts w:eastAsia="Calibri" w:cs="Arial"/>
        </w:rPr>
        <w:t xml:space="preserve"> and Motion </w:t>
      </w:r>
      <w:r w:rsidR="00A33C57">
        <w:rPr>
          <w:rFonts w:eastAsia="Calibri" w:cs="Arial"/>
        </w:rPr>
        <w:t>for</w:t>
      </w:r>
      <w:r w:rsidR="00810646">
        <w:rPr>
          <w:rFonts w:eastAsia="Calibri" w:cs="Arial"/>
        </w:rPr>
        <w:t xml:space="preserve"> Tariff Amendment </w:t>
      </w:r>
      <w:r w:rsidR="00FF58BF">
        <w:rPr>
          <w:rFonts w:eastAsia="Calibri" w:cs="Arial"/>
        </w:rPr>
        <w:t xml:space="preserve">argue </w:t>
      </w:r>
      <w:r w:rsidR="000409BB">
        <w:rPr>
          <w:rFonts w:eastAsia="Calibri" w:cs="Arial"/>
        </w:rPr>
        <w:t>that a revision to the resale restriction is necessary</w:t>
      </w:r>
      <w:r w:rsidR="00785FD6">
        <w:rPr>
          <w:rFonts w:eastAsia="Calibri" w:cs="Arial"/>
        </w:rPr>
        <w:t>.</w:t>
      </w:r>
      <w:r w:rsidR="003C799D" w:rsidRPr="00827681">
        <w:rPr>
          <w:rFonts w:eastAsia="Calibri" w:cs="Arial"/>
        </w:rPr>
        <w:t xml:space="preserve">  </w:t>
      </w:r>
      <w:r w:rsidR="00986BF1">
        <w:t xml:space="preserve">Answer of Ohio Power Company (Apr. 27, 2016); Ohio Power </w:t>
      </w:r>
      <w:r w:rsidR="00986BF1">
        <w:lastRenderedPageBreak/>
        <w:t>Company’s Motion for Tariff Amendment at 1 (Apr. 27, 2016) (“AEP-Ohio Motion”</w:t>
      </w:r>
      <w:r w:rsidR="008724DD">
        <w:t xml:space="preserve"> or “Motion”</w:t>
      </w:r>
      <w:r w:rsidR="00986BF1">
        <w:t xml:space="preserve">).  </w:t>
      </w:r>
      <w:r w:rsidR="009436D2">
        <w:rPr>
          <w:rFonts w:eastAsia="Calibri" w:cs="Arial"/>
        </w:rPr>
        <w:t xml:space="preserve">As AEP-Ohio explains in its </w:t>
      </w:r>
      <w:r w:rsidR="008724DD">
        <w:rPr>
          <w:rFonts w:eastAsia="Calibri" w:cs="Arial"/>
        </w:rPr>
        <w:t>M</w:t>
      </w:r>
      <w:r w:rsidR="003C799D" w:rsidRPr="00827681">
        <w:rPr>
          <w:rFonts w:eastAsia="Calibri" w:cs="Arial"/>
        </w:rPr>
        <w:t xml:space="preserve">otion, the Commission should </w:t>
      </w:r>
      <w:r w:rsidR="00C96FB0">
        <w:rPr>
          <w:rFonts w:eastAsia="Calibri" w:cs="Arial"/>
        </w:rPr>
        <w:t xml:space="preserve">authorize a revision </w:t>
      </w:r>
      <w:r w:rsidR="003C799D" w:rsidRPr="00827681">
        <w:rPr>
          <w:rFonts w:eastAsia="Calibri" w:cs="Arial"/>
        </w:rPr>
        <w:t>to “</w:t>
      </w:r>
      <w:r w:rsidR="00B71174">
        <w:rPr>
          <w:rFonts w:eastAsia="Calibri" w:cs="Arial"/>
        </w:rPr>
        <w:t>clarify” the resale restriction</w:t>
      </w:r>
      <w:r w:rsidR="003C799D" w:rsidRPr="00827681">
        <w:rPr>
          <w:rFonts w:eastAsia="Calibri" w:cs="Arial"/>
        </w:rPr>
        <w:t xml:space="preserve">. </w:t>
      </w:r>
      <w:r w:rsidR="003C799D">
        <w:rPr>
          <w:rFonts w:eastAsia="Calibri" w:cs="Arial"/>
        </w:rPr>
        <w:t xml:space="preserve"> </w:t>
      </w:r>
      <w:r w:rsidR="004662A5">
        <w:rPr>
          <w:rFonts w:eastAsia="Calibri" w:cs="Arial"/>
        </w:rPr>
        <w:t>AE</w:t>
      </w:r>
      <w:r w:rsidR="00986BF1">
        <w:rPr>
          <w:rFonts w:eastAsia="Calibri" w:cs="Arial"/>
        </w:rPr>
        <w:t>P-Ohio Motion at 3</w:t>
      </w:r>
      <w:r w:rsidR="004662A5">
        <w:rPr>
          <w:rFonts w:eastAsia="Calibri" w:cs="Arial"/>
        </w:rPr>
        <w:t xml:space="preserve">.  </w:t>
      </w:r>
      <w:r w:rsidR="00322F11">
        <w:rPr>
          <w:rFonts w:eastAsia="Calibri" w:cs="Arial"/>
        </w:rPr>
        <w:t xml:space="preserve">AEP-Ohio </w:t>
      </w:r>
      <w:r w:rsidR="006322B0">
        <w:rPr>
          <w:rFonts w:eastAsia="Calibri" w:cs="Arial"/>
        </w:rPr>
        <w:t xml:space="preserve">then </w:t>
      </w:r>
      <w:r w:rsidR="00322F11">
        <w:rPr>
          <w:rFonts w:eastAsia="Calibri" w:cs="Arial"/>
        </w:rPr>
        <w:t xml:space="preserve">proposes an amendment </w:t>
      </w:r>
      <w:r w:rsidR="00073BD4">
        <w:rPr>
          <w:rFonts w:eastAsia="Calibri" w:cs="Arial"/>
        </w:rPr>
        <w:t xml:space="preserve">that </w:t>
      </w:r>
      <w:r w:rsidR="00D15F4D">
        <w:t xml:space="preserve">would permit AEP-Ohio to terminate service to </w:t>
      </w:r>
      <w:r w:rsidR="006322B0">
        <w:t>any customer</w:t>
      </w:r>
      <w:r w:rsidR="00D15F4D">
        <w:t xml:space="preserve"> and restrict resales of electricity service “where the Customer, the Customer’s agent, or any other entity assesses any charge for electric service to occupants, tenants, or any other end-user, except where the Customer passes on the Company’s charges without markup to occupants or tenants and such charges are allocated based on each occupant’s or tenant’s actual usage.”  </w:t>
      </w:r>
      <w:r w:rsidR="00D15F4D">
        <w:rPr>
          <w:i/>
        </w:rPr>
        <w:t>Id</w:t>
      </w:r>
      <w:r w:rsidR="00D15F4D">
        <w:t xml:space="preserve">., Exhibit B-2 (Redline Copies of Proposed Schedule Sheets).  </w:t>
      </w:r>
      <w:r w:rsidR="002A72CA">
        <w:rPr>
          <w:rFonts w:eastAsia="Calibri" w:cs="Arial"/>
        </w:rPr>
        <w:t xml:space="preserve">In addition to the revision of the resale restriction, </w:t>
      </w:r>
      <w:r w:rsidR="00F3637D">
        <w:rPr>
          <w:rFonts w:eastAsia="Calibri" w:cs="Arial"/>
        </w:rPr>
        <w:t xml:space="preserve">AEP-Ohio is seeking authority to recover the costs of </w:t>
      </w:r>
      <w:r w:rsidR="00CD222A">
        <w:rPr>
          <w:rFonts w:eastAsia="Calibri" w:cs="Arial"/>
        </w:rPr>
        <w:t xml:space="preserve">expanding </w:t>
      </w:r>
      <w:r w:rsidR="00FF58BF">
        <w:rPr>
          <w:rFonts w:eastAsia="Calibri" w:cs="Arial"/>
        </w:rPr>
        <w:t>its</w:t>
      </w:r>
      <w:r w:rsidR="00F3637D">
        <w:rPr>
          <w:rFonts w:eastAsia="Calibri" w:cs="Arial"/>
        </w:rPr>
        <w:t xml:space="preserve"> facilities if the Commission </w:t>
      </w:r>
      <w:r w:rsidR="0074290E">
        <w:rPr>
          <w:rFonts w:eastAsia="Calibri" w:cs="Arial"/>
        </w:rPr>
        <w:t xml:space="preserve">authorizes AEP-Ohio’s proposed </w:t>
      </w:r>
      <w:r w:rsidR="00B432BD">
        <w:rPr>
          <w:rFonts w:eastAsia="Calibri" w:cs="Arial"/>
        </w:rPr>
        <w:t>amendment of the resale restriction</w:t>
      </w:r>
      <w:r w:rsidR="00F3637D">
        <w:rPr>
          <w:rFonts w:eastAsia="Calibri" w:cs="Arial"/>
        </w:rPr>
        <w:t xml:space="preserve">.  </w:t>
      </w:r>
      <w:r w:rsidR="00AB4EA3">
        <w:rPr>
          <w:rFonts w:eastAsia="Calibri" w:cs="Arial"/>
        </w:rPr>
        <w:t>AEP</w:t>
      </w:r>
      <w:r w:rsidR="00073BD4">
        <w:rPr>
          <w:rFonts w:eastAsia="Calibri" w:cs="Arial"/>
        </w:rPr>
        <w:t>-Ohio</w:t>
      </w:r>
      <w:r w:rsidR="00AB4EA3">
        <w:rPr>
          <w:rFonts w:eastAsia="Calibri" w:cs="Arial"/>
        </w:rPr>
        <w:t xml:space="preserve"> </w:t>
      </w:r>
      <w:r w:rsidR="00F3637D">
        <w:rPr>
          <w:rFonts w:eastAsia="Calibri" w:cs="Arial"/>
        </w:rPr>
        <w:t xml:space="preserve">Motion at </w:t>
      </w:r>
      <w:r w:rsidR="001C28AD">
        <w:rPr>
          <w:rFonts w:eastAsia="Calibri" w:cs="Arial"/>
        </w:rPr>
        <w:t>5 n.1.</w:t>
      </w:r>
      <w:r w:rsidR="002A72CA">
        <w:rPr>
          <w:rStyle w:val="FootnoteReference"/>
          <w:rFonts w:eastAsia="Calibri" w:cs="Arial"/>
        </w:rPr>
        <w:footnoteReference w:id="2"/>
      </w:r>
      <w:r w:rsidR="001C28AD">
        <w:rPr>
          <w:rFonts w:eastAsia="Calibri" w:cs="Arial"/>
        </w:rPr>
        <w:t xml:space="preserve">  </w:t>
      </w:r>
    </w:p>
    <w:p w14:paraId="67B4866D" w14:textId="0443638F" w:rsidR="00693CE9" w:rsidRDefault="00957FC9" w:rsidP="009D2595">
      <w:pPr>
        <w:spacing w:line="480" w:lineRule="auto"/>
        <w:ind w:firstLine="720"/>
        <w:jc w:val="both"/>
      </w:pPr>
      <w:r w:rsidRPr="00AD2AED">
        <w:t>As IEU-Ohio explained at length in its memorandum supporting its Motion to I</w:t>
      </w:r>
      <w:r w:rsidR="00E4065F" w:rsidRPr="00AD2AED">
        <w:t>ntervene,</w:t>
      </w:r>
      <w:r w:rsidRPr="00AD2AED">
        <w:t xml:space="preserve"> its o</w:t>
      </w:r>
      <w:r w:rsidR="00E4065F" w:rsidRPr="00AD2AED">
        <w:t xml:space="preserve">pposition to AEP-Ohio’s Motion, and above, </w:t>
      </w:r>
      <w:r w:rsidRPr="00AD2AED">
        <w:t xml:space="preserve">IEU-Ohio’s interest in this case arises from the pleadings; IEU-Ohio is not “expanding” the issues in the proceeding.  </w:t>
      </w:r>
      <w:r w:rsidR="00087173" w:rsidRPr="00AD2AED">
        <w:t>The pleadings place in issue restrictions on resale and termination of service</w:t>
      </w:r>
      <w:r w:rsidR="00FF64F3" w:rsidRPr="00AD2AED">
        <w:t xml:space="preserve"> that may adversely </w:t>
      </w:r>
      <w:r w:rsidR="002D39A7" w:rsidRPr="00AD2AED">
        <w:t xml:space="preserve">and unlawfully </w:t>
      </w:r>
      <w:r w:rsidR="00FF64F3" w:rsidRPr="00AD2AED">
        <w:t>affect shared service arrangements of commercial and industrial customers</w:t>
      </w:r>
      <w:r w:rsidR="00B432BD" w:rsidRPr="00AD2AED">
        <w:t xml:space="preserve">.  </w:t>
      </w:r>
      <w:r w:rsidR="00C85FCA" w:rsidRPr="00AD2AED">
        <w:t xml:space="preserve">IEU-Ohio </w:t>
      </w:r>
      <w:r w:rsidR="00D30CD3" w:rsidRPr="00AD2AED">
        <w:t xml:space="preserve">Motion to Intervene </w:t>
      </w:r>
      <w:r w:rsidR="00B432BD" w:rsidRPr="00AD2AED">
        <w:t>at 3-7</w:t>
      </w:r>
      <w:r w:rsidR="003D5A33" w:rsidRPr="00AD2AED">
        <w:t xml:space="preserve">; Memorandum Opposing Ohio Power Company’s Motion for Tariff Amendment by Industrial Energy Users-Ohio </w:t>
      </w:r>
      <w:r w:rsidR="00D37F7D" w:rsidRPr="00AD2AED">
        <w:t xml:space="preserve">at 4-8 </w:t>
      </w:r>
      <w:r w:rsidR="003D5A33" w:rsidRPr="00AD2AED">
        <w:t xml:space="preserve">(May 10, 2016) (proposed resale restriction is </w:t>
      </w:r>
      <w:r w:rsidR="003D5A33" w:rsidRPr="00AD2AED">
        <w:lastRenderedPageBreak/>
        <w:t>unlawful under R.C. 4928</w:t>
      </w:r>
      <w:r w:rsidR="00391716" w:rsidRPr="00AD2AED">
        <w:t>.40(D))</w:t>
      </w:r>
      <w:r w:rsidR="00B432BD" w:rsidRPr="00AD2AED">
        <w:t xml:space="preserve">.  </w:t>
      </w:r>
      <w:r w:rsidR="000D5E99" w:rsidRPr="00AD2AED">
        <w:t>Additionally, AEP-Ohio is seeking to transfer the cost of implementation</w:t>
      </w:r>
      <w:r w:rsidR="00F65C47" w:rsidRPr="00AD2AED">
        <w:t xml:space="preserve"> of any new restrictions</w:t>
      </w:r>
      <w:r w:rsidR="000D5E99" w:rsidRPr="00AD2AED">
        <w:t xml:space="preserve"> to all customers.  </w:t>
      </w:r>
      <w:r w:rsidR="002D39A7" w:rsidRPr="00AD2AED">
        <w:t>Thus, c</w:t>
      </w:r>
      <w:r w:rsidR="00087173" w:rsidRPr="00AD2AED">
        <w:t>ontrary to OCC’s assertion</w:t>
      </w:r>
      <w:r w:rsidR="00FF64F3" w:rsidRPr="00AD2AED">
        <w:t xml:space="preserve"> that IEU-Ohio’s intervention will expand the issues in this proceeding</w:t>
      </w:r>
      <w:r w:rsidR="00C92C12" w:rsidRPr="00AD2AED">
        <w:t xml:space="preserve">, the pleadings support a finding that IEU-Ohio has an interest that may be impaired or impeded by the outcome of this </w:t>
      </w:r>
      <w:r w:rsidR="00FF64F3" w:rsidRPr="00AD2AED">
        <w:t>case</w:t>
      </w:r>
      <w:r w:rsidR="00C92C12" w:rsidRPr="00AD2AED">
        <w:t>.</w:t>
      </w:r>
    </w:p>
    <w:p w14:paraId="1395F411" w14:textId="5BC3B121" w:rsidR="00785110" w:rsidRDefault="00785110" w:rsidP="009D2595">
      <w:pPr>
        <w:spacing w:line="480" w:lineRule="auto"/>
        <w:ind w:firstLine="720"/>
        <w:jc w:val="both"/>
      </w:pPr>
      <w:r>
        <w:t>Moreover</w:t>
      </w:r>
      <w:r w:rsidR="0064508F">
        <w:t>, t</w:t>
      </w:r>
      <w:r w:rsidR="00E71E22">
        <w:t xml:space="preserve">he legal authority on which OCC relies does not </w:t>
      </w:r>
      <w:r w:rsidR="00DB17AB">
        <w:t xml:space="preserve">support OCC’s </w:t>
      </w:r>
      <w:r w:rsidR="00FB0FCC">
        <w:t>claim that IEU-Ohio does not have an interest that justifies its intervention</w:t>
      </w:r>
      <w:r w:rsidR="00DB17AB">
        <w:t>.</w:t>
      </w:r>
    </w:p>
    <w:p w14:paraId="64947DF0" w14:textId="722BD1F4" w:rsidR="00585725" w:rsidRDefault="002D1DDF" w:rsidP="009D2595">
      <w:pPr>
        <w:spacing w:line="480" w:lineRule="auto"/>
        <w:ind w:firstLine="720"/>
        <w:jc w:val="both"/>
      </w:pPr>
      <w:r>
        <w:t>Initially, OCC</w:t>
      </w:r>
      <w:r w:rsidR="0064508F">
        <w:t xml:space="preserve"> cites </w:t>
      </w:r>
      <w:r w:rsidRPr="00923D1F">
        <w:rPr>
          <w:i/>
        </w:rPr>
        <w:t>OHIOTELNET.Com, Inc. v. Windstream Ohio, Inc</w:t>
      </w:r>
      <w:r>
        <w:t xml:space="preserve">., Case No. 09-515-TP-SCC, Entry at 9 (Dec. 1, 2010) and </w:t>
      </w:r>
      <w:r w:rsidRPr="00923D1F">
        <w:rPr>
          <w:i/>
        </w:rPr>
        <w:t>Cleveland Electric Illuminating Co. v. Medical Center Co</w:t>
      </w:r>
      <w:r>
        <w:t>., Case No. 95-458-EL-UNC, Entry on Rehearing at 3 (Oct. 5, 1995)</w:t>
      </w:r>
      <w:r w:rsidR="00785110" w:rsidRPr="00785110">
        <w:t xml:space="preserve"> </w:t>
      </w:r>
      <w:r w:rsidR="00785110">
        <w:t>for the proposition that “an intervenor must refrain from expanding the issues beyond those stated in the complaint</w:t>
      </w:r>
      <w:r w:rsidR="007A09FA">
        <w:t>.</w:t>
      </w:r>
      <w:r w:rsidR="00F70E73">
        <w:t>”  OCC Memo Contra at 5.  Neither case</w:t>
      </w:r>
      <w:r w:rsidR="00221F52">
        <w:t>, however,</w:t>
      </w:r>
      <w:r w:rsidR="00F70E73">
        <w:t xml:space="preserve"> supports OCC’s </w:t>
      </w:r>
      <w:r w:rsidR="00221F52">
        <w:t>claim.</w:t>
      </w:r>
      <w:r w:rsidR="007A09FA">
        <w:t xml:space="preserve">  </w:t>
      </w:r>
      <w:r w:rsidR="00D864C5">
        <w:t xml:space="preserve">In </w:t>
      </w:r>
      <w:r w:rsidR="00D864C5" w:rsidRPr="006E27DD">
        <w:rPr>
          <w:i/>
        </w:rPr>
        <w:t>OHIOTELNET.Com</w:t>
      </w:r>
      <w:r w:rsidR="00D864C5">
        <w:t xml:space="preserve">, the Commission granted a motion to strike </w:t>
      </w:r>
      <w:r w:rsidR="008069AD">
        <w:t xml:space="preserve">prefiled </w:t>
      </w:r>
      <w:r w:rsidR="00D864C5">
        <w:t xml:space="preserve">testimony </w:t>
      </w:r>
      <w:r w:rsidR="008069AD">
        <w:t xml:space="preserve">of </w:t>
      </w:r>
      <w:r w:rsidR="00D864C5">
        <w:t xml:space="preserve">the complainant because the testimony presented issues that </w:t>
      </w:r>
      <w:r w:rsidR="00A0623E">
        <w:t>it did not raise</w:t>
      </w:r>
      <w:r w:rsidR="00D864C5">
        <w:t xml:space="preserve"> in its complaint.</w:t>
      </w:r>
      <w:r w:rsidR="00B12E09">
        <w:t xml:space="preserve">  In </w:t>
      </w:r>
      <w:r w:rsidR="00AF5AC8">
        <w:rPr>
          <w:i/>
        </w:rPr>
        <w:t>Medical Center</w:t>
      </w:r>
      <w:r w:rsidR="00B12E09">
        <w:t xml:space="preserve">, </w:t>
      </w:r>
      <w:r w:rsidR="00C92E9D">
        <w:t>the Commission rejected an assignment of error</w:t>
      </w:r>
      <w:r w:rsidR="00881DE2">
        <w:t xml:space="preserve"> in an application for rehearing</w:t>
      </w:r>
      <w:r w:rsidR="00C92E9D">
        <w:t xml:space="preserve"> in which </w:t>
      </w:r>
      <w:r w:rsidR="00FB0FCC">
        <w:t>the complainant</w:t>
      </w:r>
      <w:r w:rsidR="00C92E9D">
        <w:t xml:space="preserve"> attempted</w:t>
      </w:r>
      <w:r w:rsidR="00B12E09">
        <w:t xml:space="preserve"> to raise an issue not presented in its complaint.  </w:t>
      </w:r>
      <w:r w:rsidR="00D97501">
        <w:t>Both</w:t>
      </w:r>
      <w:r w:rsidR="002D0570">
        <w:t xml:space="preserve"> cases</w:t>
      </w:r>
      <w:r w:rsidR="00D97501">
        <w:t xml:space="preserve"> required the </w:t>
      </w:r>
      <w:r w:rsidR="00D97501" w:rsidRPr="002D69E2">
        <w:t>complainant</w:t>
      </w:r>
      <w:r w:rsidR="00D97501">
        <w:t xml:space="preserve"> to limit the issues presented to the Commission to those contained in </w:t>
      </w:r>
      <w:r w:rsidR="00A0623E">
        <w:t>its</w:t>
      </w:r>
      <w:r w:rsidR="00D97501">
        <w:t xml:space="preserve"> pleadings. </w:t>
      </w:r>
      <w:r w:rsidR="00D97501" w:rsidRPr="00D97501">
        <w:t xml:space="preserve"> </w:t>
      </w:r>
      <w:r w:rsidR="00D97501">
        <w:t xml:space="preserve">Neither case addressed the </w:t>
      </w:r>
      <w:r w:rsidR="00990B48">
        <w:t>right of a person to intervene bas</w:t>
      </w:r>
      <w:r w:rsidR="00A0623E">
        <w:t>ed on the issues raised by the c</w:t>
      </w:r>
      <w:r w:rsidR="00990B48">
        <w:t>omplaint and responsive pleadings</w:t>
      </w:r>
      <w:r w:rsidR="00D97501">
        <w:t xml:space="preserve">.  </w:t>
      </w:r>
    </w:p>
    <w:p w14:paraId="7AC0FC4D" w14:textId="33889C57" w:rsidR="00A558D1" w:rsidRDefault="00C06F2B" w:rsidP="009D2595">
      <w:pPr>
        <w:spacing w:line="480" w:lineRule="auto"/>
        <w:ind w:firstLine="720"/>
        <w:jc w:val="both"/>
      </w:pPr>
      <w:r>
        <w:t>Even if</w:t>
      </w:r>
      <w:r w:rsidR="0067382B">
        <w:t xml:space="preserve"> </w:t>
      </w:r>
      <w:r w:rsidR="00F53163">
        <w:t xml:space="preserve">the </w:t>
      </w:r>
      <w:r w:rsidR="00F53163" w:rsidRPr="005E63FE">
        <w:rPr>
          <w:i/>
        </w:rPr>
        <w:t>OHIOTELNET.Com</w:t>
      </w:r>
      <w:r w:rsidR="00F53163">
        <w:t xml:space="preserve"> and </w:t>
      </w:r>
      <w:r w:rsidR="00F53163" w:rsidRPr="005E63FE">
        <w:rPr>
          <w:i/>
        </w:rPr>
        <w:t>Medical Cent</w:t>
      </w:r>
      <w:r w:rsidR="00E71D37" w:rsidRPr="005E63FE">
        <w:rPr>
          <w:i/>
        </w:rPr>
        <w:t>er</w:t>
      </w:r>
      <w:r w:rsidR="00E71D37">
        <w:t xml:space="preserve"> cases </w:t>
      </w:r>
      <w:r>
        <w:t xml:space="preserve">had </w:t>
      </w:r>
      <w:r w:rsidR="00473DCD">
        <w:t>held that</w:t>
      </w:r>
      <w:r>
        <w:t xml:space="preserve"> an intervenor </w:t>
      </w:r>
      <w:r w:rsidR="00473DCD">
        <w:t>may not “expand” the issues presented in the pleadings as</w:t>
      </w:r>
      <w:r>
        <w:t xml:space="preserve"> OCC argues, the </w:t>
      </w:r>
      <w:r>
        <w:lastRenderedPageBreak/>
        <w:t xml:space="preserve">cases </w:t>
      </w:r>
      <w:r w:rsidR="00FB2D53">
        <w:t>are</w:t>
      </w:r>
      <w:r>
        <w:t xml:space="preserve"> inapposite </w:t>
      </w:r>
      <w:r w:rsidR="00E71D37">
        <w:t>because IEU-Ohio’s intervention would not expand the issues before the Commission</w:t>
      </w:r>
      <w:r w:rsidR="00473DCD">
        <w:t>, as previously discussed</w:t>
      </w:r>
      <w:r w:rsidR="00585725">
        <w:t>.</w:t>
      </w:r>
    </w:p>
    <w:p w14:paraId="589C04CA" w14:textId="472C2D51" w:rsidR="00C378B6" w:rsidRDefault="002D0570" w:rsidP="009D2595">
      <w:pPr>
        <w:spacing w:line="480" w:lineRule="auto"/>
        <w:ind w:firstLine="720"/>
        <w:jc w:val="both"/>
        <w:rPr>
          <w:rFonts w:cs="Arial"/>
        </w:rPr>
      </w:pPr>
      <w:r>
        <w:rPr>
          <w:rFonts w:cs="Arial"/>
        </w:rPr>
        <w:t>Likewise</w:t>
      </w:r>
      <w:r w:rsidR="00E42DF0">
        <w:rPr>
          <w:rFonts w:cs="Arial"/>
        </w:rPr>
        <w:t xml:space="preserve">, </w:t>
      </w:r>
      <w:r w:rsidR="00D41A05">
        <w:rPr>
          <w:rFonts w:cs="Arial"/>
        </w:rPr>
        <w:t xml:space="preserve">OCC’s assertion that the </w:t>
      </w:r>
      <w:r w:rsidR="005C0F37">
        <w:rPr>
          <w:rFonts w:cs="Arial"/>
        </w:rPr>
        <w:t xml:space="preserve">Commission should deny IEU-Ohio’s </w:t>
      </w:r>
      <w:r w:rsidR="00694707">
        <w:rPr>
          <w:rFonts w:cs="Arial"/>
        </w:rPr>
        <w:t xml:space="preserve">Motion </w:t>
      </w:r>
      <w:r w:rsidR="005C0F37">
        <w:rPr>
          <w:rFonts w:cs="Arial"/>
        </w:rPr>
        <w:t xml:space="preserve">to </w:t>
      </w:r>
      <w:r w:rsidR="00694707">
        <w:rPr>
          <w:rFonts w:cs="Arial"/>
        </w:rPr>
        <w:t xml:space="preserve">Intervene </w:t>
      </w:r>
      <w:r w:rsidR="005C0F37">
        <w:rPr>
          <w:rFonts w:cs="Arial"/>
        </w:rPr>
        <w:t xml:space="preserve">based on the </w:t>
      </w:r>
      <w:r w:rsidR="005C0F37" w:rsidRPr="007A2120">
        <w:rPr>
          <w:rFonts w:cs="Arial"/>
          <w:i/>
        </w:rPr>
        <w:t>Whitt</w:t>
      </w:r>
      <w:r w:rsidR="005C0F37">
        <w:rPr>
          <w:rFonts w:cs="Arial"/>
        </w:rPr>
        <w:t xml:space="preserve"> case is without merit</w:t>
      </w:r>
      <w:r w:rsidR="00602BFF">
        <w:rPr>
          <w:rFonts w:cs="Arial"/>
        </w:rPr>
        <w:t xml:space="preserve">.  </w:t>
      </w:r>
      <w:r w:rsidR="00A06141">
        <w:rPr>
          <w:rFonts w:cs="Arial"/>
        </w:rPr>
        <w:t xml:space="preserve">In </w:t>
      </w:r>
      <w:r w:rsidR="00A06141" w:rsidRPr="003F09E4">
        <w:rPr>
          <w:rFonts w:cs="Arial"/>
          <w:i/>
        </w:rPr>
        <w:t>Whitt</w:t>
      </w:r>
      <w:r w:rsidR="00A06141">
        <w:rPr>
          <w:rFonts w:cs="Arial"/>
        </w:rPr>
        <w:t xml:space="preserve">, </w:t>
      </w:r>
      <w:r w:rsidR="009261B9">
        <w:rPr>
          <w:rFonts w:cs="Arial"/>
        </w:rPr>
        <w:t xml:space="preserve">the complainant sought a finding that the respondent was operating </w:t>
      </w:r>
      <w:r w:rsidR="00C760F0">
        <w:rPr>
          <w:rFonts w:cs="Arial"/>
        </w:rPr>
        <w:t xml:space="preserve">as a public utility and </w:t>
      </w:r>
      <w:r w:rsidR="009261B9">
        <w:rPr>
          <w:rFonts w:cs="Arial"/>
        </w:rPr>
        <w:t>in violation of Commission rules</w:t>
      </w:r>
      <w:r w:rsidR="00C760F0">
        <w:rPr>
          <w:rFonts w:cs="Arial"/>
        </w:rPr>
        <w:t xml:space="preserve">.  </w:t>
      </w:r>
      <w:r w:rsidR="0089217D">
        <w:rPr>
          <w:rFonts w:cs="Arial"/>
        </w:rPr>
        <w:t xml:space="preserve">Addressing motions to intervene, </w:t>
      </w:r>
      <w:r w:rsidR="0067382B">
        <w:rPr>
          <w:rFonts w:cs="Arial"/>
        </w:rPr>
        <w:t xml:space="preserve">the Commission held that </w:t>
      </w:r>
      <w:r w:rsidR="0089217D">
        <w:rPr>
          <w:rFonts w:cs="Arial"/>
        </w:rPr>
        <w:t xml:space="preserve">“[t]he nature and extent of an intervenor’s interest must be real and direct as to the factual allegations contained in the complaint itself.”  </w:t>
      </w:r>
      <w:r w:rsidR="0089217D" w:rsidRPr="00344A83">
        <w:rPr>
          <w:rFonts w:cs="Arial"/>
          <w:i/>
        </w:rPr>
        <w:t>Whitt</w:t>
      </w:r>
      <w:r w:rsidR="0089217D">
        <w:rPr>
          <w:rFonts w:cs="Arial"/>
        </w:rPr>
        <w:t xml:space="preserve">, Entry at 5.  </w:t>
      </w:r>
      <w:r w:rsidR="009638BA">
        <w:rPr>
          <w:rFonts w:cs="Arial"/>
        </w:rPr>
        <w:t xml:space="preserve">Finding that </w:t>
      </w:r>
      <w:r w:rsidR="004349D6">
        <w:rPr>
          <w:rFonts w:cs="Arial"/>
        </w:rPr>
        <w:t>several</w:t>
      </w:r>
      <w:r w:rsidR="009638BA">
        <w:rPr>
          <w:rFonts w:cs="Arial"/>
        </w:rPr>
        <w:t xml:space="preserve"> persons seeking intervention had argued that their interests in the case</w:t>
      </w:r>
      <w:r w:rsidR="004349D6">
        <w:rPr>
          <w:rFonts w:cs="Arial"/>
        </w:rPr>
        <w:t xml:space="preserve"> “are regarding the broad policy and precedent that may be set as result of this complaint</w:t>
      </w:r>
      <w:r w:rsidR="00B40645">
        <w:rPr>
          <w:rFonts w:cs="Arial"/>
        </w:rPr>
        <w:t>,</w:t>
      </w:r>
      <w:r w:rsidR="004349D6">
        <w:rPr>
          <w:rFonts w:cs="Arial"/>
        </w:rPr>
        <w:t xml:space="preserve">” </w:t>
      </w:r>
      <w:r w:rsidR="00B40645">
        <w:rPr>
          <w:rFonts w:cs="Arial"/>
        </w:rPr>
        <w:t>t</w:t>
      </w:r>
      <w:r w:rsidR="00C760F0">
        <w:rPr>
          <w:rFonts w:cs="Arial"/>
        </w:rPr>
        <w:t>he C</w:t>
      </w:r>
      <w:r w:rsidR="00A06141">
        <w:rPr>
          <w:rFonts w:cs="Arial"/>
        </w:rPr>
        <w:t xml:space="preserve">ommission </w:t>
      </w:r>
      <w:r w:rsidR="004349D6">
        <w:rPr>
          <w:rFonts w:cs="Arial"/>
        </w:rPr>
        <w:t>denied their motions to intervene</w:t>
      </w:r>
      <w:r w:rsidR="00EC6B2E">
        <w:rPr>
          <w:rFonts w:cs="Arial"/>
        </w:rPr>
        <w:t xml:space="preserve"> “because they have no actual interest in the particular facts of this proceeding</w:t>
      </w:r>
      <w:r w:rsidR="008307B2">
        <w:rPr>
          <w:rFonts w:cs="Arial"/>
        </w:rPr>
        <w:t>.</w:t>
      </w:r>
      <w:r w:rsidR="00EC6B2E">
        <w:rPr>
          <w:rFonts w:cs="Arial"/>
        </w:rPr>
        <w:t>”</w:t>
      </w:r>
      <w:r w:rsidR="008307B2">
        <w:rPr>
          <w:rFonts w:cs="Arial"/>
        </w:rPr>
        <w:t xml:space="preserve">  </w:t>
      </w:r>
      <w:r w:rsidR="00EC6B2E" w:rsidRPr="00D21F18">
        <w:rPr>
          <w:rFonts w:cs="Arial"/>
          <w:i/>
        </w:rPr>
        <w:t>Id</w:t>
      </w:r>
      <w:r w:rsidR="00EC6B2E">
        <w:rPr>
          <w:rFonts w:cs="Arial"/>
        </w:rPr>
        <w:t>.</w:t>
      </w:r>
      <w:r w:rsidR="00EC6B2E">
        <w:rPr>
          <w:rStyle w:val="FootnoteReference"/>
          <w:rFonts w:cs="Arial"/>
        </w:rPr>
        <w:footnoteReference w:id="3"/>
      </w:r>
    </w:p>
    <w:p w14:paraId="7470AC18" w14:textId="1EBA0651" w:rsidR="00B5784B" w:rsidRDefault="00E25A41" w:rsidP="009D2595">
      <w:pPr>
        <w:spacing w:line="480" w:lineRule="auto"/>
        <w:ind w:firstLine="720"/>
        <w:jc w:val="both"/>
        <w:rPr>
          <w:rFonts w:cs="Arial"/>
        </w:rPr>
      </w:pPr>
      <w:r>
        <w:rPr>
          <w:rFonts w:cs="Arial"/>
        </w:rPr>
        <w:t>As discussed above,</w:t>
      </w:r>
      <w:r w:rsidR="00D930E1">
        <w:rPr>
          <w:rFonts w:cs="Arial"/>
        </w:rPr>
        <w:t xml:space="preserve"> </w:t>
      </w:r>
      <w:r w:rsidR="00F73DDC">
        <w:rPr>
          <w:rFonts w:cs="Arial"/>
        </w:rPr>
        <w:t xml:space="preserve">IEU-Ohio members in the AEP-Ohio service territory have </w:t>
      </w:r>
      <w:r>
        <w:rPr>
          <w:rFonts w:cs="Arial"/>
        </w:rPr>
        <w:t>an “actual interest in the particular facts”</w:t>
      </w:r>
      <w:r w:rsidR="00C12C68">
        <w:rPr>
          <w:rFonts w:cs="Arial"/>
        </w:rPr>
        <w:t xml:space="preserve"> of this proceeding.</w:t>
      </w:r>
      <w:r w:rsidR="00542B5C">
        <w:rPr>
          <w:rFonts w:cs="Arial"/>
        </w:rPr>
        <w:t xml:space="preserve">  </w:t>
      </w:r>
      <w:r w:rsidR="00542B5C" w:rsidRPr="00542B5C">
        <w:rPr>
          <w:rFonts w:cs="Arial"/>
          <w:i/>
        </w:rPr>
        <w:t>Id</w:t>
      </w:r>
      <w:r w:rsidR="00542B5C">
        <w:rPr>
          <w:rFonts w:cs="Arial"/>
        </w:rPr>
        <w:t>.</w:t>
      </w:r>
      <w:r w:rsidR="00F73DDC">
        <w:rPr>
          <w:rFonts w:cs="Arial"/>
        </w:rPr>
        <w:t xml:space="preserve">  </w:t>
      </w:r>
      <w:r w:rsidR="00766BB5">
        <w:rPr>
          <w:rFonts w:cs="Arial"/>
        </w:rPr>
        <w:t xml:space="preserve">The pleadings </w:t>
      </w:r>
      <w:r w:rsidR="00C12C68">
        <w:rPr>
          <w:rFonts w:cs="Arial"/>
        </w:rPr>
        <w:t>place</w:t>
      </w:r>
      <w:r w:rsidR="00766BB5">
        <w:rPr>
          <w:rFonts w:cs="Arial"/>
        </w:rPr>
        <w:t xml:space="preserve"> in issue the resale restrictions contained in AEP-Ohio’s General Terms and Conditions.  </w:t>
      </w:r>
      <w:r w:rsidR="00542B5C">
        <w:rPr>
          <w:rFonts w:cs="Arial"/>
        </w:rPr>
        <w:t>I</w:t>
      </w:r>
      <w:r w:rsidR="00766BB5">
        <w:rPr>
          <w:rFonts w:cs="Arial"/>
        </w:rPr>
        <w:t>f the Commission revises</w:t>
      </w:r>
      <w:r w:rsidR="00542B5C">
        <w:rPr>
          <w:rFonts w:cs="Arial"/>
        </w:rPr>
        <w:t xml:space="preserve"> the resale restrictions, </w:t>
      </w:r>
      <w:r w:rsidR="00C12C68">
        <w:rPr>
          <w:rFonts w:cs="Arial"/>
        </w:rPr>
        <w:t>the</w:t>
      </w:r>
      <w:r w:rsidR="00542B5C">
        <w:rPr>
          <w:rFonts w:cs="Arial"/>
        </w:rPr>
        <w:t xml:space="preserve"> revision may impair or impede the </w:t>
      </w:r>
      <w:r w:rsidR="0090610D">
        <w:rPr>
          <w:rFonts w:cs="Arial"/>
        </w:rPr>
        <w:t xml:space="preserve">interests of commercial and industrial customers participating </w:t>
      </w:r>
      <w:r w:rsidR="001C69B4">
        <w:rPr>
          <w:rFonts w:cs="Arial"/>
        </w:rPr>
        <w:t>in or</w:t>
      </w:r>
      <w:r w:rsidR="0090610D">
        <w:rPr>
          <w:rFonts w:cs="Arial"/>
        </w:rPr>
        <w:t xml:space="preserve"> </w:t>
      </w:r>
      <w:r w:rsidR="001C69B4">
        <w:rPr>
          <w:rFonts w:cs="Arial"/>
        </w:rPr>
        <w:t>considering</w:t>
      </w:r>
      <w:r w:rsidR="0090610D">
        <w:rPr>
          <w:rFonts w:cs="Arial"/>
        </w:rPr>
        <w:t xml:space="preserve"> shared </w:t>
      </w:r>
      <w:r w:rsidR="0090610D">
        <w:rPr>
          <w:rFonts w:cs="Arial"/>
        </w:rPr>
        <w:lastRenderedPageBreak/>
        <w:t xml:space="preserve">service arrangements.  Accordingly, IEU-Ohio has an interest in the outcome </w:t>
      </w:r>
      <w:r w:rsidR="00C12C68">
        <w:rPr>
          <w:rFonts w:cs="Arial"/>
        </w:rPr>
        <w:t>of</w:t>
      </w:r>
      <w:r w:rsidR="0090610D">
        <w:rPr>
          <w:rFonts w:cs="Arial"/>
        </w:rPr>
        <w:t xml:space="preserve"> this proceeding</w:t>
      </w:r>
      <w:r w:rsidR="00766BB5">
        <w:rPr>
          <w:rFonts w:cs="Arial"/>
        </w:rPr>
        <w:t xml:space="preserve"> under R.C. 4903.221 and Rule 4901-1-11, OAC.</w:t>
      </w:r>
    </w:p>
    <w:p w14:paraId="21871872" w14:textId="77777777" w:rsidR="00250919" w:rsidRPr="006A5E12" w:rsidRDefault="00250919" w:rsidP="009D2595">
      <w:pPr>
        <w:pStyle w:val="ListParagraph"/>
        <w:numPr>
          <w:ilvl w:val="0"/>
          <w:numId w:val="1"/>
        </w:numPr>
        <w:jc w:val="both"/>
        <w:rPr>
          <w:rFonts w:ascii="Arial Bold" w:hAnsi="Arial Bold" w:cs="Arial"/>
          <w:b/>
          <w:caps/>
        </w:rPr>
      </w:pPr>
      <w:r w:rsidRPr="006A5E12">
        <w:rPr>
          <w:rFonts w:ascii="Arial Bold" w:hAnsi="Arial Bold" w:cs="Arial"/>
          <w:b/>
          <w:caps/>
        </w:rPr>
        <w:t xml:space="preserve">IEU-Ohio’s participation will not unduly </w:t>
      </w:r>
      <w:r w:rsidR="00D54300" w:rsidRPr="006A5E12">
        <w:rPr>
          <w:rFonts w:ascii="Arial Bold" w:hAnsi="Arial Bold" w:cs="Arial"/>
          <w:b/>
          <w:caps/>
        </w:rPr>
        <w:t>prolong or delay the proceedings</w:t>
      </w:r>
    </w:p>
    <w:p w14:paraId="56C18D7A" w14:textId="77777777" w:rsidR="00E63D6B" w:rsidRPr="00E63D6B" w:rsidRDefault="00E63D6B" w:rsidP="009D2595">
      <w:pPr>
        <w:pStyle w:val="ListParagraph"/>
        <w:ind w:left="1440"/>
        <w:jc w:val="both"/>
        <w:rPr>
          <w:rFonts w:cs="Arial"/>
          <w:b/>
        </w:rPr>
      </w:pPr>
    </w:p>
    <w:p w14:paraId="5A5D66C6" w14:textId="77777777" w:rsidR="00D54300" w:rsidRDefault="00D54300" w:rsidP="009D2595">
      <w:pPr>
        <w:spacing w:line="480" w:lineRule="auto"/>
        <w:jc w:val="both"/>
        <w:rPr>
          <w:rFonts w:eastAsia="Calibri"/>
        </w:rPr>
      </w:pPr>
      <w:r>
        <w:rPr>
          <w:rFonts w:cs="Arial"/>
        </w:rPr>
        <w:tab/>
      </w:r>
      <w:r w:rsidR="00F84071">
        <w:rPr>
          <w:rFonts w:cs="Arial"/>
        </w:rPr>
        <w:t xml:space="preserve">As IEU-Ohio explained in its </w:t>
      </w:r>
      <w:r w:rsidR="00E05C61">
        <w:rPr>
          <w:rFonts w:cs="Arial"/>
        </w:rPr>
        <w:t>M</w:t>
      </w:r>
      <w:r w:rsidR="00F84071">
        <w:rPr>
          <w:rFonts w:cs="Arial"/>
        </w:rPr>
        <w:t xml:space="preserve">otion to </w:t>
      </w:r>
      <w:r w:rsidR="00E05C61">
        <w:rPr>
          <w:rFonts w:cs="Arial"/>
        </w:rPr>
        <w:t>I</w:t>
      </w:r>
      <w:r w:rsidR="00F84071">
        <w:rPr>
          <w:rFonts w:cs="Arial"/>
        </w:rPr>
        <w:t>ntervene, it</w:t>
      </w:r>
      <w:r w:rsidR="00AB47D6">
        <w:rPr>
          <w:rFonts w:eastAsia="Calibri"/>
        </w:rPr>
        <w:t xml:space="preserve">s </w:t>
      </w:r>
      <w:r w:rsidR="00AB47D6" w:rsidRPr="0067423A">
        <w:rPr>
          <w:rFonts w:eastAsia="Calibri"/>
        </w:rPr>
        <w:t>participation will not unduly prolong or delay this proceeding</w:t>
      </w:r>
      <w:r w:rsidR="00AB47D6">
        <w:rPr>
          <w:rFonts w:eastAsia="Calibri"/>
        </w:rPr>
        <w:t>,</w:t>
      </w:r>
      <w:r w:rsidR="00AB47D6" w:rsidRPr="0067423A">
        <w:rPr>
          <w:rFonts w:eastAsia="Calibri"/>
        </w:rPr>
        <w:t xml:space="preserve"> and it will significantly contribute to the full development and equitable resolution of the factual and other issues.  </w:t>
      </w:r>
      <w:r w:rsidR="007567F0">
        <w:rPr>
          <w:rFonts w:eastAsia="Calibri"/>
        </w:rPr>
        <w:t>IEU-Ohio Motion to Intervene at 7.</w:t>
      </w:r>
      <w:r w:rsidR="005B7F28">
        <w:rPr>
          <w:rFonts w:eastAsia="Calibri"/>
        </w:rPr>
        <w:t xml:space="preserve">  It</w:t>
      </w:r>
      <w:r w:rsidR="00AB47D6">
        <w:rPr>
          <w:rFonts w:eastAsia="Calibri"/>
        </w:rPr>
        <w:t xml:space="preserve"> is familiar with the shared services agreements of commercial and industrial customers </w:t>
      </w:r>
      <w:r w:rsidR="001826B4">
        <w:rPr>
          <w:rFonts w:eastAsia="Calibri"/>
        </w:rPr>
        <w:t>that would be affected by a</w:t>
      </w:r>
      <w:r w:rsidR="00721DBA">
        <w:rPr>
          <w:rFonts w:eastAsia="Calibri"/>
        </w:rPr>
        <w:t xml:space="preserve"> revision of the resale restriction </w:t>
      </w:r>
      <w:r w:rsidR="00AB47D6">
        <w:rPr>
          <w:rFonts w:eastAsia="Calibri"/>
        </w:rPr>
        <w:t xml:space="preserve">and has been an active participant in the Commission’s investigation of submetering.  </w:t>
      </w:r>
      <w:r w:rsidR="00AB47D6" w:rsidRPr="00220CD1">
        <w:rPr>
          <w:rFonts w:eastAsia="Calibri"/>
          <w:i/>
        </w:rPr>
        <w:t>In the Matter of the Commission’s Investigation of Submetering in the State of Ohio</w:t>
      </w:r>
      <w:r w:rsidR="00AB47D6">
        <w:rPr>
          <w:rFonts w:eastAsia="Calibri"/>
        </w:rPr>
        <w:t xml:space="preserve">, Case No. 15-1594-AU-COI.  IEU-Ohio was also a participant in the electric transition proceedings when the Commission directed AEP-Ohio and other </w:t>
      </w:r>
      <w:r w:rsidR="005B7F28">
        <w:rPr>
          <w:rFonts w:eastAsia="Calibri"/>
        </w:rPr>
        <w:t xml:space="preserve">electric distribution </w:t>
      </w:r>
      <w:r w:rsidR="00AB47D6">
        <w:rPr>
          <w:rFonts w:eastAsia="Calibri"/>
        </w:rPr>
        <w:t xml:space="preserve">utilities to bring their tariff provisions into compliance with resale restrictions contained in Amended Substitute Senate Bill 3.  </w:t>
      </w:r>
      <w:r w:rsidR="00AB47D6" w:rsidRPr="00CB673C">
        <w:rPr>
          <w:rFonts w:eastAsia="Calibri"/>
          <w:i/>
        </w:rPr>
        <w:t>See</w:t>
      </w:r>
      <w:r w:rsidR="00AB47D6">
        <w:rPr>
          <w:rFonts w:eastAsia="Calibri"/>
        </w:rPr>
        <w:t xml:space="preserve"> </w:t>
      </w:r>
      <w:r w:rsidR="00AB47D6" w:rsidRPr="00CB673C">
        <w:rPr>
          <w:rFonts w:eastAsia="Calibri"/>
          <w:i/>
          <w:iCs/>
        </w:rPr>
        <w:t xml:space="preserve">In the Matter of the Application of First-Energy Corp. on Behalf of Ohio Edison Company, The Cleveland Electric Illuminating Company, and The Toledo Edison Company for Approval of Their Transition Plans and for Authorization to Collect Transition Revenues, </w:t>
      </w:r>
      <w:r w:rsidR="00AB47D6" w:rsidRPr="00CB673C">
        <w:rPr>
          <w:rFonts w:eastAsia="Calibri"/>
        </w:rPr>
        <w:t xml:space="preserve">PUCO Case Nos. 99-1212-EL-ETP, </w:t>
      </w:r>
      <w:r w:rsidR="00AB47D6" w:rsidRPr="00CB673C">
        <w:rPr>
          <w:rFonts w:eastAsia="Calibri"/>
          <w:i/>
        </w:rPr>
        <w:t>et al</w:t>
      </w:r>
      <w:r w:rsidR="00AB47D6" w:rsidRPr="00CB673C">
        <w:rPr>
          <w:rFonts w:eastAsia="Calibri"/>
        </w:rPr>
        <w:t xml:space="preserve">., Entry (Jan. 18, </w:t>
      </w:r>
      <w:r w:rsidR="00C90BD8">
        <w:rPr>
          <w:rFonts w:eastAsia="Calibri"/>
        </w:rPr>
        <w:t>2001)</w:t>
      </w:r>
      <w:r w:rsidR="00AB47D6" w:rsidRPr="00CB673C">
        <w:rPr>
          <w:rFonts w:eastAsia="Calibri"/>
        </w:rPr>
        <w:t xml:space="preserve">.  </w:t>
      </w:r>
      <w:r w:rsidR="003F619F">
        <w:rPr>
          <w:rFonts w:eastAsia="Calibri"/>
        </w:rPr>
        <w:t xml:space="preserve">Thus, IEU-Ohio can </w:t>
      </w:r>
      <w:r w:rsidR="003F619F" w:rsidRPr="0067423A">
        <w:rPr>
          <w:rFonts w:eastAsia="Calibri"/>
        </w:rPr>
        <w:t>significantly contribute to the full development and equitable resolution of the factual and other issues in this proceeding</w:t>
      </w:r>
      <w:r w:rsidR="00C90BD8">
        <w:rPr>
          <w:rFonts w:eastAsia="Calibri"/>
        </w:rPr>
        <w:t>.</w:t>
      </w:r>
    </w:p>
    <w:p w14:paraId="4C3C9185" w14:textId="7601368B" w:rsidR="00254DA5" w:rsidRDefault="00AB47D6" w:rsidP="009D2595">
      <w:pPr>
        <w:spacing w:line="480" w:lineRule="auto"/>
        <w:jc w:val="both"/>
        <w:rPr>
          <w:rFonts w:eastAsia="Calibri"/>
        </w:rPr>
      </w:pPr>
      <w:r>
        <w:rPr>
          <w:rFonts w:eastAsia="Calibri"/>
        </w:rPr>
        <w:tab/>
        <w:t xml:space="preserve">In its </w:t>
      </w:r>
      <w:r w:rsidR="00F510D3">
        <w:rPr>
          <w:rFonts w:eastAsia="Calibri"/>
        </w:rPr>
        <w:t>Memorandum</w:t>
      </w:r>
      <w:r w:rsidR="00647B9F">
        <w:rPr>
          <w:rFonts w:eastAsia="Calibri"/>
        </w:rPr>
        <w:t xml:space="preserve"> Contra, </w:t>
      </w:r>
      <w:r w:rsidR="00297EF8">
        <w:rPr>
          <w:rFonts w:eastAsia="Calibri"/>
        </w:rPr>
        <w:t xml:space="preserve">however, </w:t>
      </w:r>
      <w:r w:rsidR="00647B9F">
        <w:rPr>
          <w:rFonts w:eastAsia="Calibri"/>
        </w:rPr>
        <w:t xml:space="preserve">OCC </w:t>
      </w:r>
      <w:r w:rsidR="00F104F8">
        <w:rPr>
          <w:rFonts w:eastAsia="Calibri"/>
        </w:rPr>
        <w:t>states</w:t>
      </w:r>
      <w:r w:rsidR="00AB7B59">
        <w:rPr>
          <w:rFonts w:eastAsia="Calibri"/>
        </w:rPr>
        <w:t xml:space="preserve"> that IEU-Ohio should not be permitted to intervene because</w:t>
      </w:r>
      <w:r w:rsidR="00647B9F">
        <w:rPr>
          <w:rFonts w:eastAsia="Calibri"/>
        </w:rPr>
        <w:t xml:space="preserve"> “this proceeding will needlessly grow beyond the allegations contained in the residential Complaint to include the </w:t>
      </w:r>
      <w:r w:rsidR="00F510D3">
        <w:rPr>
          <w:rFonts w:eastAsia="Calibri"/>
        </w:rPr>
        <w:t>interests</w:t>
      </w:r>
      <w:r w:rsidR="00647B9F">
        <w:rPr>
          <w:rFonts w:eastAsia="Calibri"/>
        </w:rPr>
        <w:t xml:space="preserve"> of commercial and industrial customers</w:t>
      </w:r>
      <w:r w:rsidR="00AB7B59">
        <w:rPr>
          <w:rFonts w:eastAsia="Calibri"/>
        </w:rPr>
        <w:t>.</w:t>
      </w:r>
      <w:r w:rsidR="00647B9F">
        <w:rPr>
          <w:rFonts w:eastAsia="Calibri"/>
        </w:rPr>
        <w:t xml:space="preserve">” </w:t>
      </w:r>
      <w:r w:rsidR="00AB7B59">
        <w:rPr>
          <w:rFonts w:eastAsia="Calibri"/>
        </w:rPr>
        <w:t xml:space="preserve"> </w:t>
      </w:r>
      <w:r w:rsidR="00C90BD8">
        <w:rPr>
          <w:rFonts w:eastAsia="Calibri"/>
        </w:rPr>
        <w:t xml:space="preserve">OCC Memo Contra at </w:t>
      </w:r>
      <w:r w:rsidR="006565E0">
        <w:rPr>
          <w:rFonts w:eastAsia="Calibri"/>
        </w:rPr>
        <w:t>8.</w:t>
      </w:r>
      <w:r w:rsidR="00A47896">
        <w:rPr>
          <w:rFonts w:eastAsia="Calibri"/>
        </w:rPr>
        <w:t xml:space="preserve">  </w:t>
      </w:r>
    </w:p>
    <w:p w14:paraId="17379AD5" w14:textId="0A204566" w:rsidR="00AB47D6" w:rsidRDefault="00903284" w:rsidP="00042028">
      <w:pPr>
        <w:spacing w:line="480" w:lineRule="auto"/>
        <w:ind w:firstLine="720"/>
        <w:jc w:val="both"/>
        <w:rPr>
          <w:rFonts w:eastAsia="Calibri"/>
        </w:rPr>
      </w:pPr>
      <w:r>
        <w:rPr>
          <w:rFonts w:eastAsia="Calibri"/>
        </w:rPr>
        <w:lastRenderedPageBreak/>
        <w:t xml:space="preserve">As discussed above, however, </w:t>
      </w:r>
      <w:r w:rsidR="00DF49BE">
        <w:rPr>
          <w:rFonts w:eastAsia="Calibri"/>
        </w:rPr>
        <w:t xml:space="preserve">IEU-Ohio’s </w:t>
      </w:r>
      <w:r w:rsidR="003B115C">
        <w:rPr>
          <w:rFonts w:eastAsia="Calibri"/>
        </w:rPr>
        <w:t xml:space="preserve">participation </w:t>
      </w:r>
      <w:r w:rsidR="00AD1E35">
        <w:rPr>
          <w:rFonts w:eastAsia="Calibri"/>
        </w:rPr>
        <w:t>will</w:t>
      </w:r>
      <w:r w:rsidR="00DF49BE">
        <w:rPr>
          <w:rFonts w:eastAsia="Calibri"/>
        </w:rPr>
        <w:t xml:space="preserve"> not inject new issues into this proceeding.  The </w:t>
      </w:r>
      <w:r w:rsidR="006A52EE">
        <w:rPr>
          <w:rFonts w:eastAsia="Calibri"/>
        </w:rPr>
        <w:t>issues regarding resale restrictions</w:t>
      </w:r>
      <w:r w:rsidR="00DF49BE">
        <w:rPr>
          <w:rFonts w:eastAsia="Calibri"/>
        </w:rPr>
        <w:t xml:space="preserve"> that IEU-Ohio is concerned about are </w:t>
      </w:r>
      <w:r w:rsidR="003B115C">
        <w:rPr>
          <w:rFonts w:eastAsia="Calibri"/>
        </w:rPr>
        <w:t xml:space="preserve">the </w:t>
      </w:r>
      <w:r w:rsidR="00DF49BE">
        <w:rPr>
          <w:rFonts w:eastAsia="Calibri"/>
        </w:rPr>
        <w:t>result of the pleadings submitted by OCC and AEP-Ohio</w:t>
      </w:r>
      <w:r w:rsidR="00042028">
        <w:rPr>
          <w:rFonts w:eastAsia="Calibri"/>
        </w:rPr>
        <w:t xml:space="preserve">. </w:t>
      </w:r>
      <w:r w:rsidR="00740F6E">
        <w:rPr>
          <w:rFonts w:eastAsia="Calibri"/>
        </w:rPr>
        <w:t xml:space="preserve"> </w:t>
      </w:r>
      <w:r w:rsidR="00042028">
        <w:rPr>
          <w:rFonts w:eastAsia="Calibri"/>
        </w:rPr>
        <w:t xml:space="preserve">Because the pleadings squarely raise issues that </w:t>
      </w:r>
      <w:r w:rsidR="00512D58">
        <w:rPr>
          <w:rFonts w:eastAsia="Calibri"/>
        </w:rPr>
        <w:t>IEU-Ohio seeks to address</w:t>
      </w:r>
      <w:r w:rsidR="00042028">
        <w:rPr>
          <w:rFonts w:eastAsia="Calibri"/>
        </w:rPr>
        <w:t xml:space="preserve"> in this proceeding</w:t>
      </w:r>
      <w:r w:rsidR="00C81B03">
        <w:t xml:space="preserve">, </w:t>
      </w:r>
      <w:r w:rsidR="00A64FAB">
        <w:t xml:space="preserve">OCC’s </w:t>
      </w:r>
      <w:r w:rsidR="00C87BD1">
        <w:t>claim that IEU-Ohio’s intervention will unduly delay this proceeding is not correct</w:t>
      </w:r>
      <w:r w:rsidR="00A64FAB">
        <w:t xml:space="preserve">.  </w:t>
      </w:r>
    </w:p>
    <w:p w14:paraId="4B3BA05D" w14:textId="77777777" w:rsidR="00665E76" w:rsidRPr="006A5E12" w:rsidRDefault="00665E76" w:rsidP="009D2595">
      <w:pPr>
        <w:pStyle w:val="ListParagraph"/>
        <w:numPr>
          <w:ilvl w:val="0"/>
          <w:numId w:val="1"/>
        </w:numPr>
        <w:jc w:val="both"/>
        <w:rPr>
          <w:rFonts w:ascii="Arial Bold" w:eastAsia="Calibri" w:hAnsi="Arial Bold"/>
          <w:b/>
          <w:caps/>
        </w:rPr>
      </w:pPr>
      <w:r w:rsidRPr="006A5E12">
        <w:rPr>
          <w:rFonts w:ascii="Arial Bold" w:eastAsia="Calibri" w:hAnsi="Arial Bold"/>
          <w:b/>
          <w:caps/>
        </w:rPr>
        <w:t>No other party adequately represents the interests of IEU-Ohio in this matter</w:t>
      </w:r>
    </w:p>
    <w:p w14:paraId="4983F876" w14:textId="77777777" w:rsidR="00E63D6B" w:rsidRPr="00E63D6B" w:rsidRDefault="00E63D6B" w:rsidP="009D2595">
      <w:pPr>
        <w:pStyle w:val="ListParagraph"/>
        <w:ind w:left="1440"/>
        <w:jc w:val="both"/>
        <w:rPr>
          <w:rFonts w:eastAsia="Calibri"/>
          <w:b/>
        </w:rPr>
      </w:pPr>
    </w:p>
    <w:p w14:paraId="2AB801DA" w14:textId="4F8E7F95" w:rsidR="00F12E0E" w:rsidRDefault="008D5E04" w:rsidP="00D41A5C">
      <w:pPr>
        <w:spacing w:line="480" w:lineRule="auto"/>
        <w:jc w:val="both"/>
        <w:rPr>
          <w:rFonts w:eastAsia="Calibri"/>
        </w:rPr>
      </w:pPr>
      <w:r>
        <w:tab/>
      </w:r>
      <w:r w:rsidR="00960C66">
        <w:rPr>
          <w:rFonts w:eastAsia="Calibri"/>
        </w:rPr>
        <w:t>I</w:t>
      </w:r>
      <w:r>
        <w:rPr>
          <w:rFonts w:eastAsia="Calibri"/>
        </w:rPr>
        <w:t>n its Memorandum Contra, OCC asserts</w:t>
      </w:r>
      <w:r w:rsidR="00CD0584">
        <w:rPr>
          <w:rFonts w:eastAsia="Calibri"/>
        </w:rPr>
        <w:t xml:space="preserve"> </w:t>
      </w:r>
      <w:r w:rsidR="004E07E3">
        <w:rPr>
          <w:rFonts w:eastAsia="Calibri"/>
        </w:rPr>
        <w:t>IEU-Ohio’s</w:t>
      </w:r>
      <w:r w:rsidR="00CD0584">
        <w:rPr>
          <w:rFonts w:eastAsia="Calibri"/>
        </w:rPr>
        <w:t xml:space="preserve"> participation </w:t>
      </w:r>
      <w:r w:rsidR="004E07E3">
        <w:rPr>
          <w:rFonts w:eastAsia="Calibri"/>
        </w:rPr>
        <w:t>is</w:t>
      </w:r>
      <w:r w:rsidR="00CD0584">
        <w:rPr>
          <w:rFonts w:eastAsia="Calibri"/>
        </w:rPr>
        <w:t xml:space="preserve"> “unnecessary</w:t>
      </w:r>
      <w:r w:rsidR="00D41A5C">
        <w:rPr>
          <w:rFonts w:eastAsia="Calibri"/>
        </w:rPr>
        <w:t>.”</w:t>
      </w:r>
      <w:r w:rsidR="00CD0584">
        <w:rPr>
          <w:rFonts w:eastAsia="Calibri"/>
        </w:rPr>
        <w:t xml:space="preserve">  OCC Memorandum </w:t>
      </w:r>
      <w:r w:rsidR="00DD7DBE">
        <w:rPr>
          <w:rFonts w:eastAsia="Calibri"/>
        </w:rPr>
        <w:t>Contra</w:t>
      </w:r>
      <w:r w:rsidR="00CD0584">
        <w:rPr>
          <w:rFonts w:eastAsia="Calibri"/>
        </w:rPr>
        <w:t xml:space="preserve"> at 9.</w:t>
      </w:r>
      <w:r w:rsidR="003211AC">
        <w:rPr>
          <w:rFonts w:eastAsia="Calibri"/>
        </w:rPr>
        <w:t xml:space="preserve">  </w:t>
      </w:r>
      <w:bookmarkStart w:id="0" w:name="_GoBack"/>
      <w:bookmarkEnd w:id="0"/>
      <w:r w:rsidR="00F1329E">
        <w:t xml:space="preserve">As IEU-Ohio demonstrated in its Motion to Intervene, however, </w:t>
      </w:r>
      <w:r w:rsidR="00F1329E" w:rsidRPr="0067423A">
        <w:rPr>
          <w:rFonts w:eastAsia="Calibri"/>
        </w:rPr>
        <w:t xml:space="preserve">the interests of IEU-Ohio will not be adequately represented by </w:t>
      </w:r>
      <w:r w:rsidR="00F1329E">
        <w:rPr>
          <w:rFonts w:eastAsia="Calibri"/>
        </w:rPr>
        <w:t xml:space="preserve">OCC and AEP-Ohio.  IEU-Ohio Motion to Intervene at 7.  </w:t>
      </w:r>
      <w:r w:rsidR="003211AC">
        <w:rPr>
          <w:rFonts w:eastAsia="Calibri"/>
        </w:rPr>
        <w:t xml:space="preserve">OCC brought the complaint as the residential advocate.  </w:t>
      </w:r>
      <w:r w:rsidR="00580E6D">
        <w:rPr>
          <w:rFonts w:eastAsia="Calibri"/>
        </w:rPr>
        <w:t xml:space="preserve">AEP-Ohio’s interest is in protecting its service territory and increasing its revenue.  Neither has any duty or </w:t>
      </w:r>
      <w:r w:rsidR="00D9527C">
        <w:rPr>
          <w:rFonts w:eastAsia="Calibri"/>
        </w:rPr>
        <w:t>incentive</w:t>
      </w:r>
      <w:r w:rsidR="00580E6D">
        <w:rPr>
          <w:rFonts w:eastAsia="Calibri"/>
        </w:rPr>
        <w:t xml:space="preserve"> </w:t>
      </w:r>
      <w:r w:rsidR="00D9527C">
        <w:rPr>
          <w:rFonts w:eastAsia="Calibri"/>
        </w:rPr>
        <w:t>to assure</w:t>
      </w:r>
      <w:r w:rsidR="00580E6D">
        <w:rPr>
          <w:rFonts w:eastAsia="Calibri"/>
        </w:rPr>
        <w:t xml:space="preserve"> that </w:t>
      </w:r>
      <w:r w:rsidR="00D9527C">
        <w:rPr>
          <w:rFonts w:eastAsia="Calibri"/>
        </w:rPr>
        <w:t xml:space="preserve">the interests of </w:t>
      </w:r>
      <w:r w:rsidR="00580E6D">
        <w:rPr>
          <w:rFonts w:eastAsia="Calibri"/>
        </w:rPr>
        <w:t>commercial and industrial customer</w:t>
      </w:r>
      <w:r w:rsidR="00A14D43">
        <w:rPr>
          <w:rFonts w:eastAsia="Calibri"/>
        </w:rPr>
        <w:t>s</w:t>
      </w:r>
      <w:r w:rsidR="00580E6D">
        <w:rPr>
          <w:rFonts w:eastAsia="Calibri"/>
        </w:rPr>
        <w:t xml:space="preserve"> </w:t>
      </w:r>
      <w:r w:rsidR="00D9527C">
        <w:rPr>
          <w:rFonts w:eastAsia="Calibri"/>
        </w:rPr>
        <w:t xml:space="preserve">that may be impaired by the outcome of this proceeding </w:t>
      </w:r>
      <w:r w:rsidR="00580E6D">
        <w:rPr>
          <w:rFonts w:eastAsia="Calibri"/>
        </w:rPr>
        <w:t xml:space="preserve">are identified and </w:t>
      </w:r>
      <w:r w:rsidR="00D9527C">
        <w:rPr>
          <w:rFonts w:eastAsia="Calibri"/>
        </w:rPr>
        <w:t>protected</w:t>
      </w:r>
      <w:r w:rsidR="00580E6D">
        <w:rPr>
          <w:rFonts w:eastAsia="Calibri"/>
        </w:rPr>
        <w:t>.</w:t>
      </w:r>
      <w:r w:rsidR="008822EF">
        <w:rPr>
          <w:rStyle w:val="FootnoteReference"/>
          <w:rFonts w:eastAsia="Calibri"/>
        </w:rPr>
        <w:footnoteReference w:id="4"/>
      </w:r>
      <w:r w:rsidR="00580E6D">
        <w:rPr>
          <w:rFonts w:eastAsia="Calibri"/>
        </w:rPr>
        <w:t xml:space="preserve">  </w:t>
      </w:r>
    </w:p>
    <w:p w14:paraId="702BD3DF" w14:textId="77777777" w:rsidR="004F5AB4" w:rsidRPr="006A5E12" w:rsidRDefault="000D04B5" w:rsidP="009D2595">
      <w:pPr>
        <w:pStyle w:val="ListParagraph"/>
        <w:numPr>
          <w:ilvl w:val="0"/>
          <w:numId w:val="1"/>
        </w:numPr>
        <w:spacing w:line="480" w:lineRule="auto"/>
        <w:jc w:val="both"/>
        <w:rPr>
          <w:rFonts w:ascii="Arial Bold" w:eastAsia="Calibri" w:hAnsi="Arial Bold"/>
          <w:b/>
          <w:caps/>
          <w:u w:val="single"/>
        </w:rPr>
      </w:pPr>
      <w:r w:rsidRPr="006A5E12">
        <w:rPr>
          <w:rFonts w:ascii="Arial Bold" w:eastAsia="Calibri" w:hAnsi="Arial Bold"/>
          <w:b/>
          <w:caps/>
        </w:rPr>
        <w:t>Conclusion</w:t>
      </w:r>
      <w:r w:rsidRPr="006A5E12">
        <w:rPr>
          <w:rFonts w:ascii="Arial Bold" w:eastAsia="Calibri" w:hAnsi="Arial Bold"/>
          <w:b/>
          <w:caps/>
          <w:u w:val="single"/>
        </w:rPr>
        <w:t xml:space="preserve"> </w:t>
      </w:r>
    </w:p>
    <w:p w14:paraId="5C6BFD62" w14:textId="377478B3" w:rsidR="004F5AB4" w:rsidRDefault="00EA3F36" w:rsidP="00856167">
      <w:pPr>
        <w:spacing w:line="480" w:lineRule="auto"/>
        <w:ind w:firstLine="720"/>
        <w:jc w:val="both"/>
        <w:rPr>
          <w:rFonts w:cs="Arial"/>
        </w:rPr>
      </w:pPr>
      <w:r w:rsidRPr="00EA3F36">
        <w:rPr>
          <w:rFonts w:eastAsia="Calibri"/>
        </w:rPr>
        <w:lastRenderedPageBreak/>
        <w:t xml:space="preserve">Based on the pleadings, IEU-Ohio has a real and substantial interest in this case and is so situated that </w:t>
      </w:r>
      <w:r w:rsidR="00F104F8">
        <w:rPr>
          <w:rFonts w:eastAsia="Calibri"/>
        </w:rPr>
        <w:t>its</w:t>
      </w:r>
      <w:r w:rsidRPr="00EA3F36">
        <w:rPr>
          <w:rFonts w:eastAsia="Calibri"/>
        </w:rPr>
        <w:t xml:space="preserve"> disposition may, as a practical matter, impair or impede its ability to protect that interest.  </w:t>
      </w:r>
      <w:r w:rsidR="00CF5908">
        <w:rPr>
          <w:rFonts w:cs="Arial"/>
        </w:rPr>
        <w:t>IEU-Ohio’s</w:t>
      </w:r>
      <w:r w:rsidR="00D031CD">
        <w:rPr>
          <w:rFonts w:cs="Arial"/>
        </w:rPr>
        <w:t xml:space="preserve"> intervention </w:t>
      </w:r>
      <w:r w:rsidR="0061594A">
        <w:rPr>
          <w:rFonts w:cs="Arial"/>
        </w:rPr>
        <w:t>will significantly contribute to the proceeding</w:t>
      </w:r>
      <w:r w:rsidR="00010BF3">
        <w:rPr>
          <w:rFonts w:cs="Arial"/>
        </w:rPr>
        <w:t xml:space="preserve"> without</w:t>
      </w:r>
      <w:r w:rsidR="00D031CD">
        <w:rPr>
          <w:rFonts w:cs="Arial"/>
        </w:rPr>
        <w:t xml:space="preserve"> unduly </w:t>
      </w:r>
      <w:r w:rsidR="0061594A">
        <w:rPr>
          <w:rFonts w:cs="Arial"/>
        </w:rPr>
        <w:t>prolong</w:t>
      </w:r>
      <w:r w:rsidR="00010BF3">
        <w:rPr>
          <w:rFonts w:cs="Arial"/>
        </w:rPr>
        <w:t>ing</w:t>
      </w:r>
      <w:r w:rsidR="0061594A">
        <w:rPr>
          <w:rFonts w:cs="Arial"/>
        </w:rPr>
        <w:t xml:space="preserve"> or delay</w:t>
      </w:r>
      <w:r w:rsidR="00010BF3">
        <w:rPr>
          <w:rFonts w:cs="Arial"/>
        </w:rPr>
        <w:t xml:space="preserve">ing </w:t>
      </w:r>
      <w:r w:rsidR="00821CE4">
        <w:rPr>
          <w:rFonts w:cs="Arial"/>
        </w:rPr>
        <w:t>it</w:t>
      </w:r>
      <w:r w:rsidR="00010BF3">
        <w:rPr>
          <w:rFonts w:cs="Arial"/>
        </w:rPr>
        <w:t>.  Further,</w:t>
      </w:r>
      <w:r w:rsidR="0061594A">
        <w:rPr>
          <w:rFonts w:cs="Arial"/>
        </w:rPr>
        <w:t xml:space="preserve"> no other party</w:t>
      </w:r>
      <w:r w:rsidR="00155A62">
        <w:rPr>
          <w:rFonts w:cs="Arial"/>
        </w:rPr>
        <w:t xml:space="preserve"> </w:t>
      </w:r>
      <w:r w:rsidR="00675D2F">
        <w:rPr>
          <w:rFonts w:cs="Arial"/>
        </w:rPr>
        <w:t xml:space="preserve">will represent IEU-Ohio’s interests </w:t>
      </w:r>
      <w:r w:rsidR="00155A62">
        <w:rPr>
          <w:rFonts w:cs="Arial"/>
        </w:rPr>
        <w:t>in the case.  Accordingly, the Commission should grant IEU-Ohio’s Motion to Intervene</w:t>
      </w:r>
      <w:r w:rsidR="0009563D">
        <w:rPr>
          <w:rFonts w:cs="Arial"/>
        </w:rPr>
        <w:t xml:space="preserve"> under R.C. 4903.221 and Rule 4901-1-11, OAC</w:t>
      </w:r>
      <w:r w:rsidR="00155A62">
        <w:rPr>
          <w:rFonts w:cs="Arial"/>
        </w:rPr>
        <w:t>.</w:t>
      </w:r>
    </w:p>
    <w:p w14:paraId="35E47DAE" w14:textId="77777777" w:rsidR="00E53859" w:rsidRPr="009E7E23" w:rsidRDefault="00E53859" w:rsidP="00E53859">
      <w:pPr>
        <w:tabs>
          <w:tab w:val="left" w:pos="4320"/>
          <w:tab w:val="right" w:pos="8640"/>
        </w:tabs>
        <w:jc w:val="both"/>
        <w:rPr>
          <w:rFonts w:eastAsia="Calibri" w:cs="Arial"/>
        </w:rPr>
      </w:pPr>
      <w:r>
        <w:rPr>
          <w:rFonts w:eastAsia="Calibri" w:cs="Arial"/>
        </w:rPr>
        <w:tab/>
      </w:r>
      <w:r w:rsidRPr="009E7E23">
        <w:rPr>
          <w:rFonts w:eastAsia="Calibri" w:cs="Arial"/>
        </w:rPr>
        <w:t>Respectfully submitted,</w:t>
      </w:r>
    </w:p>
    <w:p w14:paraId="19B65754" w14:textId="77777777" w:rsidR="00E53859" w:rsidRPr="009E7E23" w:rsidRDefault="00E53859" w:rsidP="00E53859">
      <w:pPr>
        <w:tabs>
          <w:tab w:val="left" w:pos="4320"/>
          <w:tab w:val="right" w:pos="8640"/>
        </w:tabs>
        <w:jc w:val="both"/>
        <w:rPr>
          <w:rFonts w:eastAsia="Calibri" w:cs="Arial"/>
        </w:rPr>
      </w:pPr>
    </w:p>
    <w:p w14:paraId="0340E033" w14:textId="77777777" w:rsidR="00E53859" w:rsidRPr="009E7E23" w:rsidRDefault="00E53859" w:rsidP="00E53859">
      <w:pPr>
        <w:tabs>
          <w:tab w:val="left" w:pos="4320"/>
          <w:tab w:val="right" w:pos="8640"/>
        </w:tabs>
        <w:jc w:val="both"/>
        <w:rPr>
          <w:rFonts w:eastAsia="Calibri" w:cs="Arial"/>
        </w:rPr>
      </w:pPr>
    </w:p>
    <w:p w14:paraId="6AE5BE38" w14:textId="77777777" w:rsidR="00E53859" w:rsidRPr="009E7E23" w:rsidRDefault="00E53859" w:rsidP="00E53859">
      <w:pPr>
        <w:tabs>
          <w:tab w:val="left" w:pos="4320"/>
          <w:tab w:val="right" w:pos="8640"/>
        </w:tabs>
        <w:jc w:val="both"/>
        <w:rPr>
          <w:rFonts w:eastAsia="Calibri" w:cs="Arial"/>
          <w:u w:val="single"/>
        </w:rPr>
      </w:pPr>
      <w:r w:rsidRPr="009E7E23">
        <w:rPr>
          <w:rFonts w:eastAsia="Calibri" w:cs="Arial"/>
        </w:rPr>
        <w:tab/>
      </w:r>
      <w:r w:rsidRPr="009E7E23">
        <w:rPr>
          <w:rFonts w:eastAsia="Calibri" w:cs="Arial"/>
          <w:i/>
          <w:u w:val="single"/>
        </w:rPr>
        <w:t>/s/</w:t>
      </w:r>
      <w:r w:rsidRPr="009E7E23">
        <w:rPr>
          <w:rFonts w:eastAsia="Calibri" w:cs="Arial"/>
          <w:u w:val="single"/>
        </w:rPr>
        <w:t xml:space="preserve"> </w:t>
      </w:r>
      <w:r>
        <w:rPr>
          <w:rFonts w:eastAsia="Calibri" w:cs="Arial"/>
          <w:i/>
          <w:u w:val="single"/>
        </w:rPr>
        <w:t>Frank P. Darr</w:t>
      </w:r>
      <w:r w:rsidRPr="009E7E23">
        <w:rPr>
          <w:rFonts w:eastAsia="Calibri" w:cs="Arial"/>
          <w:u w:val="single"/>
        </w:rPr>
        <w:tab/>
      </w:r>
    </w:p>
    <w:p w14:paraId="0ABF654F" w14:textId="77777777" w:rsidR="00E53859" w:rsidRPr="009E7E23" w:rsidRDefault="00E53859" w:rsidP="00E53859">
      <w:pPr>
        <w:widowControl w:val="0"/>
        <w:tabs>
          <w:tab w:val="left" w:pos="4320"/>
        </w:tabs>
        <w:ind w:left="4320"/>
        <w:rPr>
          <w:rFonts w:eastAsia="Calibri" w:cs="Arial"/>
          <w:bCs/>
        </w:rPr>
      </w:pPr>
      <w:r w:rsidRPr="009E7E23">
        <w:rPr>
          <w:rFonts w:eastAsia="Calibri" w:cs="Arial"/>
          <w:bCs/>
        </w:rPr>
        <w:t>Frank P. Darr (Reg. No. 0025469)</w:t>
      </w:r>
    </w:p>
    <w:p w14:paraId="6B9E2E96" w14:textId="77777777" w:rsidR="00E53859" w:rsidRPr="009E7E23" w:rsidRDefault="00E53859" w:rsidP="00E53859">
      <w:pPr>
        <w:widowControl w:val="0"/>
        <w:tabs>
          <w:tab w:val="left" w:pos="4320"/>
        </w:tabs>
        <w:ind w:left="4320"/>
        <w:rPr>
          <w:rFonts w:eastAsia="Calibri" w:cs="Arial"/>
          <w:b/>
          <w:bCs/>
        </w:rPr>
      </w:pPr>
      <w:r w:rsidRPr="009E7E23">
        <w:rPr>
          <w:rFonts w:eastAsia="Calibri" w:cs="Arial"/>
          <w:bCs/>
        </w:rPr>
        <w:t>Matthew R. Pritchard (Reg. No. 0088070)</w:t>
      </w:r>
    </w:p>
    <w:p w14:paraId="2E6E14BF" w14:textId="77777777" w:rsidR="00E53859" w:rsidRPr="009E7E23" w:rsidRDefault="00E53859" w:rsidP="00E53859">
      <w:pPr>
        <w:widowControl w:val="0"/>
        <w:tabs>
          <w:tab w:val="left" w:pos="4320"/>
        </w:tabs>
        <w:ind w:left="4320"/>
        <w:rPr>
          <w:rFonts w:eastAsia="Calibri" w:cs="Arial"/>
          <w:b/>
          <w:bCs/>
          <w:smallCaps/>
        </w:rPr>
      </w:pPr>
      <w:r w:rsidRPr="009E7E23">
        <w:rPr>
          <w:rFonts w:eastAsia="Calibri" w:cs="Arial"/>
          <w:bCs/>
          <w:smallCaps/>
        </w:rPr>
        <w:t>McNees Wallace &amp; Nurick LLC</w:t>
      </w:r>
    </w:p>
    <w:p w14:paraId="501EBEB9" w14:textId="77777777" w:rsidR="00E53859" w:rsidRPr="009E7E23" w:rsidRDefault="00E53859" w:rsidP="00E53859">
      <w:pPr>
        <w:widowControl w:val="0"/>
        <w:tabs>
          <w:tab w:val="left" w:pos="4320"/>
        </w:tabs>
        <w:ind w:left="4320"/>
        <w:rPr>
          <w:rFonts w:eastAsia="Calibri" w:cs="Arial"/>
          <w:b/>
          <w:bCs/>
        </w:rPr>
      </w:pPr>
      <w:r w:rsidRPr="009E7E23">
        <w:rPr>
          <w:rFonts w:eastAsia="Calibri" w:cs="Arial"/>
          <w:bCs/>
        </w:rPr>
        <w:t>21 East State Street, 17</w:t>
      </w:r>
      <w:r w:rsidRPr="009E7E23">
        <w:rPr>
          <w:rFonts w:eastAsia="Calibri" w:cs="Arial"/>
          <w:bCs/>
          <w:vertAlign w:val="superscript"/>
        </w:rPr>
        <w:t>TH</w:t>
      </w:r>
      <w:r w:rsidRPr="009E7E23">
        <w:rPr>
          <w:rFonts w:eastAsia="Calibri" w:cs="Arial"/>
          <w:bCs/>
        </w:rPr>
        <w:t xml:space="preserve"> Floor</w:t>
      </w:r>
    </w:p>
    <w:p w14:paraId="4687A928" w14:textId="77777777" w:rsidR="00E53859" w:rsidRPr="009E7E23" w:rsidRDefault="00E53859" w:rsidP="00E5385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9E7E23">
        <w:rPr>
          <w:rFonts w:eastAsia="Calibri" w:cs="Arial"/>
        </w:rPr>
        <w:t>Columbus, OH  43215</w:t>
      </w:r>
    </w:p>
    <w:p w14:paraId="5D71373A" w14:textId="77777777" w:rsidR="00E53859" w:rsidRPr="009E7E23" w:rsidRDefault="00E53859" w:rsidP="00E5385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9E7E23">
        <w:rPr>
          <w:rFonts w:eastAsia="Calibri" w:cs="Arial"/>
        </w:rPr>
        <w:t>Telephone:  (614) 469-8000</w:t>
      </w:r>
    </w:p>
    <w:p w14:paraId="5B6081C9" w14:textId="77777777" w:rsidR="00E53859" w:rsidRPr="009E7E23" w:rsidRDefault="00E53859" w:rsidP="00E53859">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sidRPr="009E7E23">
        <w:rPr>
          <w:rFonts w:eastAsia="Calibri" w:cs="Arial"/>
        </w:rPr>
        <w:t>Telecopier:  (614) 469-4653</w:t>
      </w:r>
    </w:p>
    <w:p w14:paraId="205FF46E" w14:textId="77777777" w:rsidR="00E53859" w:rsidRPr="009E7E23" w:rsidRDefault="005D74B0" w:rsidP="00E53859">
      <w:pPr>
        <w:tabs>
          <w:tab w:val="left" w:pos="-1440"/>
          <w:tab w:val="left" w:pos="-720"/>
          <w:tab w:val="left" w:pos="5040"/>
          <w:tab w:val="center" w:pos="7200"/>
        </w:tabs>
        <w:overflowPunct w:val="0"/>
        <w:autoSpaceDE w:val="0"/>
        <w:autoSpaceDN w:val="0"/>
        <w:adjustRightInd w:val="0"/>
        <w:ind w:left="4320"/>
        <w:rPr>
          <w:rFonts w:eastAsia="Calibri" w:cs="Arial"/>
          <w:color w:val="000000"/>
        </w:rPr>
      </w:pPr>
      <w:hyperlink r:id="rId14" w:history="1">
        <w:r w:rsidR="00E53859" w:rsidRPr="009E7E23">
          <w:rPr>
            <w:rFonts w:eastAsia="Calibri" w:cs="Arial"/>
            <w:color w:val="000000"/>
          </w:rPr>
          <w:t>fdarr@mwncmh.com</w:t>
        </w:r>
      </w:hyperlink>
    </w:p>
    <w:p w14:paraId="1C30F5D5" w14:textId="77777777" w:rsidR="00E53859" w:rsidRPr="009E7E23" w:rsidRDefault="00E53859" w:rsidP="00E5385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9E7E23">
        <w:rPr>
          <w:rFonts w:eastAsia="Calibri" w:cs="Arial"/>
          <w:color w:val="000000"/>
        </w:rPr>
        <w:t>(willing to accept service by e-mail)</w:t>
      </w:r>
    </w:p>
    <w:p w14:paraId="1D53A600" w14:textId="77777777" w:rsidR="00E53859" w:rsidRPr="009E7E23" w:rsidRDefault="00E53859" w:rsidP="00E53859">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9E7E23">
        <w:rPr>
          <w:rFonts w:eastAsia="Calibri" w:cs="Arial"/>
          <w:color w:val="000000"/>
        </w:rPr>
        <w:t>mpritchard@mwncmh.com</w:t>
      </w:r>
    </w:p>
    <w:p w14:paraId="2D141BA1" w14:textId="77777777" w:rsidR="00E53859" w:rsidRPr="009E7E23" w:rsidRDefault="00E53859" w:rsidP="00E5385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9E7E23">
        <w:rPr>
          <w:rFonts w:eastAsia="Calibri" w:cs="Arial"/>
          <w:color w:val="000000"/>
        </w:rPr>
        <w:t>(willing to accept service by e-mail)</w:t>
      </w:r>
    </w:p>
    <w:p w14:paraId="7774A9DB" w14:textId="77777777" w:rsidR="00E53859" w:rsidRPr="009E7E23" w:rsidRDefault="00E53859" w:rsidP="00E53859">
      <w:pPr>
        <w:tabs>
          <w:tab w:val="left" w:pos="4320"/>
          <w:tab w:val="right" w:pos="8640"/>
        </w:tabs>
        <w:ind w:left="4320"/>
        <w:jc w:val="both"/>
        <w:rPr>
          <w:rFonts w:eastAsia="Calibri"/>
        </w:rPr>
      </w:pPr>
      <w:r w:rsidRPr="009E7E23">
        <w:rPr>
          <w:rFonts w:eastAsia="Calibri"/>
        </w:rPr>
        <w:tab/>
      </w:r>
      <w:r w:rsidRPr="009E7E23">
        <w:rPr>
          <w:rFonts w:eastAsia="Calibri"/>
        </w:rPr>
        <w:tab/>
      </w:r>
    </w:p>
    <w:p w14:paraId="51A52381" w14:textId="77777777" w:rsidR="009039E9" w:rsidRDefault="00E53859" w:rsidP="00E53859">
      <w:pPr>
        <w:tabs>
          <w:tab w:val="left" w:pos="4320"/>
        </w:tabs>
        <w:rPr>
          <w:rFonts w:cs="Arial"/>
          <w:b/>
        </w:rPr>
        <w:sectPr w:rsidR="009039E9" w:rsidSect="009039E9">
          <w:pgSz w:w="12240" w:h="15840" w:code="1"/>
          <w:pgMar w:top="1440" w:right="1440" w:bottom="1440" w:left="1440" w:header="720" w:footer="720" w:gutter="0"/>
          <w:pgNumType w:start="1"/>
          <w:cols w:space="720"/>
          <w:titlePg/>
          <w:docGrid w:linePitch="360"/>
        </w:sectPr>
      </w:pPr>
      <w:r w:rsidRPr="009E7E23">
        <w:rPr>
          <w:rFonts w:cs="Arial"/>
          <w:b/>
        </w:rPr>
        <w:tab/>
        <w:t>Attorneys for Industrial Energy Users-Ohio</w:t>
      </w:r>
    </w:p>
    <w:p w14:paraId="474FE9E6" w14:textId="77777777" w:rsidR="008024B7" w:rsidRPr="008024B7" w:rsidRDefault="008024B7" w:rsidP="008024B7">
      <w:pPr>
        <w:tabs>
          <w:tab w:val="left" w:pos="2160"/>
          <w:tab w:val="left" w:pos="2280"/>
        </w:tabs>
        <w:jc w:val="center"/>
        <w:rPr>
          <w:rFonts w:eastAsia="Calibri" w:cs="Arial"/>
          <w:b/>
          <w:smallCaps/>
          <w:sz w:val="28"/>
          <w:u w:val="single"/>
        </w:rPr>
      </w:pPr>
      <w:r w:rsidRPr="008024B7">
        <w:rPr>
          <w:rFonts w:eastAsia="Calibri" w:cs="Arial"/>
          <w:b/>
          <w:smallCaps/>
          <w:sz w:val="28"/>
          <w:u w:val="single"/>
        </w:rPr>
        <w:lastRenderedPageBreak/>
        <w:t>Certificate of Service</w:t>
      </w:r>
    </w:p>
    <w:p w14:paraId="5FCCF4D2" w14:textId="77777777" w:rsidR="008024B7" w:rsidRPr="008024B7" w:rsidRDefault="008024B7" w:rsidP="008024B7">
      <w:pPr>
        <w:rPr>
          <w:rFonts w:eastAsia="Calibri" w:cs="Arial"/>
        </w:rPr>
      </w:pPr>
    </w:p>
    <w:p w14:paraId="54D8F514" w14:textId="77777777" w:rsidR="008024B7" w:rsidRPr="008024B7" w:rsidRDefault="008024B7" w:rsidP="008024B7">
      <w:pPr>
        <w:spacing w:line="480" w:lineRule="auto"/>
        <w:ind w:firstLine="720"/>
        <w:jc w:val="both"/>
        <w:rPr>
          <w:rFonts w:eastAsia="Times New Roman" w:cs="Arial"/>
          <w:b/>
          <w:smallCaps/>
        </w:rPr>
      </w:pPr>
      <w:r w:rsidRPr="008024B7">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01096A">
        <w:rPr>
          <w:rFonts w:eastAsia="Times New Roman" w:cs="Arial"/>
          <w:i/>
        </w:rPr>
        <w:t>Reply of Industrial Energy Users-Ohio to a Memorandum Opposing its Motion to Intervene by the Office of the Ohio Consumers’ Counsel</w:t>
      </w:r>
      <w:r w:rsidRPr="008024B7">
        <w:rPr>
          <w:rFonts w:eastAsia="Times New Roman" w:cs="Arial"/>
        </w:rPr>
        <w:t xml:space="preserve"> was sent by, or on behalf of, the undersigned counsel for Industrial Energy Users-Ohio to the following parties of record </w:t>
      </w:r>
      <w:r w:rsidR="006F0C66">
        <w:rPr>
          <w:rFonts w:eastAsia="Times New Roman" w:cs="Arial"/>
        </w:rPr>
        <w:t>June 1</w:t>
      </w:r>
      <w:r w:rsidRPr="008024B7">
        <w:rPr>
          <w:rFonts w:eastAsia="Times New Roman" w:cs="Arial"/>
        </w:rPr>
        <w:t xml:space="preserve">, 2016, </w:t>
      </w:r>
      <w:r w:rsidRPr="008024B7">
        <w:rPr>
          <w:rFonts w:eastAsia="Times New Roman" w:cs="Arial"/>
          <w:i/>
        </w:rPr>
        <w:t>via</w:t>
      </w:r>
      <w:r w:rsidRPr="008024B7">
        <w:rPr>
          <w:rFonts w:eastAsia="Times New Roman" w:cs="Arial"/>
        </w:rPr>
        <w:t xml:space="preserve"> electronic transmission. </w:t>
      </w:r>
    </w:p>
    <w:p w14:paraId="223EE379" w14:textId="77777777" w:rsidR="008024B7" w:rsidRPr="008024B7" w:rsidRDefault="008024B7" w:rsidP="008024B7">
      <w:pPr>
        <w:tabs>
          <w:tab w:val="right" w:pos="8640"/>
        </w:tabs>
        <w:ind w:left="5040"/>
        <w:rPr>
          <w:rFonts w:eastAsia="Calibri" w:cs="Arial"/>
          <w:i/>
          <w:u w:val="single"/>
        </w:rPr>
      </w:pPr>
      <w:r w:rsidRPr="008024B7">
        <w:rPr>
          <w:rFonts w:eastAsia="Calibri" w:cs="Arial"/>
          <w:i/>
          <w:u w:val="single"/>
        </w:rPr>
        <w:t>/s/ Frank P. Darr</w:t>
      </w:r>
      <w:r w:rsidRPr="008024B7">
        <w:rPr>
          <w:rFonts w:eastAsia="Calibri" w:cs="Arial"/>
          <w:i/>
          <w:u w:val="single"/>
        </w:rPr>
        <w:tab/>
      </w:r>
    </w:p>
    <w:p w14:paraId="61A95F50" w14:textId="77777777" w:rsidR="008024B7" w:rsidRPr="008024B7" w:rsidRDefault="008024B7" w:rsidP="008024B7">
      <w:pPr>
        <w:autoSpaceDE w:val="0"/>
        <w:autoSpaceDN w:val="0"/>
        <w:adjustRightInd w:val="0"/>
        <w:snapToGrid w:val="0"/>
        <w:rPr>
          <w:rFonts w:ascii="TimesNewRomanPSMT" w:eastAsia="Times New Roman" w:hAnsi="TimesNewRomanPSMT" w:cs="TimesNewRomanPSMT"/>
          <w:color w:val="000000"/>
        </w:rPr>
      </w:pP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r>
      <w:r w:rsidRPr="008024B7">
        <w:rPr>
          <w:rFonts w:ascii="TimesNewRomanPSMT" w:eastAsia="Times New Roman" w:hAnsi="TimesNewRomanPSMT" w:cs="TimesNewRomanPSMT"/>
          <w:color w:val="000000"/>
        </w:rPr>
        <w:tab/>
        <w:t>Frank P. Darr</w:t>
      </w:r>
    </w:p>
    <w:p w14:paraId="39BA6F68" w14:textId="77777777" w:rsidR="008024B7" w:rsidRDefault="008024B7" w:rsidP="008024B7">
      <w:pPr>
        <w:autoSpaceDE w:val="0"/>
        <w:autoSpaceDN w:val="0"/>
        <w:adjustRightInd w:val="0"/>
        <w:snapToGrid w:val="0"/>
        <w:rPr>
          <w:rFonts w:ascii="TimesNewRomanPSMT" w:eastAsia="Times New Roman" w:hAnsi="TimesNewRomanPSMT" w:cs="TimesNewRomanPSMT"/>
          <w:color w:val="000000"/>
        </w:rPr>
        <w:sectPr w:rsidR="008024B7" w:rsidSect="009039E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14:paraId="4050BF79" w14:textId="77777777" w:rsidR="008024B7" w:rsidRPr="008024B7" w:rsidRDefault="008024B7" w:rsidP="008024B7">
      <w:pPr>
        <w:autoSpaceDE w:val="0"/>
        <w:autoSpaceDN w:val="0"/>
        <w:adjustRightInd w:val="0"/>
        <w:snapToGrid w:val="0"/>
        <w:rPr>
          <w:rFonts w:ascii="TimesNewRomanPSMT" w:eastAsia="Times New Roman" w:hAnsi="TimesNewRomanPSMT" w:cs="TimesNewRomanPSMT"/>
          <w:color w:val="000000"/>
        </w:rPr>
      </w:pPr>
    </w:p>
    <w:p w14:paraId="74CE64DD" w14:textId="77777777" w:rsidR="008024B7" w:rsidRPr="008024B7" w:rsidRDefault="008024B7" w:rsidP="008024B7">
      <w:pPr>
        <w:autoSpaceDE w:val="0"/>
        <w:autoSpaceDN w:val="0"/>
        <w:adjustRightInd w:val="0"/>
        <w:snapToGrid w:val="0"/>
        <w:rPr>
          <w:rFonts w:eastAsia="Times New Roman" w:cs="Arial"/>
          <w:color w:val="000000"/>
        </w:rPr>
      </w:pPr>
      <w:r w:rsidRPr="008024B7">
        <w:rPr>
          <w:rFonts w:eastAsia="Times New Roman" w:cs="Arial"/>
          <w:color w:val="000000"/>
        </w:rPr>
        <w:t>Steven T. Nourse</w:t>
      </w:r>
    </w:p>
    <w:p w14:paraId="2D005F4F" w14:textId="77777777" w:rsidR="008024B7" w:rsidRPr="008024B7" w:rsidRDefault="008024B7" w:rsidP="008024B7">
      <w:pPr>
        <w:autoSpaceDE w:val="0"/>
        <w:autoSpaceDN w:val="0"/>
        <w:adjustRightInd w:val="0"/>
        <w:snapToGrid w:val="0"/>
        <w:rPr>
          <w:rFonts w:eastAsia="Times New Roman" w:cs="Arial"/>
          <w:color w:val="000000"/>
        </w:rPr>
      </w:pPr>
      <w:r w:rsidRPr="008024B7">
        <w:rPr>
          <w:rFonts w:eastAsia="Times New Roman" w:cs="Arial"/>
          <w:color w:val="000000"/>
        </w:rPr>
        <w:t>American Electric Power Service Corp.</w:t>
      </w:r>
    </w:p>
    <w:p w14:paraId="02551845" w14:textId="77777777" w:rsidR="008024B7" w:rsidRPr="008024B7" w:rsidRDefault="008024B7" w:rsidP="008024B7">
      <w:pPr>
        <w:autoSpaceDE w:val="0"/>
        <w:autoSpaceDN w:val="0"/>
        <w:adjustRightInd w:val="0"/>
        <w:snapToGrid w:val="0"/>
        <w:rPr>
          <w:rFonts w:eastAsia="Times New Roman" w:cs="Arial"/>
          <w:color w:val="000000"/>
        </w:rPr>
      </w:pPr>
      <w:r w:rsidRPr="008024B7">
        <w:rPr>
          <w:rFonts w:eastAsia="Times New Roman" w:cs="Arial"/>
          <w:color w:val="000000"/>
        </w:rPr>
        <w:t>1 Riverside Plaza, 29th Floor</w:t>
      </w:r>
    </w:p>
    <w:p w14:paraId="1590B5E2" w14:textId="77777777" w:rsidR="008024B7" w:rsidRPr="008024B7" w:rsidRDefault="008024B7" w:rsidP="008024B7">
      <w:pPr>
        <w:autoSpaceDE w:val="0"/>
        <w:autoSpaceDN w:val="0"/>
        <w:adjustRightInd w:val="0"/>
        <w:snapToGrid w:val="0"/>
        <w:rPr>
          <w:rFonts w:eastAsia="Times New Roman" w:cs="Arial"/>
          <w:color w:val="000000"/>
        </w:rPr>
      </w:pPr>
      <w:r w:rsidRPr="008024B7">
        <w:rPr>
          <w:rFonts w:eastAsia="Times New Roman" w:cs="Arial"/>
          <w:color w:val="000000"/>
        </w:rPr>
        <w:t>Columbus, Ohio 43215</w:t>
      </w:r>
    </w:p>
    <w:p w14:paraId="6B9E5606" w14:textId="77777777" w:rsidR="008024B7" w:rsidRPr="008024B7" w:rsidRDefault="008024B7" w:rsidP="008024B7">
      <w:pPr>
        <w:autoSpaceDE w:val="0"/>
        <w:autoSpaceDN w:val="0"/>
        <w:adjustRightInd w:val="0"/>
        <w:snapToGrid w:val="0"/>
        <w:rPr>
          <w:rFonts w:eastAsia="Times New Roman" w:cs="Arial"/>
        </w:rPr>
      </w:pPr>
      <w:r w:rsidRPr="008024B7">
        <w:rPr>
          <w:rFonts w:eastAsia="Times New Roman" w:cs="Arial"/>
        </w:rPr>
        <w:t>stnourse@aep.com</w:t>
      </w:r>
    </w:p>
    <w:p w14:paraId="34571A7E" w14:textId="77777777" w:rsidR="008024B7" w:rsidRPr="008024B7" w:rsidRDefault="008024B7" w:rsidP="008024B7">
      <w:pPr>
        <w:autoSpaceDE w:val="0"/>
        <w:autoSpaceDN w:val="0"/>
        <w:adjustRightInd w:val="0"/>
        <w:snapToGrid w:val="0"/>
        <w:rPr>
          <w:rFonts w:eastAsia="Times New Roman" w:cs="Arial"/>
          <w:color w:val="000000"/>
        </w:rPr>
      </w:pPr>
    </w:p>
    <w:p w14:paraId="0CA0266C" w14:textId="77777777" w:rsidR="008024B7" w:rsidRPr="008024B7" w:rsidRDefault="008024B7" w:rsidP="008024B7">
      <w:pPr>
        <w:autoSpaceDE w:val="0"/>
        <w:autoSpaceDN w:val="0"/>
        <w:adjustRightInd w:val="0"/>
        <w:snapToGrid w:val="0"/>
        <w:rPr>
          <w:rFonts w:eastAsia="Times New Roman" w:cs="Arial"/>
          <w:b/>
          <w:color w:val="000000"/>
        </w:rPr>
      </w:pPr>
      <w:r w:rsidRPr="008024B7">
        <w:rPr>
          <w:rFonts w:eastAsia="Times New Roman" w:cs="Arial"/>
          <w:b/>
          <w:color w:val="000000"/>
        </w:rPr>
        <w:t>On Behalf of Ohio Power Company</w:t>
      </w:r>
    </w:p>
    <w:p w14:paraId="76EEBE1F"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400090A4"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BRUCE J. WESTON (0016973)</w:t>
      </w:r>
    </w:p>
    <w:p w14:paraId="70B9B446"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OHIO CONSUMERS’ COUNSEL</w:t>
      </w:r>
    </w:p>
    <w:p w14:paraId="1F45D353"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54C8CE39"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r w:rsidRPr="008024B7">
        <w:rPr>
          <w:rFonts w:eastAsia="Times New Roman" w:cs="Times New Roman"/>
          <w:szCs w:val="20"/>
        </w:rPr>
        <w:t>Kyle L. Kern, Counsel of Record (0084199)</w:t>
      </w:r>
    </w:p>
    <w:p w14:paraId="369C4DF4"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Assistant Consumers’ Counsel</w:t>
      </w:r>
    </w:p>
    <w:p w14:paraId="25675D0A"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Office of the Ohio Consumers’ Counsel</w:t>
      </w:r>
    </w:p>
    <w:p w14:paraId="0969027B"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10 West Broad Street, Suite 1800</w:t>
      </w:r>
    </w:p>
    <w:p w14:paraId="1C90E4DA"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Columbus, Ohio 43215</w:t>
      </w:r>
    </w:p>
    <w:p w14:paraId="7DA85390"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kyle.kern@occ.ohio.gov</w:t>
      </w:r>
    </w:p>
    <w:p w14:paraId="3D9AA962"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7160E7FE"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Kimberly W. Bojko (0069402)</w:t>
      </w:r>
    </w:p>
    <w:p w14:paraId="2DB101D9"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Carpenter Lipps &amp; Leland LLP</w:t>
      </w:r>
    </w:p>
    <w:p w14:paraId="7AA09DFF"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280 North High Street, Suite 1300</w:t>
      </w:r>
    </w:p>
    <w:p w14:paraId="7EDA3A5E"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Columbus, Ohio 43215</w:t>
      </w:r>
    </w:p>
    <w:p w14:paraId="14FE165F"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bojko@carpenterlipps.com</w:t>
      </w:r>
    </w:p>
    <w:p w14:paraId="72ACF57A"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705247A6"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r w:rsidRPr="008024B7">
        <w:rPr>
          <w:rFonts w:eastAsia="Times New Roman" w:cs="Times New Roman"/>
          <w:b/>
          <w:smallCaps/>
          <w:szCs w:val="20"/>
        </w:rPr>
        <w:t>On Behalf of the Office of the Ohio Consumers’ Counsel</w:t>
      </w:r>
    </w:p>
    <w:p w14:paraId="1F938EBD"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p>
    <w:p w14:paraId="7AD79DA2"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William Wright</w:t>
      </w:r>
    </w:p>
    <w:p w14:paraId="3CC739CD"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Ohio Attorney General’s Office</w:t>
      </w:r>
    </w:p>
    <w:p w14:paraId="42014151"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Public Utilities Commission of Ohio</w:t>
      </w:r>
    </w:p>
    <w:p w14:paraId="4533A415" w14:textId="77777777" w:rsidR="00BD766A" w:rsidRDefault="00BD766A"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p>
    <w:p w14:paraId="692A836E"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30 E. Broad Street, 16th Fl.</w:t>
      </w:r>
    </w:p>
    <w:p w14:paraId="1F010FF2"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Cs w:val="20"/>
        </w:rPr>
      </w:pPr>
      <w:r w:rsidRPr="008024B7">
        <w:rPr>
          <w:rFonts w:eastAsia="Times New Roman" w:cs="Times New Roman"/>
          <w:szCs w:val="20"/>
        </w:rPr>
        <w:t>Columbus, Ohio 43215-3793</w:t>
      </w:r>
    </w:p>
    <w:p w14:paraId="06CD697F"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r w:rsidRPr="008024B7">
        <w:rPr>
          <w:rFonts w:eastAsia="Times New Roman" w:cs="Times New Roman"/>
          <w:szCs w:val="20"/>
        </w:rPr>
        <w:t>William.wright@ohioattorneygeneral.gov</w:t>
      </w:r>
    </w:p>
    <w:p w14:paraId="1154D18E"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Cs w:val="20"/>
        </w:rPr>
      </w:pPr>
    </w:p>
    <w:p w14:paraId="7DF7F2B3" w14:textId="77777777" w:rsidR="008024B7" w:rsidRPr="008024B7" w:rsidRDefault="008024B7" w:rsidP="008024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b/>
          <w:smallCaps/>
          <w:szCs w:val="20"/>
        </w:rPr>
      </w:pPr>
      <w:r w:rsidRPr="008024B7">
        <w:rPr>
          <w:rFonts w:eastAsia="Times New Roman" w:cs="Times New Roman"/>
          <w:b/>
          <w:smallCaps/>
          <w:szCs w:val="20"/>
        </w:rPr>
        <w:t>On Behalf of the Public Utilities Commission of Ohio</w:t>
      </w:r>
    </w:p>
    <w:p w14:paraId="2C26AD1F" w14:textId="77777777" w:rsidR="008024B7" w:rsidRPr="008024B7" w:rsidRDefault="008024B7" w:rsidP="008024B7">
      <w:pPr>
        <w:rPr>
          <w:rFonts w:ascii="Times New Roman" w:eastAsia="Times New Roman" w:hAnsi="Times New Roman" w:cs="Times New Roman"/>
        </w:rPr>
      </w:pPr>
    </w:p>
    <w:p w14:paraId="62CC4DE9" w14:textId="77777777" w:rsidR="008024B7" w:rsidRPr="008024B7" w:rsidRDefault="008024B7" w:rsidP="008024B7">
      <w:pPr>
        <w:rPr>
          <w:rFonts w:eastAsia="Times New Roman" w:cs="Arial"/>
        </w:rPr>
      </w:pPr>
      <w:r w:rsidRPr="008024B7">
        <w:rPr>
          <w:rFonts w:eastAsia="Times New Roman" w:cs="Arial"/>
        </w:rPr>
        <w:t>Michael J. Settineri (0073369)</w:t>
      </w:r>
    </w:p>
    <w:p w14:paraId="52D5C0B4" w14:textId="77777777" w:rsidR="008024B7" w:rsidRPr="008024B7" w:rsidRDefault="008024B7" w:rsidP="008024B7">
      <w:pPr>
        <w:rPr>
          <w:rFonts w:eastAsia="Times New Roman" w:cs="Arial"/>
        </w:rPr>
      </w:pPr>
      <w:r w:rsidRPr="008024B7">
        <w:rPr>
          <w:rFonts w:eastAsia="Times New Roman" w:cs="Arial"/>
        </w:rPr>
        <w:t>Gretchen L. Petrucci (0046608)</w:t>
      </w:r>
    </w:p>
    <w:p w14:paraId="6D4EAA28" w14:textId="77777777" w:rsidR="008024B7" w:rsidRPr="008024B7" w:rsidRDefault="008024B7" w:rsidP="008024B7">
      <w:pPr>
        <w:rPr>
          <w:rFonts w:eastAsia="Times New Roman" w:cs="Arial"/>
        </w:rPr>
      </w:pPr>
      <w:r w:rsidRPr="008024B7">
        <w:rPr>
          <w:rFonts w:eastAsia="Times New Roman" w:cs="Arial"/>
        </w:rPr>
        <w:t>Ilya Batikov (0087968)</w:t>
      </w:r>
    </w:p>
    <w:p w14:paraId="7DE2A887" w14:textId="77777777" w:rsidR="008024B7" w:rsidRPr="008024B7" w:rsidRDefault="008024B7" w:rsidP="008024B7">
      <w:pPr>
        <w:rPr>
          <w:rFonts w:eastAsia="Times New Roman" w:cs="Arial"/>
        </w:rPr>
      </w:pPr>
      <w:r w:rsidRPr="008024B7">
        <w:rPr>
          <w:rFonts w:eastAsia="Times New Roman" w:cs="Arial"/>
        </w:rPr>
        <w:t>Vorys, Sater, Seymour and Pease LLP</w:t>
      </w:r>
    </w:p>
    <w:p w14:paraId="7B6847BD" w14:textId="77777777" w:rsidR="008024B7" w:rsidRPr="008024B7" w:rsidRDefault="008024B7" w:rsidP="008024B7">
      <w:pPr>
        <w:rPr>
          <w:rFonts w:eastAsia="Times New Roman" w:cs="Arial"/>
        </w:rPr>
      </w:pPr>
      <w:r w:rsidRPr="008024B7">
        <w:rPr>
          <w:rFonts w:eastAsia="Times New Roman" w:cs="Arial"/>
        </w:rPr>
        <w:t>52 East Gay Street, P.O. Box 1008</w:t>
      </w:r>
    </w:p>
    <w:p w14:paraId="6A9511DF" w14:textId="77777777" w:rsidR="008024B7" w:rsidRPr="008024B7" w:rsidRDefault="008024B7" w:rsidP="008024B7">
      <w:pPr>
        <w:rPr>
          <w:rFonts w:eastAsia="Times New Roman" w:cs="Arial"/>
        </w:rPr>
      </w:pPr>
      <w:r w:rsidRPr="008024B7">
        <w:rPr>
          <w:rFonts w:eastAsia="Times New Roman" w:cs="Arial"/>
        </w:rPr>
        <w:t>Columbus, Ohio  43216-1008</w:t>
      </w:r>
    </w:p>
    <w:p w14:paraId="73DB8DB9" w14:textId="77777777" w:rsidR="008024B7" w:rsidRPr="008024B7" w:rsidRDefault="008024B7" w:rsidP="008024B7">
      <w:pPr>
        <w:rPr>
          <w:rFonts w:eastAsia="Times New Roman" w:cs="Arial"/>
        </w:rPr>
      </w:pPr>
      <w:r w:rsidRPr="008024B7">
        <w:rPr>
          <w:rFonts w:eastAsia="Times New Roman" w:cs="Arial"/>
        </w:rPr>
        <w:t>mjsettineri@vorys.com</w:t>
      </w:r>
    </w:p>
    <w:p w14:paraId="48D8D9C2" w14:textId="77777777" w:rsidR="008024B7" w:rsidRPr="008024B7" w:rsidRDefault="008024B7" w:rsidP="008024B7">
      <w:pPr>
        <w:rPr>
          <w:rFonts w:eastAsia="Times New Roman" w:cs="Arial"/>
        </w:rPr>
      </w:pPr>
      <w:r w:rsidRPr="008024B7">
        <w:rPr>
          <w:rFonts w:eastAsia="Times New Roman" w:cs="Arial"/>
        </w:rPr>
        <w:t>glpetrucci@vorys.com</w:t>
      </w:r>
    </w:p>
    <w:p w14:paraId="4226C284" w14:textId="77777777" w:rsidR="008024B7" w:rsidRPr="008024B7" w:rsidRDefault="008024B7" w:rsidP="008024B7">
      <w:pPr>
        <w:rPr>
          <w:rFonts w:eastAsia="Times New Roman" w:cs="Arial"/>
        </w:rPr>
      </w:pPr>
      <w:r w:rsidRPr="008024B7">
        <w:rPr>
          <w:rFonts w:eastAsia="Times New Roman" w:cs="Arial"/>
        </w:rPr>
        <w:t>ibatikov@vorys.com</w:t>
      </w:r>
    </w:p>
    <w:p w14:paraId="64011007" w14:textId="77777777" w:rsidR="008024B7" w:rsidRPr="008024B7" w:rsidRDefault="008024B7" w:rsidP="008024B7">
      <w:pPr>
        <w:rPr>
          <w:rFonts w:eastAsia="Times New Roman" w:cs="Arial"/>
        </w:rPr>
      </w:pPr>
    </w:p>
    <w:p w14:paraId="17D0C0BA" w14:textId="77777777" w:rsidR="008024B7" w:rsidRPr="008024B7" w:rsidRDefault="008024B7" w:rsidP="008024B7">
      <w:pPr>
        <w:rPr>
          <w:rFonts w:eastAsia="Times New Roman" w:cs="Arial"/>
          <w:b/>
          <w:smallCaps/>
        </w:rPr>
      </w:pPr>
      <w:r w:rsidRPr="008024B7">
        <w:rPr>
          <w:rFonts w:eastAsia="Times New Roman" w:cs="Arial"/>
          <w:b/>
          <w:smallCaps/>
        </w:rPr>
        <w:t>On Behalf of Nationwide Energy Partners, LLC</w:t>
      </w:r>
    </w:p>
    <w:p w14:paraId="3E7E4D6D" w14:textId="77777777" w:rsidR="008024B7" w:rsidRPr="008024B7" w:rsidRDefault="008024B7" w:rsidP="008024B7">
      <w:pPr>
        <w:rPr>
          <w:rFonts w:eastAsia="Times New Roman" w:cs="Arial"/>
          <w:b/>
          <w:smallCaps/>
        </w:rPr>
      </w:pPr>
    </w:p>
    <w:p w14:paraId="0E6D2EBC" w14:textId="77777777" w:rsidR="00005E9D" w:rsidRDefault="00005E9D" w:rsidP="008024B7">
      <w:pPr>
        <w:rPr>
          <w:rFonts w:eastAsia="Times New Roman" w:cs="Arial"/>
        </w:rPr>
        <w:sectPr w:rsidR="00005E9D" w:rsidSect="00BD766A">
          <w:type w:val="continuous"/>
          <w:pgSz w:w="12240" w:h="15840" w:code="1"/>
          <w:pgMar w:top="1440" w:right="1440" w:bottom="1440" w:left="1440" w:header="720" w:footer="720" w:gutter="0"/>
          <w:pgNumType w:start="1"/>
          <w:cols w:num="2" w:space="720"/>
          <w:titlePg/>
          <w:docGrid w:linePitch="360"/>
        </w:sectPr>
      </w:pPr>
    </w:p>
    <w:p w14:paraId="0DA69780" w14:textId="77777777" w:rsidR="008024B7" w:rsidRPr="008024B7" w:rsidRDefault="008024B7" w:rsidP="008024B7">
      <w:pPr>
        <w:rPr>
          <w:rFonts w:eastAsia="Times New Roman" w:cs="Arial"/>
        </w:rPr>
      </w:pPr>
      <w:r w:rsidRPr="008024B7">
        <w:rPr>
          <w:rFonts w:eastAsia="Times New Roman" w:cs="Arial"/>
        </w:rPr>
        <w:lastRenderedPageBreak/>
        <w:t>Steven D. Lesser (0020242)</w:t>
      </w:r>
    </w:p>
    <w:p w14:paraId="4B0EBBA0" w14:textId="77777777" w:rsidR="008024B7" w:rsidRPr="008024B7" w:rsidRDefault="008024B7" w:rsidP="008024B7">
      <w:pPr>
        <w:rPr>
          <w:rFonts w:eastAsia="Times New Roman" w:cs="Arial"/>
        </w:rPr>
      </w:pPr>
      <w:r w:rsidRPr="008024B7">
        <w:rPr>
          <w:rFonts w:eastAsia="Times New Roman" w:cs="Arial"/>
        </w:rPr>
        <w:t>James F. Lang (0059668)</w:t>
      </w:r>
    </w:p>
    <w:p w14:paraId="0F40D6D3" w14:textId="77777777" w:rsidR="008024B7" w:rsidRPr="008024B7" w:rsidRDefault="008024B7" w:rsidP="008024B7">
      <w:pPr>
        <w:rPr>
          <w:rFonts w:eastAsia="Times New Roman" w:cs="Arial"/>
        </w:rPr>
      </w:pPr>
      <w:r w:rsidRPr="008024B7">
        <w:rPr>
          <w:rFonts w:eastAsia="Times New Roman" w:cs="Arial"/>
        </w:rPr>
        <w:t>N. Trevor Alexander (0080713)</w:t>
      </w:r>
    </w:p>
    <w:p w14:paraId="457E0D22" w14:textId="77777777" w:rsidR="008024B7" w:rsidRPr="008024B7" w:rsidRDefault="008024B7" w:rsidP="008024B7">
      <w:pPr>
        <w:rPr>
          <w:rFonts w:eastAsia="Times New Roman" w:cs="Arial"/>
        </w:rPr>
      </w:pPr>
      <w:r w:rsidRPr="008024B7">
        <w:rPr>
          <w:rFonts w:eastAsia="Times New Roman" w:cs="Arial"/>
        </w:rPr>
        <w:t>Mark T. Keaney (0095318)</w:t>
      </w:r>
    </w:p>
    <w:p w14:paraId="0FCA98D6" w14:textId="77777777" w:rsidR="008024B7" w:rsidRPr="008024B7" w:rsidRDefault="008024B7" w:rsidP="008024B7">
      <w:pPr>
        <w:rPr>
          <w:rFonts w:eastAsia="Times New Roman" w:cs="Arial"/>
        </w:rPr>
      </w:pPr>
      <w:r w:rsidRPr="008024B7">
        <w:rPr>
          <w:rFonts w:eastAsia="Times New Roman" w:cs="Arial"/>
        </w:rPr>
        <w:t>Calfee, Halter &amp; Griswold LLP</w:t>
      </w:r>
    </w:p>
    <w:p w14:paraId="6A560828" w14:textId="77777777" w:rsidR="008024B7" w:rsidRPr="008024B7" w:rsidRDefault="008024B7" w:rsidP="008024B7">
      <w:pPr>
        <w:rPr>
          <w:rFonts w:eastAsia="Times New Roman" w:cs="Arial"/>
        </w:rPr>
      </w:pPr>
      <w:r w:rsidRPr="008024B7">
        <w:rPr>
          <w:rFonts w:eastAsia="Times New Roman" w:cs="Arial"/>
        </w:rPr>
        <w:t>41 South High Street</w:t>
      </w:r>
    </w:p>
    <w:p w14:paraId="0183CC23" w14:textId="77777777" w:rsidR="008024B7" w:rsidRPr="008024B7" w:rsidRDefault="008024B7" w:rsidP="008024B7">
      <w:pPr>
        <w:rPr>
          <w:rFonts w:eastAsia="Times New Roman" w:cs="Arial"/>
        </w:rPr>
      </w:pPr>
      <w:r w:rsidRPr="008024B7">
        <w:rPr>
          <w:rFonts w:eastAsia="Times New Roman" w:cs="Arial"/>
        </w:rPr>
        <w:t>1200 Huntington Center</w:t>
      </w:r>
    </w:p>
    <w:p w14:paraId="383B19E1" w14:textId="77777777" w:rsidR="008024B7" w:rsidRPr="008024B7" w:rsidRDefault="008024B7" w:rsidP="008024B7">
      <w:pPr>
        <w:rPr>
          <w:rFonts w:eastAsia="Times New Roman" w:cs="Arial"/>
        </w:rPr>
      </w:pPr>
      <w:r w:rsidRPr="008024B7">
        <w:rPr>
          <w:rFonts w:eastAsia="Times New Roman" w:cs="Arial"/>
        </w:rPr>
        <w:t>Columbus, Ohio  43215</w:t>
      </w:r>
    </w:p>
    <w:p w14:paraId="4E5CAB4C" w14:textId="77777777" w:rsidR="008024B7" w:rsidRPr="008024B7" w:rsidRDefault="005D74B0" w:rsidP="008024B7">
      <w:pPr>
        <w:rPr>
          <w:rFonts w:eastAsia="Times New Roman" w:cs="Arial"/>
        </w:rPr>
      </w:pPr>
      <w:hyperlink r:id="rId21" w:history="1">
        <w:r w:rsidR="008024B7" w:rsidRPr="008024B7">
          <w:rPr>
            <w:rFonts w:eastAsia="Times New Roman" w:cs="Arial"/>
          </w:rPr>
          <w:t>slesser@calfee.com</w:t>
        </w:r>
      </w:hyperlink>
    </w:p>
    <w:p w14:paraId="542470C1" w14:textId="77777777" w:rsidR="008024B7" w:rsidRPr="008024B7" w:rsidRDefault="005D74B0" w:rsidP="008024B7">
      <w:pPr>
        <w:rPr>
          <w:rFonts w:eastAsia="Times New Roman" w:cs="Arial"/>
        </w:rPr>
      </w:pPr>
      <w:hyperlink r:id="rId22" w:history="1">
        <w:r w:rsidR="008024B7" w:rsidRPr="008024B7">
          <w:rPr>
            <w:rFonts w:eastAsia="Times New Roman" w:cs="Arial"/>
          </w:rPr>
          <w:t>jlang@calfee.com</w:t>
        </w:r>
      </w:hyperlink>
    </w:p>
    <w:p w14:paraId="15067668" w14:textId="77777777" w:rsidR="008024B7" w:rsidRPr="008024B7" w:rsidRDefault="005D74B0" w:rsidP="008024B7">
      <w:pPr>
        <w:rPr>
          <w:rFonts w:eastAsia="Times New Roman" w:cs="Arial"/>
        </w:rPr>
      </w:pPr>
      <w:hyperlink r:id="rId23" w:history="1">
        <w:r w:rsidR="008024B7" w:rsidRPr="008024B7">
          <w:rPr>
            <w:rFonts w:eastAsia="Times New Roman" w:cs="Arial"/>
          </w:rPr>
          <w:t>talexander@calfee.com</w:t>
        </w:r>
      </w:hyperlink>
    </w:p>
    <w:p w14:paraId="33F9228A" w14:textId="77777777" w:rsidR="008024B7" w:rsidRPr="008024B7" w:rsidRDefault="005D74B0" w:rsidP="008024B7">
      <w:pPr>
        <w:rPr>
          <w:rFonts w:eastAsia="Times New Roman" w:cs="Arial"/>
        </w:rPr>
      </w:pPr>
      <w:hyperlink r:id="rId24" w:history="1">
        <w:r w:rsidR="008024B7" w:rsidRPr="008024B7">
          <w:rPr>
            <w:rFonts w:eastAsia="Times New Roman" w:cs="Arial"/>
          </w:rPr>
          <w:t>mkeaney@calfee.com</w:t>
        </w:r>
      </w:hyperlink>
    </w:p>
    <w:p w14:paraId="77AEC8CB" w14:textId="77777777" w:rsidR="008024B7" w:rsidRPr="008024B7" w:rsidRDefault="008024B7" w:rsidP="008024B7">
      <w:pPr>
        <w:rPr>
          <w:rFonts w:eastAsia="Times New Roman" w:cs="Arial"/>
        </w:rPr>
      </w:pPr>
    </w:p>
    <w:p w14:paraId="075A0A96" w14:textId="77777777" w:rsidR="008024B7" w:rsidRPr="008024B7" w:rsidRDefault="008024B7" w:rsidP="008024B7">
      <w:pPr>
        <w:rPr>
          <w:rFonts w:ascii="Arial Bold" w:eastAsia="Times New Roman" w:hAnsi="Arial Bold" w:cs="Arial"/>
          <w:b/>
          <w:smallCaps/>
        </w:rPr>
      </w:pPr>
      <w:r w:rsidRPr="008024B7">
        <w:rPr>
          <w:rFonts w:ascii="Arial Bold" w:eastAsia="Times New Roman" w:hAnsi="Arial Bold" w:cs="Arial"/>
          <w:b/>
          <w:smallCaps/>
        </w:rPr>
        <w:t>On Behalf of the Ohio Apartment Association and the International Council of Shopping Centers (“OAA/ICSC”)</w:t>
      </w:r>
    </w:p>
    <w:p w14:paraId="2454D344" w14:textId="77777777" w:rsidR="00E53859" w:rsidRPr="009E7E23" w:rsidRDefault="00E53859" w:rsidP="00E53859">
      <w:pPr>
        <w:tabs>
          <w:tab w:val="left" w:pos="4320"/>
        </w:tabs>
        <w:rPr>
          <w:rFonts w:cs="Arial"/>
          <w:b/>
        </w:rPr>
      </w:pPr>
    </w:p>
    <w:p w14:paraId="6539A913" w14:textId="77777777" w:rsidR="00E53859" w:rsidRDefault="00E53859" w:rsidP="00250919">
      <w:pPr>
        <w:spacing w:line="480" w:lineRule="auto"/>
      </w:pPr>
    </w:p>
    <w:sectPr w:rsidR="00E53859" w:rsidSect="00005E9D">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3634" w14:textId="77777777" w:rsidR="009A4FC5" w:rsidRDefault="009A4FC5" w:rsidP="009A4FC5">
      <w:r>
        <w:separator/>
      </w:r>
    </w:p>
  </w:endnote>
  <w:endnote w:type="continuationSeparator" w:id="0">
    <w:p w14:paraId="12C3934E" w14:textId="77777777" w:rsidR="009A4FC5" w:rsidRDefault="009A4FC5" w:rsidP="009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36D1" w14:textId="77777777" w:rsidR="006F0C66" w:rsidRDefault="006F0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FCB1" w14:textId="070EE7E6" w:rsidR="006B0A45" w:rsidRDefault="005D74B0">
    <w:pPr>
      <w:pStyle w:val="Footer"/>
      <w:rPr>
        <w:rFonts w:cs="Arial"/>
      </w:rPr>
    </w:pPr>
    <w:r w:rsidRPr="005D74B0">
      <w:rPr>
        <w:rFonts w:cs="Arial"/>
        <w:noProof/>
        <w:sz w:val="16"/>
      </w:rPr>
      <w:t>{C50094:2 }</w:t>
    </w:r>
    <w:r w:rsidR="00AB70F6">
      <w:t xml:space="preserve"> </w:t>
    </w:r>
    <w:sdt>
      <w:sdtPr>
        <w:id w:val="-686760739"/>
        <w:docPartObj>
          <w:docPartGallery w:val="Page Numbers (Bottom of Page)"/>
          <w:docPartUnique/>
        </w:docPartObj>
      </w:sdtPr>
      <w:sdtEndPr>
        <w:rPr>
          <w:rFonts w:cs="Arial"/>
          <w:noProof/>
        </w:rPr>
      </w:sdtEndPr>
      <w:sdtContent>
        <w:r w:rsidR="00AB70F6">
          <w:tab/>
        </w:r>
        <w:r w:rsidR="00AB70F6">
          <w:rPr>
            <w:rFonts w:cs="Arial"/>
          </w:rPr>
          <w:fldChar w:fldCharType="begin"/>
        </w:r>
        <w:r w:rsidR="00AB70F6">
          <w:rPr>
            <w:rFonts w:cs="Arial"/>
          </w:rPr>
          <w:instrText xml:space="preserve"> PAGE   \* MERGEFORMAT </w:instrText>
        </w:r>
        <w:r w:rsidR="00AB70F6">
          <w:rPr>
            <w:rFonts w:cs="Arial"/>
          </w:rPr>
          <w:fldChar w:fldCharType="separate"/>
        </w:r>
        <w:r>
          <w:rPr>
            <w:rFonts w:cs="Arial"/>
            <w:noProof/>
          </w:rPr>
          <w:t>2</w:t>
        </w:r>
        <w:r w:rsidR="00AB70F6">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6FE6" w14:textId="61778F91" w:rsidR="006B0A45" w:rsidRDefault="005D74B0">
    <w:pPr>
      <w:pStyle w:val="Footer"/>
      <w:rPr>
        <w:rFonts w:cs="Arial"/>
      </w:rPr>
    </w:pPr>
    <w:r w:rsidRPr="005D74B0">
      <w:rPr>
        <w:rFonts w:cs="Arial"/>
        <w:noProof/>
        <w:sz w:val="16"/>
      </w:rPr>
      <w:t>{C50094:2 }</w:t>
    </w:r>
    <w:r w:rsidR="00AB70F6">
      <w:rPr>
        <w:rFonts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CCF91" w14:textId="77777777" w:rsidR="008024B7" w:rsidRDefault="008024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21E5" w14:textId="686E4B37" w:rsidR="008024B7" w:rsidRDefault="005D74B0">
    <w:pPr>
      <w:pStyle w:val="Footer"/>
    </w:pPr>
    <w:r w:rsidRPr="005D74B0">
      <w:rPr>
        <w:noProof/>
        <w:sz w:val="16"/>
      </w:rPr>
      <w:t>{C50094:2 }</w:t>
    </w:r>
    <w:r w:rsidR="008024B7">
      <w:rPr>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75EE" w14:textId="777082D7" w:rsidR="008024B7" w:rsidRDefault="005D74B0">
    <w:pPr>
      <w:pStyle w:val="Footer"/>
      <w:rPr>
        <w:rFonts w:cs="Arial"/>
      </w:rPr>
    </w:pPr>
    <w:r w:rsidRPr="005D74B0">
      <w:rPr>
        <w:rFonts w:cs="Arial"/>
        <w:noProof/>
        <w:sz w:val="16"/>
      </w:rPr>
      <w:t>{C50094:2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88F9" w14:textId="77777777" w:rsidR="009A4FC5" w:rsidRDefault="009A4FC5" w:rsidP="009A4FC5">
      <w:pPr>
        <w:rPr>
          <w:noProof/>
        </w:rPr>
      </w:pPr>
      <w:r>
        <w:rPr>
          <w:noProof/>
        </w:rPr>
        <w:separator/>
      </w:r>
    </w:p>
  </w:footnote>
  <w:footnote w:type="continuationSeparator" w:id="0">
    <w:p w14:paraId="243D68AB" w14:textId="77777777" w:rsidR="009A4FC5" w:rsidRDefault="009A4FC5" w:rsidP="009A4FC5">
      <w:r>
        <w:continuationSeparator/>
      </w:r>
    </w:p>
  </w:footnote>
  <w:footnote w:id="1">
    <w:p w14:paraId="2A18AE11" w14:textId="77777777" w:rsidR="004F6157" w:rsidRDefault="004F6157" w:rsidP="009D2595">
      <w:pPr>
        <w:pStyle w:val="FootnoteText"/>
        <w:jc w:val="both"/>
      </w:pPr>
      <w:r>
        <w:rPr>
          <w:rStyle w:val="FootnoteReference"/>
        </w:rPr>
        <w:footnoteRef/>
      </w:r>
      <w:r>
        <w:t xml:space="preserve"> “The goal of the interest requirement [under rule authorizing intervention] is to dispose of lawsuits involving as many concerned parties as is compatible with efficiency and due process.”  </w:t>
      </w:r>
      <w:r w:rsidRPr="007377A2">
        <w:rPr>
          <w:i/>
        </w:rPr>
        <w:t>Moore’s Federal Practice</w:t>
      </w:r>
      <w:r>
        <w:t xml:space="preserve">, Civil </w:t>
      </w:r>
      <w:r>
        <w:rPr>
          <w:rFonts w:cs="Arial"/>
        </w:rPr>
        <w:t>§</w:t>
      </w:r>
      <w:r>
        <w:t xml:space="preserve"> 24.03.  </w:t>
      </w:r>
      <w:r w:rsidRPr="00A506E3">
        <w:rPr>
          <w:i/>
        </w:rPr>
        <w:t>See, also,</w:t>
      </w:r>
      <w:r>
        <w:t xml:space="preserve"> </w:t>
      </w:r>
      <w:r w:rsidRPr="00D11916">
        <w:rPr>
          <w:i/>
        </w:rPr>
        <w:t>Donald Lumber, Inc. v. H.C.M.C. Ltd</w:t>
      </w:r>
      <w:r>
        <w:t xml:space="preserve">, 746 P.2d 76 (Colo. App. 1987) (parties permitted to intervene in case in which relief would affect their property rights).  </w:t>
      </w:r>
    </w:p>
  </w:footnote>
  <w:footnote w:id="2">
    <w:p w14:paraId="0FDA8F48" w14:textId="77777777" w:rsidR="002A72CA" w:rsidRDefault="002A72CA" w:rsidP="009D2595">
      <w:pPr>
        <w:pStyle w:val="FootnoteText"/>
        <w:jc w:val="both"/>
      </w:pPr>
      <w:r>
        <w:rPr>
          <w:rStyle w:val="FootnoteReference"/>
        </w:rPr>
        <w:footnoteRef/>
      </w:r>
      <w:r>
        <w:t xml:space="preserve"> </w:t>
      </w:r>
      <w:r>
        <w:rPr>
          <w:rFonts w:eastAsia="Calibri" w:cs="Arial"/>
        </w:rPr>
        <w:t xml:space="preserve">In a separate proceeding, AEP-Ohio is seeking authorization of a Submetering Rider to collect these costs.  </w:t>
      </w:r>
      <w:r w:rsidRPr="009B2C61">
        <w:rPr>
          <w:rFonts w:eastAsia="Calibri" w:cs="Arial"/>
          <w:i/>
        </w:rPr>
        <w:t>In the Matter of the Application of Ohio Power Company for Authority to Establish a Standard Service Offer Pursuant to Section 4928.143, Revised Code, in the Form of an Electric Security Plan</w:t>
      </w:r>
      <w:r>
        <w:rPr>
          <w:rFonts w:eastAsia="Calibri" w:cs="Arial"/>
        </w:rPr>
        <w:t xml:space="preserve">, Case Nos. 13-2385-EL-SSO, </w:t>
      </w:r>
      <w:r w:rsidR="001930B4" w:rsidRPr="001930B4">
        <w:rPr>
          <w:rFonts w:eastAsia="Calibri" w:cs="Arial"/>
          <w:i/>
        </w:rPr>
        <w:t>et al.</w:t>
      </w:r>
      <w:r w:rsidR="001930B4">
        <w:rPr>
          <w:rFonts w:eastAsia="Calibri" w:cs="Arial"/>
        </w:rPr>
        <w:t xml:space="preserve">, </w:t>
      </w:r>
      <w:r>
        <w:rPr>
          <w:rFonts w:eastAsia="Calibri" w:cs="Arial"/>
        </w:rPr>
        <w:t>Ohio Power Company’s Application to Amend its Electric Security Plan at 13-14 (May 13, 2016).</w:t>
      </w:r>
    </w:p>
  </w:footnote>
  <w:footnote w:id="3">
    <w:p w14:paraId="2FE9316A" w14:textId="77777777" w:rsidR="00EC6B2E" w:rsidRDefault="00EC6B2E" w:rsidP="00EC6B2E">
      <w:pPr>
        <w:pStyle w:val="FootnoteText"/>
        <w:jc w:val="both"/>
      </w:pPr>
      <w:r>
        <w:rPr>
          <w:rStyle w:val="FootnoteReference"/>
        </w:rPr>
        <w:footnoteRef/>
      </w:r>
      <w:r>
        <w:t xml:space="preserve"> In contrast to the Commission’s holding in </w:t>
      </w:r>
      <w:r w:rsidRPr="00BD50CB">
        <w:rPr>
          <w:i/>
        </w:rPr>
        <w:t>Whitt</w:t>
      </w:r>
      <w:r>
        <w:t xml:space="preserve">, </w:t>
      </w:r>
      <w:r>
        <w:rPr>
          <w:rFonts w:cs="Arial"/>
        </w:rPr>
        <w:t xml:space="preserve">federal courts applying Federal Rule of Procedure 24 have held that a person’s interest in the precedential outcome is sufficient basis to support intervention.  For example, in </w:t>
      </w:r>
      <w:r w:rsidRPr="00396360">
        <w:rPr>
          <w:rFonts w:cs="Arial"/>
          <w:i/>
        </w:rPr>
        <w:t>Huron Environmental Activist League v. EPA</w:t>
      </w:r>
      <w:r>
        <w:rPr>
          <w:rFonts w:cs="Arial"/>
        </w:rPr>
        <w:t xml:space="preserve">, 917 F. Supp. 34 (D.D.C. 1996), the court permitted industry groups to intervene because the complaint sought to enjoin meetings between the EPA and the industrial groups.  The court concluded industrial groups should be permitted to intervene because the relief sought by the plaintiff would prevent the EPA from relying in any way on the product of its meetings with the industrial groups and thwart the useful interaction.  “Because any injunctive relief would likely eviscerate their substantial work product, and because it would establish a rule of law unfavorable to them, the Court [concluded] that the movants are entitled to intervene.”  </w:t>
      </w:r>
      <w:r w:rsidRPr="00856167">
        <w:rPr>
          <w:rFonts w:cs="Arial"/>
          <w:i/>
        </w:rPr>
        <w:t>Id.</w:t>
      </w:r>
      <w:r>
        <w:rPr>
          <w:rFonts w:cs="Arial"/>
        </w:rPr>
        <w:t xml:space="preserve"> at 43.  </w:t>
      </w:r>
      <w:r w:rsidRPr="003A7DCA">
        <w:rPr>
          <w:rFonts w:cs="Arial"/>
          <w:i/>
        </w:rPr>
        <w:t>See, also, Sierra Club v. Espy</w:t>
      </w:r>
      <w:r>
        <w:rPr>
          <w:rFonts w:cs="Arial"/>
        </w:rPr>
        <w:t>, 18 F.3d 1202 (5</w:t>
      </w:r>
      <w:r w:rsidRPr="00FF6B62">
        <w:rPr>
          <w:rFonts w:cs="Arial"/>
          <w:vertAlign w:val="superscript"/>
        </w:rPr>
        <w:t>th</w:t>
      </w:r>
      <w:r>
        <w:rPr>
          <w:rFonts w:cs="Arial"/>
        </w:rPr>
        <w:t xml:space="preserve"> Cir. 1994).  As several courts of appeals have found, a party may demonstrate sufficient interest if the precedent established by the case would adversely affect that party.  </w:t>
      </w:r>
      <w:r w:rsidRPr="00F35612">
        <w:rPr>
          <w:rFonts w:cs="Arial"/>
          <w:i/>
        </w:rPr>
        <w:t>See Jansen v. Cincinnati</w:t>
      </w:r>
      <w:r>
        <w:rPr>
          <w:rFonts w:cs="Arial"/>
        </w:rPr>
        <w:t>, 904 F.2d 336, 342 (6</w:t>
      </w:r>
      <w:r w:rsidRPr="001E7489">
        <w:rPr>
          <w:rFonts w:cs="Arial"/>
          <w:vertAlign w:val="superscript"/>
        </w:rPr>
        <w:t>th</w:t>
      </w:r>
      <w:r>
        <w:rPr>
          <w:rFonts w:cs="Arial"/>
        </w:rPr>
        <w:t xml:space="preserve"> Cir. 1990); </w:t>
      </w:r>
      <w:r w:rsidRPr="00F35612">
        <w:rPr>
          <w:rFonts w:cs="Arial"/>
          <w:i/>
        </w:rPr>
        <w:t>Atlantis Dev. Corp. v. United States</w:t>
      </w:r>
      <w:r>
        <w:rPr>
          <w:rFonts w:cs="Arial"/>
        </w:rPr>
        <w:t>, 379 F.2d 818, 829 (5</w:t>
      </w:r>
      <w:r w:rsidRPr="005D0065">
        <w:rPr>
          <w:rFonts w:cs="Arial"/>
          <w:vertAlign w:val="superscript"/>
        </w:rPr>
        <w:t>th</w:t>
      </w:r>
      <w:r>
        <w:rPr>
          <w:rFonts w:cs="Arial"/>
        </w:rPr>
        <w:t xml:space="preserve"> Cir. 1967).</w:t>
      </w:r>
    </w:p>
  </w:footnote>
  <w:footnote w:id="4">
    <w:p w14:paraId="6DE1AE99" w14:textId="248A9EA1" w:rsidR="008822EF" w:rsidRDefault="008822EF" w:rsidP="009D2595">
      <w:pPr>
        <w:pStyle w:val="FootnoteText"/>
        <w:jc w:val="both"/>
      </w:pPr>
      <w:r>
        <w:rPr>
          <w:rStyle w:val="FootnoteReference"/>
        </w:rPr>
        <w:footnoteRef/>
      </w:r>
      <w:r>
        <w:t xml:space="preserve"> </w:t>
      </w:r>
      <w:r w:rsidR="00E9021A">
        <w:t>Under</w:t>
      </w:r>
      <w:r w:rsidRPr="008822EF">
        <w:t xml:space="preserve"> Federal Rule of </w:t>
      </w:r>
      <w:r w:rsidR="00FE355F">
        <w:t xml:space="preserve">Civil </w:t>
      </w:r>
      <w:r w:rsidRPr="008822EF">
        <w:t xml:space="preserve">Procedure 24(a)(2), </w:t>
      </w:r>
      <w:r w:rsidR="00E9021A">
        <w:t xml:space="preserve">federal courts </w:t>
      </w:r>
      <w:r w:rsidR="009E1877">
        <w:t>hold</w:t>
      </w:r>
      <w:r w:rsidRPr="008822EF">
        <w:t xml:space="preserve"> that a person should be granted intervention when the named parties are unlikely to advance claims of the person.  For example, bondholders sought intervention in a suit brought by the issuer of the bonds to correct an alleged error in the terms of the bonds as issued against the trustee.  The court granted the bondholders’ motion to intervene so that they could present an affirmative defense that the court determined the trustee would not advance.  </w:t>
      </w:r>
      <w:r w:rsidRPr="008822EF">
        <w:rPr>
          <w:i/>
        </w:rPr>
        <w:t>Aristocrat Leisure Ltd. v. Deutsche Bank Trust Co. Ams.</w:t>
      </w:r>
      <w:r w:rsidRPr="008822EF">
        <w:t xml:space="preserve">, 2005 U.S. Dist. Ct. Lexis 5378 (S.D.N.Y. Mar. 31, 2005).  Similarly, IEU-Ohio has an interest in the remedy the Commission may order </w:t>
      </w:r>
      <w:r w:rsidR="00232171">
        <w:t>and OCC has no standing to raise those issues or any apparent interest in doing so</w:t>
      </w:r>
      <w:r w:rsidR="009F05F9">
        <w:t xml:space="preserve"> and AEP-Ohio is expressly seeks authorization of the unlawful restrictions</w:t>
      </w:r>
      <w:r w:rsidR="009E1877">
        <w:t>.</w:t>
      </w:r>
    </w:p>
    <w:p w14:paraId="05F42536" w14:textId="77777777" w:rsidR="00A46CD3" w:rsidRDefault="00A46CD3" w:rsidP="009D2595">
      <w:pPr>
        <w:pStyle w:val="FootnoteText"/>
        <w:jc w:val="both"/>
      </w:pPr>
    </w:p>
    <w:p w14:paraId="02444563" w14:textId="645014AA" w:rsidR="008822EF" w:rsidRDefault="00A46CD3" w:rsidP="009D2595">
      <w:pPr>
        <w:pStyle w:val="FootnoteText"/>
        <w:jc w:val="both"/>
      </w:pPr>
      <w:r>
        <w:t xml:space="preserve">In </w:t>
      </w:r>
      <w:r w:rsidR="006057B7">
        <w:t>a case</w:t>
      </w:r>
      <w:r>
        <w:t xml:space="preserve"> in which federal court was presented with a consent decree, persons that would be adversely affected by the </w:t>
      </w:r>
      <w:r w:rsidR="009E1877">
        <w:t>proposed</w:t>
      </w:r>
      <w:r>
        <w:t xml:space="preserve"> remedies were permitted to intervene and contest the terms of the consent decree since they would be adversely affected if a court adopted the decree without amendment.  </w:t>
      </w:r>
      <w:r w:rsidRPr="00FC2EA6">
        <w:rPr>
          <w:i/>
        </w:rPr>
        <w:t>Edwards v. City of Houston</w:t>
      </w:r>
      <w:r>
        <w:t>, 78 F.3d 983 (5</w:t>
      </w:r>
      <w:r w:rsidRPr="001E1F12">
        <w:rPr>
          <w:vertAlign w:val="superscript"/>
        </w:rPr>
        <w:t>th</w:t>
      </w:r>
      <w:r>
        <w:t xml:space="preserve"> Cir. 1996).  </w:t>
      </w:r>
      <w:r w:rsidR="009F1C16" w:rsidRPr="008822EF">
        <w:rPr>
          <w:i/>
        </w:rPr>
        <w:t>See, also, Bradley v. Pinellas County School Bd</w:t>
      </w:r>
      <w:r w:rsidR="009F1C16" w:rsidRPr="008822EF">
        <w:t>., 961 F.2d 1554, 1557-58 (11</w:t>
      </w:r>
      <w:r w:rsidR="009F1C16" w:rsidRPr="008822EF">
        <w:rPr>
          <w:vertAlign w:val="superscript"/>
        </w:rPr>
        <w:t>th</w:t>
      </w:r>
      <w:r w:rsidR="009F1C16" w:rsidRPr="008822EF">
        <w:t xml:space="preserve"> Cir. 1992) (intervention proper if persons seeking intervention would raise concerns where school system was frustrating intervenors’ desired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7A3F" w14:textId="77777777" w:rsidR="006F0C66" w:rsidRDefault="006F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4BA8" w14:textId="77777777" w:rsidR="006F0C66" w:rsidRDefault="006F0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7762" w14:textId="77777777" w:rsidR="006F0C66" w:rsidRDefault="006F0C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F328" w14:textId="77777777" w:rsidR="008024B7" w:rsidRDefault="008024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7A92" w14:textId="77777777" w:rsidR="008024B7" w:rsidRDefault="008024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E9CF" w14:textId="77777777" w:rsidR="008024B7" w:rsidRDefault="0080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037"/>
    <w:multiLevelType w:val="multilevel"/>
    <w:tmpl w:val="F20087A2"/>
    <w:numStyleLink w:val="briefoutline"/>
  </w:abstractNum>
  <w:abstractNum w:abstractNumId="1" w15:restartNumberingAfterBreak="0">
    <w:nsid w:val="36E24451"/>
    <w:multiLevelType w:val="multilevel"/>
    <w:tmpl w:val="F20087A2"/>
    <w:numStyleLink w:val="briefoutline"/>
  </w:abstractNum>
  <w:abstractNum w:abstractNumId="2" w15:restartNumberingAfterBreak="0">
    <w:nsid w:val="41D960DA"/>
    <w:multiLevelType w:val="hybridMultilevel"/>
    <w:tmpl w:val="A734F758"/>
    <w:lvl w:ilvl="0" w:tplc="AB6CE8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932745"/>
    <w:multiLevelType w:val="multilevel"/>
    <w:tmpl w:val="F20087A2"/>
    <w:styleLink w:val="briefoutline"/>
    <w:lvl w:ilvl="0">
      <w:start w:val="1"/>
      <w:numFmt w:val="upperRoman"/>
      <w:lvlText w:val="%1."/>
      <w:lvlJc w:val="left"/>
      <w:pPr>
        <w:ind w:left="720" w:hanging="720"/>
      </w:pPr>
      <w:rPr>
        <w:rFonts w:ascii="Arial Bold" w:hAnsi="Arial Bold"/>
        <w:b/>
        <w:caps w:val="0"/>
        <w:smallCaps/>
        <w:sz w:val="24"/>
        <w:u w:val="single"/>
      </w:rPr>
    </w:lvl>
    <w:lvl w:ilvl="1">
      <w:start w:val="1"/>
      <w:numFmt w:val="upperLetter"/>
      <w:lvlText w:val="%2."/>
      <w:lvlJc w:val="left"/>
      <w:pPr>
        <w:ind w:left="1440" w:hanging="360"/>
      </w:pPr>
      <w:rPr>
        <w:rFonts w:ascii="Arial" w:hAnsi="Arial"/>
        <w:b/>
        <w:sz w:val="24"/>
      </w:rPr>
    </w:lvl>
    <w:lvl w:ilvl="2">
      <w:start w:val="1"/>
      <w:numFmt w:val="decimal"/>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98010D"/>
    <w:multiLevelType w:val="multilevel"/>
    <w:tmpl w:val="F20087A2"/>
    <w:numStyleLink w:val="briefoutline"/>
  </w:abstractNum>
  <w:num w:numId="1">
    <w:abstractNumId w:val="4"/>
    <w:lvlOverride w:ilvl="0">
      <w:lvl w:ilvl="0">
        <w:start w:val="1"/>
        <w:numFmt w:val="upperRoman"/>
        <w:lvlText w:val="%1."/>
        <w:lvlJc w:val="left"/>
        <w:pPr>
          <w:ind w:left="720" w:hanging="720"/>
        </w:pPr>
        <w:rPr>
          <w:rFonts w:ascii="Arial Bold" w:hAnsi="Arial Bold"/>
          <w:b/>
          <w:caps w:val="0"/>
          <w:smallCaps/>
          <w:sz w:val="24"/>
          <w:u w:val="none"/>
        </w:rPr>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EA"/>
    <w:rsid w:val="00005E32"/>
    <w:rsid w:val="00005E9D"/>
    <w:rsid w:val="0001096A"/>
    <w:rsid w:val="00010B0A"/>
    <w:rsid w:val="00010BF3"/>
    <w:rsid w:val="0002046E"/>
    <w:rsid w:val="00025045"/>
    <w:rsid w:val="00035DF0"/>
    <w:rsid w:val="000409BB"/>
    <w:rsid w:val="00042028"/>
    <w:rsid w:val="00054710"/>
    <w:rsid w:val="000630D8"/>
    <w:rsid w:val="0006490F"/>
    <w:rsid w:val="00072C5A"/>
    <w:rsid w:val="00072DA6"/>
    <w:rsid w:val="00073BD4"/>
    <w:rsid w:val="0007568E"/>
    <w:rsid w:val="00080B3C"/>
    <w:rsid w:val="00086745"/>
    <w:rsid w:val="00087173"/>
    <w:rsid w:val="0008789B"/>
    <w:rsid w:val="00090738"/>
    <w:rsid w:val="000912F9"/>
    <w:rsid w:val="0009563D"/>
    <w:rsid w:val="00095F67"/>
    <w:rsid w:val="00096D73"/>
    <w:rsid w:val="000A4E1C"/>
    <w:rsid w:val="000B02CB"/>
    <w:rsid w:val="000B2FD6"/>
    <w:rsid w:val="000C07CD"/>
    <w:rsid w:val="000C12AA"/>
    <w:rsid w:val="000C4400"/>
    <w:rsid w:val="000D04B5"/>
    <w:rsid w:val="000D5B5A"/>
    <w:rsid w:val="000D5E99"/>
    <w:rsid w:val="000E3693"/>
    <w:rsid w:val="000E7793"/>
    <w:rsid w:val="000E7CFC"/>
    <w:rsid w:val="000F0337"/>
    <w:rsid w:val="000F0C5D"/>
    <w:rsid w:val="000F6CE6"/>
    <w:rsid w:val="0010571A"/>
    <w:rsid w:val="001116B7"/>
    <w:rsid w:val="00120C5E"/>
    <w:rsid w:val="001248EE"/>
    <w:rsid w:val="001269D5"/>
    <w:rsid w:val="00132753"/>
    <w:rsid w:val="00133607"/>
    <w:rsid w:val="001352AD"/>
    <w:rsid w:val="00144462"/>
    <w:rsid w:val="00145630"/>
    <w:rsid w:val="001464C9"/>
    <w:rsid w:val="00155A62"/>
    <w:rsid w:val="001579CE"/>
    <w:rsid w:val="00164690"/>
    <w:rsid w:val="001652A0"/>
    <w:rsid w:val="001817D9"/>
    <w:rsid w:val="001826B4"/>
    <w:rsid w:val="001857AD"/>
    <w:rsid w:val="001877E5"/>
    <w:rsid w:val="001930B4"/>
    <w:rsid w:val="00194516"/>
    <w:rsid w:val="001A00AC"/>
    <w:rsid w:val="001A2AE5"/>
    <w:rsid w:val="001A5313"/>
    <w:rsid w:val="001B0DBA"/>
    <w:rsid w:val="001B1C75"/>
    <w:rsid w:val="001B1CEA"/>
    <w:rsid w:val="001B71DB"/>
    <w:rsid w:val="001B767D"/>
    <w:rsid w:val="001C0D18"/>
    <w:rsid w:val="001C28AD"/>
    <w:rsid w:val="001C41BE"/>
    <w:rsid w:val="001C69B4"/>
    <w:rsid w:val="001D0856"/>
    <w:rsid w:val="001D304F"/>
    <w:rsid w:val="001D5AF4"/>
    <w:rsid w:val="001E1F12"/>
    <w:rsid w:val="001E25B6"/>
    <w:rsid w:val="001E424C"/>
    <w:rsid w:val="001E4835"/>
    <w:rsid w:val="001E7489"/>
    <w:rsid w:val="001F148E"/>
    <w:rsid w:val="001F5F07"/>
    <w:rsid w:val="00202190"/>
    <w:rsid w:val="00202F9B"/>
    <w:rsid w:val="00211696"/>
    <w:rsid w:val="0021413F"/>
    <w:rsid w:val="0021425C"/>
    <w:rsid w:val="00215E74"/>
    <w:rsid w:val="00217E3F"/>
    <w:rsid w:val="00221F52"/>
    <w:rsid w:val="00222108"/>
    <w:rsid w:val="00223E7A"/>
    <w:rsid w:val="0022688B"/>
    <w:rsid w:val="002278A5"/>
    <w:rsid w:val="00227E14"/>
    <w:rsid w:val="00230A13"/>
    <w:rsid w:val="00232171"/>
    <w:rsid w:val="002339A4"/>
    <w:rsid w:val="002345FF"/>
    <w:rsid w:val="00242087"/>
    <w:rsid w:val="00250919"/>
    <w:rsid w:val="002546A5"/>
    <w:rsid w:val="00254DA5"/>
    <w:rsid w:val="00271A00"/>
    <w:rsid w:val="00272220"/>
    <w:rsid w:val="00274266"/>
    <w:rsid w:val="002909D8"/>
    <w:rsid w:val="002929D6"/>
    <w:rsid w:val="00292C4B"/>
    <w:rsid w:val="00294055"/>
    <w:rsid w:val="002967C5"/>
    <w:rsid w:val="00297EF8"/>
    <w:rsid w:val="002A2B4F"/>
    <w:rsid w:val="002A4F47"/>
    <w:rsid w:val="002A72CA"/>
    <w:rsid w:val="002B128E"/>
    <w:rsid w:val="002B14CD"/>
    <w:rsid w:val="002B47E9"/>
    <w:rsid w:val="002B506D"/>
    <w:rsid w:val="002B62D6"/>
    <w:rsid w:val="002C0140"/>
    <w:rsid w:val="002C504B"/>
    <w:rsid w:val="002C55F3"/>
    <w:rsid w:val="002C5F8B"/>
    <w:rsid w:val="002C76F0"/>
    <w:rsid w:val="002D0570"/>
    <w:rsid w:val="002D1DDF"/>
    <w:rsid w:val="002D23AA"/>
    <w:rsid w:val="002D2483"/>
    <w:rsid w:val="002D3619"/>
    <w:rsid w:val="002D39A7"/>
    <w:rsid w:val="002D679F"/>
    <w:rsid w:val="002D69E2"/>
    <w:rsid w:val="002D7E9A"/>
    <w:rsid w:val="002E06CC"/>
    <w:rsid w:val="002E3479"/>
    <w:rsid w:val="00301353"/>
    <w:rsid w:val="003034B7"/>
    <w:rsid w:val="00305EB9"/>
    <w:rsid w:val="00311540"/>
    <w:rsid w:val="00312413"/>
    <w:rsid w:val="003152C1"/>
    <w:rsid w:val="003211AC"/>
    <w:rsid w:val="00322F11"/>
    <w:rsid w:val="00324EEA"/>
    <w:rsid w:val="0032648F"/>
    <w:rsid w:val="00327693"/>
    <w:rsid w:val="00327FDF"/>
    <w:rsid w:val="0033476C"/>
    <w:rsid w:val="00336FC5"/>
    <w:rsid w:val="00340016"/>
    <w:rsid w:val="00343284"/>
    <w:rsid w:val="00343487"/>
    <w:rsid w:val="003448B6"/>
    <w:rsid w:val="00344A83"/>
    <w:rsid w:val="00344F35"/>
    <w:rsid w:val="00347049"/>
    <w:rsid w:val="0037013B"/>
    <w:rsid w:val="00370414"/>
    <w:rsid w:val="00371D47"/>
    <w:rsid w:val="00374EA0"/>
    <w:rsid w:val="00376834"/>
    <w:rsid w:val="00382598"/>
    <w:rsid w:val="003838BE"/>
    <w:rsid w:val="0038399A"/>
    <w:rsid w:val="00386805"/>
    <w:rsid w:val="00387A28"/>
    <w:rsid w:val="00391716"/>
    <w:rsid w:val="00393737"/>
    <w:rsid w:val="00396360"/>
    <w:rsid w:val="003A15FA"/>
    <w:rsid w:val="003A3C58"/>
    <w:rsid w:val="003A5159"/>
    <w:rsid w:val="003A65EF"/>
    <w:rsid w:val="003A7DCA"/>
    <w:rsid w:val="003B115C"/>
    <w:rsid w:val="003B2FBD"/>
    <w:rsid w:val="003C3ED1"/>
    <w:rsid w:val="003C799D"/>
    <w:rsid w:val="003D4E65"/>
    <w:rsid w:val="003D5A33"/>
    <w:rsid w:val="003E5072"/>
    <w:rsid w:val="003E6FC9"/>
    <w:rsid w:val="003E74F7"/>
    <w:rsid w:val="003F09E4"/>
    <w:rsid w:val="003F1446"/>
    <w:rsid w:val="003F619F"/>
    <w:rsid w:val="00402316"/>
    <w:rsid w:val="00406398"/>
    <w:rsid w:val="00407B08"/>
    <w:rsid w:val="00410664"/>
    <w:rsid w:val="0041229A"/>
    <w:rsid w:val="00417362"/>
    <w:rsid w:val="004206D4"/>
    <w:rsid w:val="004216FC"/>
    <w:rsid w:val="00424ADB"/>
    <w:rsid w:val="00430BE4"/>
    <w:rsid w:val="00432CDA"/>
    <w:rsid w:val="00433A94"/>
    <w:rsid w:val="004349D6"/>
    <w:rsid w:val="004372B5"/>
    <w:rsid w:val="00445895"/>
    <w:rsid w:val="00446269"/>
    <w:rsid w:val="00447FCD"/>
    <w:rsid w:val="00450D59"/>
    <w:rsid w:val="004531D1"/>
    <w:rsid w:val="00461B06"/>
    <w:rsid w:val="004662A5"/>
    <w:rsid w:val="004732A2"/>
    <w:rsid w:val="00473DCD"/>
    <w:rsid w:val="0047436F"/>
    <w:rsid w:val="00474BDA"/>
    <w:rsid w:val="004754D4"/>
    <w:rsid w:val="00475C86"/>
    <w:rsid w:val="0049035B"/>
    <w:rsid w:val="00492761"/>
    <w:rsid w:val="0049457B"/>
    <w:rsid w:val="00494BD0"/>
    <w:rsid w:val="00497496"/>
    <w:rsid w:val="004A1EB6"/>
    <w:rsid w:val="004A31AA"/>
    <w:rsid w:val="004A3A6D"/>
    <w:rsid w:val="004A5382"/>
    <w:rsid w:val="004A5EC3"/>
    <w:rsid w:val="004A7B5D"/>
    <w:rsid w:val="004B3077"/>
    <w:rsid w:val="004C3B31"/>
    <w:rsid w:val="004C7A42"/>
    <w:rsid w:val="004D49B1"/>
    <w:rsid w:val="004D526B"/>
    <w:rsid w:val="004D6242"/>
    <w:rsid w:val="004E07E3"/>
    <w:rsid w:val="004E41D3"/>
    <w:rsid w:val="004E4B4C"/>
    <w:rsid w:val="004F00F8"/>
    <w:rsid w:val="004F5AB4"/>
    <w:rsid w:val="004F6157"/>
    <w:rsid w:val="004F6C96"/>
    <w:rsid w:val="004F6FB0"/>
    <w:rsid w:val="00501CE5"/>
    <w:rsid w:val="005030C6"/>
    <w:rsid w:val="00506B7E"/>
    <w:rsid w:val="005119A2"/>
    <w:rsid w:val="00512D58"/>
    <w:rsid w:val="00517D62"/>
    <w:rsid w:val="005329E5"/>
    <w:rsid w:val="00537A59"/>
    <w:rsid w:val="00542B5C"/>
    <w:rsid w:val="0054559B"/>
    <w:rsid w:val="0054715D"/>
    <w:rsid w:val="00550408"/>
    <w:rsid w:val="00552E21"/>
    <w:rsid w:val="005550AD"/>
    <w:rsid w:val="00556C5D"/>
    <w:rsid w:val="00562145"/>
    <w:rsid w:val="00580E6D"/>
    <w:rsid w:val="00582723"/>
    <w:rsid w:val="00585725"/>
    <w:rsid w:val="0058646D"/>
    <w:rsid w:val="005864A5"/>
    <w:rsid w:val="005B2BE1"/>
    <w:rsid w:val="005B714E"/>
    <w:rsid w:val="005B7F28"/>
    <w:rsid w:val="005C0F37"/>
    <w:rsid w:val="005C291B"/>
    <w:rsid w:val="005C2B00"/>
    <w:rsid w:val="005C435C"/>
    <w:rsid w:val="005C47B5"/>
    <w:rsid w:val="005D0065"/>
    <w:rsid w:val="005D74B0"/>
    <w:rsid w:val="005E139F"/>
    <w:rsid w:val="005E63FE"/>
    <w:rsid w:val="005E7F1B"/>
    <w:rsid w:val="005F24BD"/>
    <w:rsid w:val="005F2FE5"/>
    <w:rsid w:val="005F556D"/>
    <w:rsid w:val="00602BFF"/>
    <w:rsid w:val="006057B7"/>
    <w:rsid w:val="00605E85"/>
    <w:rsid w:val="006126A2"/>
    <w:rsid w:val="006129C0"/>
    <w:rsid w:val="00614F6F"/>
    <w:rsid w:val="0061594A"/>
    <w:rsid w:val="006322B0"/>
    <w:rsid w:val="0063247A"/>
    <w:rsid w:val="00642564"/>
    <w:rsid w:val="0064508F"/>
    <w:rsid w:val="00647B9F"/>
    <w:rsid w:val="00652B8F"/>
    <w:rsid w:val="006565E0"/>
    <w:rsid w:val="00665E76"/>
    <w:rsid w:val="0066615D"/>
    <w:rsid w:val="00666224"/>
    <w:rsid w:val="00672E5A"/>
    <w:rsid w:val="0067382B"/>
    <w:rsid w:val="00675D2F"/>
    <w:rsid w:val="0068039A"/>
    <w:rsid w:val="00693CE9"/>
    <w:rsid w:val="00694707"/>
    <w:rsid w:val="006A28D8"/>
    <w:rsid w:val="006A3515"/>
    <w:rsid w:val="006A52EE"/>
    <w:rsid w:val="006A5A3C"/>
    <w:rsid w:val="006A5E12"/>
    <w:rsid w:val="006A69AC"/>
    <w:rsid w:val="006B0E4A"/>
    <w:rsid w:val="006B4346"/>
    <w:rsid w:val="006B5F5D"/>
    <w:rsid w:val="006C11CD"/>
    <w:rsid w:val="006D0279"/>
    <w:rsid w:val="006D03EF"/>
    <w:rsid w:val="006D1F1C"/>
    <w:rsid w:val="006D3886"/>
    <w:rsid w:val="006D4317"/>
    <w:rsid w:val="006D6893"/>
    <w:rsid w:val="006E0CC4"/>
    <w:rsid w:val="006E27DD"/>
    <w:rsid w:val="006E4BF6"/>
    <w:rsid w:val="006F09F1"/>
    <w:rsid w:val="006F0C66"/>
    <w:rsid w:val="00700FE0"/>
    <w:rsid w:val="00705461"/>
    <w:rsid w:val="007072D6"/>
    <w:rsid w:val="007123FC"/>
    <w:rsid w:val="007158F8"/>
    <w:rsid w:val="007179BC"/>
    <w:rsid w:val="00720C16"/>
    <w:rsid w:val="00721DBA"/>
    <w:rsid w:val="0073181E"/>
    <w:rsid w:val="007359E3"/>
    <w:rsid w:val="00735D36"/>
    <w:rsid w:val="007377A2"/>
    <w:rsid w:val="00740F6E"/>
    <w:rsid w:val="0074290E"/>
    <w:rsid w:val="00745306"/>
    <w:rsid w:val="007454A3"/>
    <w:rsid w:val="00747823"/>
    <w:rsid w:val="007567F0"/>
    <w:rsid w:val="00756AD6"/>
    <w:rsid w:val="007608D7"/>
    <w:rsid w:val="00761366"/>
    <w:rsid w:val="00761553"/>
    <w:rsid w:val="00762A1A"/>
    <w:rsid w:val="007657DE"/>
    <w:rsid w:val="007669CA"/>
    <w:rsid w:val="00766BB5"/>
    <w:rsid w:val="00771CEC"/>
    <w:rsid w:val="007843E3"/>
    <w:rsid w:val="00785110"/>
    <w:rsid w:val="00785FD6"/>
    <w:rsid w:val="00794055"/>
    <w:rsid w:val="007945AB"/>
    <w:rsid w:val="00794834"/>
    <w:rsid w:val="007A00AB"/>
    <w:rsid w:val="007A09FA"/>
    <w:rsid w:val="007A2120"/>
    <w:rsid w:val="007A23B4"/>
    <w:rsid w:val="007A3DE3"/>
    <w:rsid w:val="007B240E"/>
    <w:rsid w:val="007B26B5"/>
    <w:rsid w:val="007C5124"/>
    <w:rsid w:val="007C6906"/>
    <w:rsid w:val="007D545F"/>
    <w:rsid w:val="007E4742"/>
    <w:rsid w:val="007F4476"/>
    <w:rsid w:val="007F5CF8"/>
    <w:rsid w:val="007F7868"/>
    <w:rsid w:val="007F7AA7"/>
    <w:rsid w:val="00801ABF"/>
    <w:rsid w:val="00801C2F"/>
    <w:rsid w:val="008024B7"/>
    <w:rsid w:val="008028DD"/>
    <w:rsid w:val="00804564"/>
    <w:rsid w:val="008058A6"/>
    <w:rsid w:val="008069AD"/>
    <w:rsid w:val="00807354"/>
    <w:rsid w:val="00810646"/>
    <w:rsid w:val="00812794"/>
    <w:rsid w:val="00813396"/>
    <w:rsid w:val="008171FD"/>
    <w:rsid w:val="00820501"/>
    <w:rsid w:val="008209E0"/>
    <w:rsid w:val="00821B56"/>
    <w:rsid w:val="00821CE4"/>
    <w:rsid w:val="00827A3D"/>
    <w:rsid w:val="008307B2"/>
    <w:rsid w:val="008320ED"/>
    <w:rsid w:val="008356DD"/>
    <w:rsid w:val="0083686C"/>
    <w:rsid w:val="008416B8"/>
    <w:rsid w:val="00842674"/>
    <w:rsid w:val="00843207"/>
    <w:rsid w:val="0085246B"/>
    <w:rsid w:val="00856167"/>
    <w:rsid w:val="00864E2D"/>
    <w:rsid w:val="00865385"/>
    <w:rsid w:val="00871028"/>
    <w:rsid w:val="008724DD"/>
    <w:rsid w:val="0087268B"/>
    <w:rsid w:val="00874C76"/>
    <w:rsid w:val="00881DE2"/>
    <w:rsid w:val="008822EF"/>
    <w:rsid w:val="00886F91"/>
    <w:rsid w:val="00890527"/>
    <w:rsid w:val="0089217D"/>
    <w:rsid w:val="00892A66"/>
    <w:rsid w:val="00894763"/>
    <w:rsid w:val="008A050D"/>
    <w:rsid w:val="008A085A"/>
    <w:rsid w:val="008A1EA7"/>
    <w:rsid w:val="008A63FE"/>
    <w:rsid w:val="008A6EFB"/>
    <w:rsid w:val="008B529D"/>
    <w:rsid w:val="008B7202"/>
    <w:rsid w:val="008C0C04"/>
    <w:rsid w:val="008C5C1D"/>
    <w:rsid w:val="008D2FFC"/>
    <w:rsid w:val="008D5E04"/>
    <w:rsid w:val="008D6C1B"/>
    <w:rsid w:val="008E01C9"/>
    <w:rsid w:val="008E3BF4"/>
    <w:rsid w:val="008E6099"/>
    <w:rsid w:val="008F39F3"/>
    <w:rsid w:val="00903284"/>
    <w:rsid w:val="009039E9"/>
    <w:rsid w:val="00903A5C"/>
    <w:rsid w:val="0090610D"/>
    <w:rsid w:val="00906721"/>
    <w:rsid w:val="0091202E"/>
    <w:rsid w:val="00916A12"/>
    <w:rsid w:val="00921F43"/>
    <w:rsid w:val="00923D1F"/>
    <w:rsid w:val="00923E3C"/>
    <w:rsid w:val="009261B9"/>
    <w:rsid w:val="00932092"/>
    <w:rsid w:val="00934393"/>
    <w:rsid w:val="00937CB9"/>
    <w:rsid w:val="009420F8"/>
    <w:rsid w:val="009436D2"/>
    <w:rsid w:val="00944F7E"/>
    <w:rsid w:val="00957185"/>
    <w:rsid w:val="00957FC9"/>
    <w:rsid w:val="0096084F"/>
    <w:rsid w:val="00960C66"/>
    <w:rsid w:val="009638BA"/>
    <w:rsid w:val="00963B73"/>
    <w:rsid w:val="009651F6"/>
    <w:rsid w:val="0096610F"/>
    <w:rsid w:val="0096786C"/>
    <w:rsid w:val="00972E49"/>
    <w:rsid w:val="00982407"/>
    <w:rsid w:val="00986BF1"/>
    <w:rsid w:val="00990B48"/>
    <w:rsid w:val="00996D40"/>
    <w:rsid w:val="009A21F1"/>
    <w:rsid w:val="009A4FC5"/>
    <w:rsid w:val="009A5BD0"/>
    <w:rsid w:val="009B1088"/>
    <w:rsid w:val="009B2C61"/>
    <w:rsid w:val="009C0271"/>
    <w:rsid w:val="009C7FA0"/>
    <w:rsid w:val="009D029A"/>
    <w:rsid w:val="009D2595"/>
    <w:rsid w:val="009E1877"/>
    <w:rsid w:val="009E43D0"/>
    <w:rsid w:val="009F05F9"/>
    <w:rsid w:val="009F1C16"/>
    <w:rsid w:val="00A049E5"/>
    <w:rsid w:val="00A0501D"/>
    <w:rsid w:val="00A06141"/>
    <w:rsid w:val="00A0623E"/>
    <w:rsid w:val="00A07000"/>
    <w:rsid w:val="00A1235D"/>
    <w:rsid w:val="00A12687"/>
    <w:rsid w:val="00A13C45"/>
    <w:rsid w:val="00A14D43"/>
    <w:rsid w:val="00A22753"/>
    <w:rsid w:val="00A235F5"/>
    <w:rsid w:val="00A33C57"/>
    <w:rsid w:val="00A3411B"/>
    <w:rsid w:val="00A42154"/>
    <w:rsid w:val="00A44E92"/>
    <w:rsid w:val="00A46CD3"/>
    <w:rsid w:val="00A47896"/>
    <w:rsid w:val="00A506E3"/>
    <w:rsid w:val="00A558D1"/>
    <w:rsid w:val="00A573A9"/>
    <w:rsid w:val="00A57FC2"/>
    <w:rsid w:val="00A64FAB"/>
    <w:rsid w:val="00A6524F"/>
    <w:rsid w:val="00A73512"/>
    <w:rsid w:val="00A77A6C"/>
    <w:rsid w:val="00A8004E"/>
    <w:rsid w:val="00A943BC"/>
    <w:rsid w:val="00AA621A"/>
    <w:rsid w:val="00AA7F56"/>
    <w:rsid w:val="00AB47D6"/>
    <w:rsid w:val="00AB4EA3"/>
    <w:rsid w:val="00AB70F6"/>
    <w:rsid w:val="00AB7B59"/>
    <w:rsid w:val="00AC17FC"/>
    <w:rsid w:val="00AC6D92"/>
    <w:rsid w:val="00AC7D6F"/>
    <w:rsid w:val="00AD1E35"/>
    <w:rsid w:val="00AD2AED"/>
    <w:rsid w:val="00AD5CCF"/>
    <w:rsid w:val="00AD7573"/>
    <w:rsid w:val="00AF5AC8"/>
    <w:rsid w:val="00B03762"/>
    <w:rsid w:val="00B12E09"/>
    <w:rsid w:val="00B20573"/>
    <w:rsid w:val="00B226F6"/>
    <w:rsid w:val="00B316B5"/>
    <w:rsid w:val="00B40645"/>
    <w:rsid w:val="00B432BD"/>
    <w:rsid w:val="00B51977"/>
    <w:rsid w:val="00B53926"/>
    <w:rsid w:val="00B54885"/>
    <w:rsid w:val="00B5784B"/>
    <w:rsid w:val="00B6256D"/>
    <w:rsid w:val="00B71174"/>
    <w:rsid w:val="00B72CEC"/>
    <w:rsid w:val="00B756F6"/>
    <w:rsid w:val="00B8427C"/>
    <w:rsid w:val="00B904E4"/>
    <w:rsid w:val="00B91046"/>
    <w:rsid w:val="00B945E0"/>
    <w:rsid w:val="00BA61FA"/>
    <w:rsid w:val="00BA7318"/>
    <w:rsid w:val="00BD146C"/>
    <w:rsid w:val="00BD4A26"/>
    <w:rsid w:val="00BD50CB"/>
    <w:rsid w:val="00BD766A"/>
    <w:rsid w:val="00BE1D3C"/>
    <w:rsid w:val="00BE2CE3"/>
    <w:rsid w:val="00BE3A41"/>
    <w:rsid w:val="00BE4169"/>
    <w:rsid w:val="00BF3374"/>
    <w:rsid w:val="00BF58AC"/>
    <w:rsid w:val="00BF5E36"/>
    <w:rsid w:val="00C00AE3"/>
    <w:rsid w:val="00C00D93"/>
    <w:rsid w:val="00C01AE7"/>
    <w:rsid w:val="00C0405A"/>
    <w:rsid w:val="00C05307"/>
    <w:rsid w:val="00C0572F"/>
    <w:rsid w:val="00C06F2B"/>
    <w:rsid w:val="00C101FB"/>
    <w:rsid w:val="00C12C68"/>
    <w:rsid w:val="00C13796"/>
    <w:rsid w:val="00C1384A"/>
    <w:rsid w:val="00C15953"/>
    <w:rsid w:val="00C17E49"/>
    <w:rsid w:val="00C20201"/>
    <w:rsid w:val="00C31CA1"/>
    <w:rsid w:val="00C35787"/>
    <w:rsid w:val="00C378B6"/>
    <w:rsid w:val="00C42986"/>
    <w:rsid w:val="00C43103"/>
    <w:rsid w:val="00C43D26"/>
    <w:rsid w:val="00C45C2C"/>
    <w:rsid w:val="00C501A6"/>
    <w:rsid w:val="00C541B1"/>
    <w:rsid w:val="00C62AA6"/>
    <w:rsid w:val="00C6634E"/>
    <w:rsid w:val="00C718B9"/>
    <w:rsid w:val="00C7362D"/>
    <w:rsid w:val="00C73CD2"/>
    <w:rsid w:val="00C74795"/>
    <w:rsid w:val="00C760F0"/>
    <w:rsid w:val="00C805F3"/>
    <w:rsid w:val="00C81B03"/>
    <w:rsid w:val="00C85615"/>
    <w:rsid w:val="00C85FCA"/>
    <w:rsid w:val="00C87BD1"/>
    <w:rsid w:val="00C90BD8"/>
    <w:rsid w:val="00C92C12"/>
    <w:rsid w:val="00C92E9D"/>
    <w:rsid w:val="00C96FB0"/>
    <w:rsid w:val="00CA5819"/>
    <w:rsid w:val="00CA5865"/>
    <w:rsid w:val="00CA5D99"/>
    <w:rsid w:val="00CA6BBC"/>
    <w:rsid w:val="00CB0E30"/>
    <w:rsid w:val="00CB45B1"/>
    <w:rsid w:val="00CC123A"/>
    <w:rsid w:val="00CC428E"/>
    <w:rsid w:val="00CC4E09"/>
    <w:rsid w:val="00CC5EBD"/>
    <w:rsid w:val="00CC62DD"/>
    <w:rsid w:val="00CD0584"/>
    <w:rsid w:val="00CD222A"/>
    <w:rsid w:val="00CE2911"/>
    <w:rsid w:val="00CE2CF5"/>
    <w:rsid w:val="00CE57DC"/>
    <w:rsid w:val="00CF5908"/>
    <w:rsid w:val="00CF663C"/>
    <w:rsid w:val="00D031CD"/>
    <w:rsid w:val="00D114EA"/>
    <w:rsid w:val="00D11916"/>
    <w:rsid w:val="00D13C6D"/>
    <w:rsid w:val="00D14E26"/>
    <w:rsid w:val="00D15F4D"/>
    <w:rsid w:val="00D21F18"/>
    <w:rsid w:val="00D21F5F"/>
    <w:rsid w:val="00D23FCD"/>
    <w:rsid w:val="00D23FEC"/>
    <w:rsid w:val="00D267F3"/>
    <w:rsid w:val="00D30CD3"/>
    <w:rsid w:val="00D36D2C"/>
    <w:rsid w:val="00D36ECF"/>
    <w:rsid w:val="00D37F7D"/>
    <w:rsid w:val="00D41A05"/>
    <w:rsid w:val="00D41A5C"/>
    <w:rsid w:val="00D54300"/>
    <w:rsid w:val="00D5460C"/>
    <w:rsid w:val="00D55082"/>
    <w:rsid w:val="00D61FD8"/>
    <w:rsid w:val="00D62791"/>
    <w:rsid w:val="00D6563C"/>
    <w:rsid w:val="00D70CD0"/>
    <w:rsid w:val="00D73806"/>
    <w:rsid w:val="00D76161"/>
    <w:rsid w:val="00D81CAD"/>
    <w:rsid w:val="00D864C5"/>
    <w:rsid w:val="00D8664F"/>
    <w:rsid w:val="00D87683"/>
    <w:rsid w:val="00D930E1"/>
    <w:rsid w:val="00D9527C"/>
    <w:rsid w:val="00D9595C"/>
    <w:rsid w:val="00D97501"/>
    <w:rsid w:val="00DA59C5"/>
    <w:rsid w:val="00DB17AB"/>
    <w:rsid w:val="00DB7F21"/>
    <w:rsid w:val="00DC3EDB"/>
    <w:rsid w:val="00DD10E1"/>
    <w:rsid w:val="00DD595C"/>
    <w:rsid w:val="00DD5EE7"/>
    <w:rsid w:val="00DD7DBE"/>
    <w:rsid w:val="00DD7E56"/>
    <w:rsid w:val="00DE32DE"/>
    <w:rsid w:val="00DE4A53"/>
    <w:rsid w:val="00DE59B7"/>
    <w:rsid w:val="00DF4523"/>
    <w:rsid w:val="00DF49BE"/>
    <w:rsid w:val="00DF5CE2"/>
    <w:rsid w:val="00E045E6"/>
    <w:rsid w:val="00E0536F"/>
    <w:rsid w:val="00E05C61"/>
    <w:rsid w:val="00E2299B"/>
    <w:rsid w:val="00E25088"/>
    <w:rsid w:val="00E2590D"/>
    <w:rsid w:val="00E25A41"/>
    <w:rsid w:val="00E374B8"/>
    <w:rsid w:val="00E4065F"/>
    <w:rsid w:val="00E42DF0"/>
    <w:rsid w:val="00E53859"/>
    <w:rsid w:val="00E558D6"/>
    <w:rsid w:val="00E63D6B"/>
    <w:rsid w:val="00E63F0A"/>
    <w:rsid w:val="00E71D37"/>
    <w:rsid w:val="00E71E22"/>
    <w:rsid w:val="00E74A0E"/>
    <w:rsid w:val="00E76013"/>
    <w:rsid w:val="00E9021A"/>
    <w:rsid w:val="00E927E2"/>
    <w:rsid w:val="00EA0181"/>
    <w:rsid w:val="00EA1BFD"/>
    <w:rsid w:val="00EA1FEA"/>
    <w:rsid w:val="00EA2F09"/>
    <w:rsid w:val="00EA3F36"/>
    <w:rsid w:val="00EA732E"/>
    <w:rsid w:val="00EB26F1"/>
    <w:rsid w:val="00EC27E5"/>
    <w:rsid w:val="00EC333D"/>
    <w:rsid w:val="00EC6B2E"/>
    <w:rsid w:val="00ED4D5F"/>
    <w:rsid w:val="00ED6D16"/>
    <w:rsid w:val="00ED6ECB"/>
    <w:rsid w:val="00EE5FA4"/>
    <w:rsid w:val="00EE6CC9"/>
    <w:rsid w:val="00EF0438"/>
    <w:rsid w:val="00EF6348"/>
    <w:rsid w:val="00F072FF"/>
    <w:rsid w:val="00F07900"/>
    <w:rsid w:val="00F104F8"/>
    <w:rsid w:val="00F12E0E"/>
    <w:rsid w:val="00F1329E"/>
    <w:rsid w:val="00F20EE9"/>
    <w:rsid w:val="00F274D7"/>
    <w:rsid w:val="00F3119D"/>
    <w:rsid w:val="00F35612"/>
    <w:rsid w:val="00F3637D"/>
    <w:rsid w:val="00F510D3"/>
    <w:rsid w:val="00F53163"/>
    <w:rsid w:val="00F54693"/>
    <w:rsid w:val="00F575BB"/>
    <w:rsid w:val="00F61429"/>
    <w:rsid w:val="00F65C47"/>
    <w:rsid w:val="00F70E73"/>
    <w:rsid w:val="00F71522"/>
    <w:rsid w:val="00F73322"/>
    <w:rsid w:val="00F73DDC"/>
    <w:rsid w:val="00F8085A"/>
    <w:rsid w:val="00F81B8E"/>
    <w:rsid w:val="00F84071"/>
    <w:rsid w:val="00F865A7"/>
    <w:rsid w:val="00F868CB"/>
    <w:rsid w:val="00F87881"/>
    <w:rsid w:val="00FA089C"/>
    <w:rsid w:val="00FA5772"/>
    <w:rsid w:val="00FA7998"/>
    <w:rsid w:val="00FB0CAE"/>
    <w:rsid w:val="00FB0FCC"/>
    <w:rsid w:val="00FB2D53"/>
    <w:rsid w:val="00FC2725"/>
    <w:rsid w:val="00FC2A21"/>
    <w:rsid w:val="00FC2EA6"/>
    <w:rsid w:val="00FD0670"/>
    <w:rsid w:val="00FD29F1"/>
    <w:rsid w:val="00FD630B"/>
    <w:rsid w:val="00FD6BB8"/>
    <w:rsid w:val="00FE355F"/>
    <w:rsid w:val="00FF1F08"/>
    <w:rsid w:val="00FF2108"/>
    <w:rsid w:val="00FF48EA"/>
    <w:rsid w:val="00FF58BF"/>
    <w:rsid w:val="00FF64F3"/>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5B04"/>
  <w15:docId w15:val="{50AAE88B-DC60-4C1F-8644-FAA24CC6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8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EEA"/>
    <w:pPr>
      <w:tabs>
        <w:tab w:val="center" w:pos="4680"/>
        <w:tab w:val="right" w:pos="9360"/>
      </w:tabs>
    </w:pPr>
  </w:style>
  <w:style w:type="character" w:customStyle="1" w:styleId="FooterChar">
    <w:name w:val="Footer Char"/>
    <w:basedOn w:val="DefaultParagraphFont"/>
    <w:link w:val="Footer"/>
    <w:uiPriority w:val="99"/>
    <w:rsid w:val="00324EEA"/>
  </w:style>
  <w:style w:type="paragraph" w:styleId="Header">
    <w:name w:val="header"/>
    <w:basedOn w:val="Normal"/>
    <w:link w:val="HeaderChar"/>
    <w:uiPriority w:val="99"/>
    <w:unhideWhenUsed/>
    <w:rsid w:val="00324EEA"/>
    <w:pPr>
      <w:tabs>
        <w:tab w:val="center" w:pos="4680"/>
        <w:tab w:val="right" w:pos="9360"/>
      </w:tabs>
    </w:pPr>
  </w:style>
  <w:style w:type="character" w:customStyle="1" w:styleId="HeaderChar">
    <w:name w:val="Header Char"/>
    <w:basedOn w:val="DefaultParagraphFont"/>
    <w:link w:val="Header"/>
    <w:uiPriority w:val="99"/>
    <w:rsid w:val="00324EEA"/>
  </w:style>
  <w:style w:type="paragraph" w:styleId="FootnoteText">
    <w:name w:val="footnote text"/>
    <w:basedOn w:val="Normal"/>
    <w:link w:val="FootnoteTextChar"/>
    <w:uiPriority w:val="99"/>
    <w:unhideWhenUsed/>
    <w:rsid w:val="009A4FC5"/>
    <w:rPr>
      <w:sz w:val="20"/>
      <w:szCs w:val="20"/>
    </w:rPr>
  </w:style>
  <w:style w:type="character" w:customStyle="1" w:styleId="FootnoteTextChar">
    <w:name w:val="Footnote Text Char"/>
    <w:basedOn w:val="DefaultParagraphFont"/>
    <w:link w:val="FootnoteText"/>
    <w:uiPriority w:val="99"/>
    <w:rsid w:val="009A4FC5"/>
    <w:rPr>
      <w:sz w:val="20"/>
      <w:szCs w:val="20"/>
    </w:rPr>
  </w:style>
  <w:style w:type="character" w:styleId="FootnoteReference">
    <w:name w:val="footnote reference"/>
    <w:basedOn w:val="DefaultParagraphFont"/>
    <w:uiPriority w:val="99"/>
    <w:semiHidden/>
    <w:unhideWhenUsed/>
    <w:rsid w:val="009A4FC5"/>
    <w:rPr>
      <w:vertAlign w:val="superscript"/>
    </w:rPr>
  </w:style>
  <w:style w:type="paragraph" w:styleId="BalloonText">
    <w:name w:val="Balloon Text"/>
    <w:basedOn w:val="Normal"/>
    <w:link w:val="BalloonTextChar"/>
    <w:uiPriority w:val="99"/>
    <w:semiHidden/>
    <w:unhideWhenUsed/>
    <w:rsid w:val="000D0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B5"/>
    <w:rPr>
      <w:rFonts w:ascii="Segoe UI" w:hAnsi="Segoe UI" w:cs="Segoe UI"/>
      <w:sz w:val="18"/>
      <w:szCs w:val="18"/>
    </w:rPr>
  </w:style>
  <w:style w:type="character" w:styleId="Strong">
    <w:name w:val="Strong"/>
    <w:basedOn w:val="DefaultParagraphFont"/>
    <w:uiPriority w:val="22"/>
    <w:qFormat/>
    <w:rsid w:val="000D04B5"/>
    <w:rPr>
      <w:b/>
      <w:bCs/>
    </w:rPr>
  </w:style>
  <w:style w:type="paragraph" w:styleId="ListParagraph">
    <w:name w:val="List Paragraph"/>
    <w:basedOn w:val="Normal"/>
    <w:uiPriority w:val="34"/>
    <w:qFormat/>
    <w:rsid w:val="000D04B5"/>
    <w:pPr>
      <w:ind w:left="720"/>
      <w:contextualSpacing/>
    </w:pPr>
  </w:style>
  <w:style w:type="numbering" w:customStyle="1" w:styleId="briefoutline">
    <w:name w:val="brief outline"/>
    <w:uiPriority w:val="99"/>
    <w:rsid w:val="000D04B5"/>
    <w:pPr>
      <w:numPr>
        <w:numId w:val="3"/>
      </w:numPr>
    </w:pPr>
  </w:style>
  <w:style w:type="character" w:customStyle="1" w:styleId="Heading1Char">
    <w:name w:val="Heading 1 Char"/>
    <w:basedOn w:val="DefaultParagraphFont"/>
    <w:link w:val="Heading1"/>
    <w:uiPriority w:val="9"/>
    <w:rsid w:val="0038680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B02CB"/>
    <w:rPr>
      <w:sz w:val="16"/>
      <w:szCs w:val="16"/>
    </w:rPr>
  </w:style>
  <w:style w:type="paragraph" w:styleId="CommentText">
    <w:name w:val="annotation text"/>
    <w:basedOn w:val="Normal"/>
    <w:link w:val="CommentTextChar"/>
    <w:uiPriority w:val="99"/>
    <w:semiHidden/>
    <w:unhideWhenUsed/>
    <w:rsid w:val="000B02CB"/>
    <w:rPr>
      <w:sz w:val="20"/>
      <w:szCs w:val="20"/>
    </w:rPr>
  </w:style>
  <w:style w:type="character" w:customStyle="1" w:styleId="CommentTextChar">
    <w:name w:val="Comment Text Char"/>
    <w:basedOn w:val="DefaultParagraphFont"/>
    <w:link w:val="CommentText"/>
    <w:uiPriority w:val="99"/>
    <w:semiHidden/>
    <w:rsid w:val="000B02CB"/>
    <w:rPr>
      <w:sz w:val="20"/>
      <w:szCs w:val="20"/>
    </w:rPr>
  </w:style>
  <w:style w:type="paragraph" w:styleId="CommentSubject">
    <w:name w:val="annotation subject"/>
    <w:basedOn w:val="CommentText"/>
    <w:next w:val="CommentText"/>
    <w:link w:val="CommentSubjectChar"/>
    <w:uiPriority w:val="99"/>
    <w:semiHidden/>
    <w:unhideWhenUsed/>
    <w:rsid w:val="000B02CB"/>
    <w:rPr>
      <w:b/>
      <w:bCs/>
    </w:rPr>
  </w:style>
  <w:style w:type="character" w:customStyle="1" w:styleId="CommentSubjectChar">
    <w:name w:val="Comment Subject Char"/>
    <w:basedOn w:val="CommentTextChar"/>
    <w:link w:val="CommentSubject"/>
    <w:uiPriority w:val="99"/>
    <w:semiHidden/>
    <w:rsid w:val="000B02CB"/>
    <w:rPr>
      <w:b/>
      <w:bCs/>
      <w:sz w:val="20"/>
      <w:szCs w:val="20"/>
    </w:rPr>
  </w:style>
  <w:style w:type="paragraph" w:styleId="Revision">
    <w:name w:val="Revision"/>
    <w:hidden/>
    <w:uiPriority w:val="99"/>
    <w:semiHidden/>
    <w:rsid w:val="000B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6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lesser@calfee.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keaney@calfee.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alexander@calfee.com"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darr@mwncmh.com" TargetMode="External"/><Relationship Id="rId22" Type="http://schemas.openxmlformats.org/officeDocument/2006/relationships/hyperlink" Target="mailto:jlang@calf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E3E6-31C8-43DD-AFD0-6E8255B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12</Pages>
  <Words>2447</Words>
  <Characters>13674</Characters>
  <Application>Microsoft Office Word</Application>
  <DocSecurity>0</DocSecurity>
  <PresentationFormat/>
  <Lines>335</Lines>
  <Paragraphs>131</Paragraphs>
  <ScaleCrop>false</ScaleCrop>
  <HeadingPairs>
    <vt:vector size="2" baseType="variant">
      <vt:variant>
        <vt:lpstr>Title</vt:lpstr>
      </vt:variant>
      <vt:variant>
        <vt:i4>1</vt:i4>
      </vt:variant>
    </vt:vector>
  </HeadingPairs>
  <TitlesOfParts>
    <vt:vector size="1" baseType="lpstr">
      <vt:lpstr>occ v. aep; reply to occ memo contra IEU intervention (C50094-2).DOCX</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v. aep; reply to occ memo contra IEU intervention (C50094-2).DOCX</dc:title>
  <dc:subject>C50094:2 /font=8</dc:subject>
  <dc:creator>Frank Darr</dc:creator>
  <cp:keywords/>
  <dc:description/>
  <cp:lastModifiedBy>Karen Bowman</cp:lastModifiedBy>
  <cp:revision>43</cp:revision>
  <cp:lastPrinted>2016-06-01T14:00:00Z</cp:lastPrinted>
  <dcterms:created xsi:type="dcterms:W3CDTF">2016-05-26T15:06:00Z</dcterms:created>
  <dcterms:modified xsi:type="dcterms:W3CDTF">2016-06-01T18:26:00Z</dcterms:modified>
</cp:coreProperties>
</file>