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A044B5" w:rsidP="00B70CBC" w14:paraId="629A6AC5" w14:textId="77777777">
      <w:pPr>
        <w:pStyle w:val="HTMLPreformatted"/>
        <w:jc w:val="center"/>
        <w:rPr>
          <w:rFonts w:ascii="Times New Roman" w:hAnsi="Times New Roman"/>
          <w:b/>
          <w:bCs/>
          <w:sz w:val="24"/>
        </w:rPr>
      </w:pPr>
      <w:bookmarkStart w:id="0" w:name="_GoBack"/>
      <w:bookmarkEnd w:id="0"/>
      <w:r>
        <w:rPr>
          <w:rFonts w:ascii="Times New Roman" w:hAnsi="Times New Roman"/>
          <w:b/>
          <w:bCs/>
          <w:sz w:val="24"/>
        </w:rPr>
        <w:t>BEFORE</w:t>
      </w:r>
    </w:p>
    <w:p w:rsidR="00A044B5" w:rsidP="00B70CBC" w14:paraId="58FEFBA1" w14:textId="77777777">
      <w:pPr>
        <w:pStyle w:val="HTMLPreformatted"/>
        <w:jc w:val="center"/>
        <w:rPr>
          <w:rFonts w:ascii="Times New Roman" w:hAnsi="Times New Roman"/>
          <w:sz w:val="24"/>
        </w:rPr>
      </w:pPr>
      <w:r>
        <w:rPr>
          <w:rFonts w:ascii="Times New Roman" w:hAnsi="Times New Roman"/>
          <w:b/>
          <w:bCs/>
          <w:sz w:val="24"/>
        </w:rPr>
        <w:t>THE PUBLIC UTILITIES COMMISSION OF OHIO</w:t>
      </w:r>
    </w:p>
    <w:p w:rsidR="00A044B5" w:rsidP="00B70CBC" w14:paraId="49083730" w14:textId="77777777">
      <w:pPr>
        <w:pStyle w:val="HTMLPreformatted"/>
        <w:rPr>
          <w:rFonts w:ascii="Times New Roman" w:hAnsi="Times New Roman"/>
          <w:sz w:val="24"/>
        </w:rPr>
      </w:pPr>
    </w:p>
    <w:tbl>
      <w:tblPr>
        <w:tblW w:w="9360" w:type="dxa"/>
        <w:tblLook w:val="01E0"/>
      </w:tblPr>
      <w:tblGrid>
        <w:gridCol w:w="4567"/>
        <w:gridCol w:w="296"/>
        <w:gridCol w:w="4497"/>
      </w:tblGrid>
      <w:tr w14:paraId="11681825" w14:textId="77777777" w:rsidTr="00BE1BB7">
        <w:tblPrEx>
          <w:tblW w:w="9360" w:type="dxa"/>
          <w:tblLook w:val="01E0"/>
        </w:tblPrEx>
        <w:trPr>
          <w:trHeight w:val="807"/>
        </w:trPr>
        <w:tc>
          <w:tcPr>
            <w:tcW w:w="4569" w:type="dxa"/>
            <w:shd w:val="clear" w:color="auto" w:fill="auto"/>
          </w:tcPr>
          <w:p w:rsidR="00A044B5" w:rsidRPr="00A044B5" w:rsidP="00B70CBC" w14:paraId="5B3A1543" w14:textId="77777777">
            <w:pPr>
              <w:pStyle w:val="HTMLPreformatted"/>
              <w:rPr>
                <w:rFonts w:ascii="Times New Roman" w:hAnsi="Times New Roman"/>
                <w:sz w:val="24"/>
                <w:szCs w:val="24"/>
              </w:rPr>
            </w:pPr>
            <w:r w:rsidRPr="00A044B5">
              <w:rPr>
                <w:rFonts w:ascii="Times New Roman" w:hAnsi="Times New Roman" w:cs="Times New Roman"/>
                <w:sz w:val="24"/>
                <w:szCs w:val="24"/>
              </w:rPr>
              <w:t>In the Matter of</w:t>
            </w:r>
            <w:r>
              <w:rPr>
                <w:rFonts w:ascii="Times New Roman" w:hAnsi="Times New Roman" w:cs="Times New Roman"/>
                <w:sz w:val="24"/>
                <w:szCs w:val="24"/>
              </w:rPr>
              <w:t xml:space="preserve"> the Application of Ohio Edison Company, The Cleveland Electric Illuminating Company, and The Toledo Edison Company for Approval of a Decoupling Mechanism.</w:t>
            </w:r>
          </w:p>
        </w:tc>
        <w:tc>
          <w:tcPr>
            <w:tcW w:w="291" w:type="dxa"/>
            <w:shd w:val="clear" w:color="auto" w:fill="auto"/>
          </w:tcPr>
          <w:p w:rsidR="00A044B5" w:rsidRPr="00A044B5" w:rsidP="00B70CBC" w14:paraId="5E4E8999" w14:textId="77777777">
            <w:pPr>
              <w:pStyle w:val="HTMLPreformatted"/>
              <w:rPr>
                <w:rFonts w:ascii="Times New Roman" w:hAnsi="Times New Roman"/>
                <w:sz w:val="24"/>
              </w:rPr>
            </w:pPr>
            <w:r w:rsidRPr="00A044B5">
              <w:rPr>
                <w:rFonts w:ascii="Times New Roman" w:hAnsi="Times New Roman"/>
                <w:sz w:val="24"/>
              </w:rPr>
              <w:t>)</w:t>
            </w:r>
          </w:p>
          <w:p w:rsidR="00A044B5" w:rsidRPr="00A044B5" w:rsidP="00B70CBC" w14:paraId="06019FC2" w14:textId="77777777">
            <w:pPr>
              <w:pStyle w:val="HTMLPreformatted"/>
              <w:rPr>
                <w:rFonts w:ascii="Times New Roman" w:hAnsi="Times New Roman"/>
                <w:sz w:val="24"/>
              </w:rPr>
            </w:pPr>
            <w:r w:rsidRPr="00A044B5">
              <w:rPr>
                <w:rFonts w:ascii="Times New Roman" w:hAnsi="Times New Roman"/>
                <w:sz w:val="24"/>
              </w:rPr>
              <w:t>)</w:t>
            </w:r>
          </w:p>
          <w:p w:rsidR="00A044B5" w:rsidRPr="00A044B5" w:rsidP="00B70CBC" w14:paraId="075A7B8B" w14:textId="77777777">
            <w:pPr>
              <w:pStyle w:val="HTMLPreformatted"/>
              <w:rPr>
                <w:rFonts w:ascii="Times New Roman" w:hAnsi="Times New Roman"/>
                <w:sz w:val="24"/>
              </w:rPr>
            </w:pPr>
            <w:r w:rsidRPr="00A044B5">
              <w:rPr>
                <w:rFonts w:ascii="Times New Roman" w:hAnsi="Times New Roman"/>
                <w:sz w:val="24"/>
              </w:rPr>
              <w:t>)</w:t>
            </w:r>
          </w:p>
          <w:p w:rsidR="00A044B5" w:rsidP="00B70CBC" w14:paraId="35424176" w14:textId="77777777">
            <w:pPr>
              <w:pStyle w:val="HTMLPreformatted"/>
              <w:rPr>
                <w:rFonts w:ascii="Times New Roman" w:hAnsi="Times New Roman"/>
                <w:sz w:val="24"/>
              </w:rPr>
            </w:pPr>
            <w:r w:rsidRPr="00A044B5">
              <w:rPr>
                <w:rFonts w:ascii="Times New Roman" w:hAnsi="Times New Roman"/>
                <w:sz w:val="24"/>
              </w:rPr>
              <w:t>)</w:t>
            </w:r>
          </w:p>
          <w:p w:rsidR="00D30729" w:rsidRPr="00A044B5" w:rsidP="00B70CBC" w14:paraId="49D62E06" w14:textId="77777777">
            <w:pPr>
              <w:pStyle w:val="HTMLPreformatted"/>
              <w:rPr>
                <w:rFonts w:ascii="Times New Roman" w:hAnsi="Times New Roman"/>
                <w:sz w:val="24"/>
              </w:rPr>
            </w:pPr>
            <w:r>
              <w:rPr>
                <w:rFonts w:ascii="Times New Roman" w:hAnsi="Times New Roman"/>
                <w:sz w:val="24"/>
              </w:rPr>
              <w:t>)</w:t>
            </w:r>
          </w:p>
        </w:tc>
        <w:tc>
          <w:tcPr>
            <w:tcW w:w="4500" w:type="dxa"/>
            <w:shd w:val="clear" w:color="auto" w:fill="auto"/>
          </w:tcPr>
          <w:p w:rsidR="00A044B5" w:rsidRPr="00A044B5" w:rsidP="00B70CBC" w14:paraId="38B07412" w14:textId="77777777">
            <w:pPr>
              <w:pStyle w:val="HTMLPreformatted"/>
              <w:rPr>
                <w:rFonts w:ascii="Times New Roman" w:hAnsi="Times New Roman"/>
                <w:sz w:val="24"/>
              </w:rPr>
            </w:pPr>
          </w:p>
          <w:p w:rsidR="00A044B5" w:rsidP="00B70CBC" w14:paraId="6461B2D9" w14:textId="77777777">
            <w:pPr>
              <w:pStyle w:val="HTMLPreformatted"/>
              <w:rPr>
                <w:rFonts w:ascii="Times New Roman" w:hAnsi="Times New Roman"/>
                <w:sz w:val="24"/>
              </w:rPr>
            </w:pPr>
            <w:r w:rsidRPr="00A044B5">
              <w:rPr>
                <w:rFonts w:ascii="Times New Roman" w:hAnsi="Times New Roman"/>
                <w:sz w:val="24"/>
              </w:rPr>
              <w:t xml:space="preserve">Case No. </w:t>
            </w:r>
            <w:r>
              <w:rPr>
                <w:rFonts w:ascii="Times New Roman" w:hAnsi="Times New Roman"/>
                <w:sz w:val="24"/>
              </w:rPr>
              <w:t>19-2080-EL-ATA</w:t>
            </w:r>
          </w:p>
          <w:p w:rsidR="00D30729" w:rsidRPr="00A044B5" w:rsidP="00B70CBC" w14:paraId="131726A5" w14:textId="77777777">
            <w:pPr>
              <w:pStyle w:val="HTMLPreformatted"/>
              <w:rPr>
                <w:rFonts w:ascii="Times New Roman" w:hAnsi="Times New Roman"/>
                <w:sz w:val="24"/>
              </w:rPr>
            </w:pPr>
            <w:r>
              <w:rPr>
                <w:rFonts w:ascii="Times New Roman" w:hAnsi="Times New Roman"/>
                <w:sz w:val="24"/>
              </w:rPr>
              <w:t>Case No. 19-2081-EL-AAM</w:t>
            </w:r>
          </w:p>
          <w:p w:rsidR="00A044B5" w:rsidRPr="00A044B5" w:rsidP="00B70CBC" w14:paraId="7A324C6C" w14:textId="77777777">
            <w:pPr>
              <w:pStyle w:val="HTMLPreformatted"/>
              <w:rPr>
                <w:rFonts w:ascii="Times New Roman" w:hAnsi="Times New Roman"/>
                <w:sz w:val="24"/>
              </w:rPr>
            </w:pPr>
          </w:p>
          <w:p w:rsidR="00A044B5" w:rsidRPr="00A044B5" w:rsidP="00B70CBC" w14:paraId="76AACC2F" w14:textId="77777777">
            <w:pPr>
              <w:pStyle w:val="HTMLPreformatted"/>
              <w:rPr>
                <w:rFonts w:ascii="Times New Roman" w:hAnsi="Times New Roman"/>
                <w:sz w:val="24"/>
              </w:rPr>
            </w:pPr>
          </w:p>
        </w:tc>
      </w:tr>
    </w:tbl>
    <w:p w:rsidR="00A044B5" w:rsidP="00B70CBC" w14:paraId="6172FAA9" w14:textId="77777777">
      <w:pPr>
        <w:pStyle w:val="HTMLPreformatted"/>
        <w:rPr>
          <w:rFonts w:ascii="Times New Roman" w:hAnsi="Times New Roman"/>
          <w:sz w:val="24"/>
        </w:rPr>
      </w:pPr>
    </w:p>
    <w:p w:rsidR="00A044B5" w:rsidP="00B70CBC" w14:paraId="13072094" w14:textId="77777777">
      <w:pPr>
        <w:pStyle w:val="HTMLPreformatted"/>
        <w:pBdr>
          <w:top w:val="single" w:sz="12" w:space="1" w:color="auto"/>
        </w:pBdr>
        <w:rPr>
          <w:rFonts w:ascii="Times New Roman" w:hAnsi="Times New Roman"/>
          <w:sz w:val="24"/>
        </w:rPr>
      </w:pPr>
    </w:p>
    <w:p w:rsidR="00A044B5" w:rsidP="00B70CBC" w14:paraId="137998EC" w14:textId="09B98FA1">
      <w:pPr>
        <w:jc w:val="center"/>
        <w:rPr>
          <w:b/>
          <w:bCs/>
        </w:rPr>
      </w:pPr>
      <w:r>
        <w:rPr>
          <w:b/>
          <w:bCs/>
        </w:rPr>
        <w:t xml:space="preserve">MOTION TO MODIFY COMPLIANCE TARIFFS </w:t>
      </w:r>
      <w:r>
        <w:rPr>
          <w:b/>
          <w:bCs/>
        </w:rPr>
        <w:br/>
        <w:t>CONSISTENT WITH COMMISSION FINDING AND ORDER</w:t>
      </w:r>
    </w:p>
    <w:p w:rsidR="00A044B5" w:rsidP="00B70CBC" w14:paraId="3AEC5054" w14:textId="77777777">
      <w:pPr>
        <w:jc w:val="center"/>
        <w:rPr>
          <w:b/>
          <w:bCs/>
        </w:rPr>
      </w:pPr>
      <w:r>
        <w:rPr>
          <w:b/>
          <w:bCs/>
        </w:rPr>
        <w:t>BY</w:t>
      </w:r>
    </w:p>
    <w:p w:rsidR="00A044B5" w:rsidP="00B70CBC" w14:paraId="16D28202" w14:textId="77777777">
      <w:pPr>
        <w:jc w:val="center"/>
        <w:rPr>
          <w:b/>
          <w:bCs/>
        </w:rPr>
      </w:pPr>
      <w:r>
        <w:rPr>
          <w:b/>
          <w:bCs/>
        </w:rPr>
        <w:t>THE OFFICE OF THE OHIO CONSUMERS’ COUNSEL</w:t>
      </w:r>
    </w:p>
    <w:p w:rsidR="00A044B5" w:rsidP="00B70CBC" w14:paraId="24D231E3" w14:textId="77777777">
      <w:pPr>
        <w:pBdr>
          <w:bottom w:val="single" w:sz="12" w:space="1" w:color="auto"/>
        </w:pBdr>
        <w:tabs>
          <w:tab w:val="left" w:pos="4320"/>
        </w:tabs>
      </w:pPr>
    </w:p>
    <w:p w:rsidR="00A044B5" w:rsidP="00B70CBC" w14:paraId="2ED09CEB" w14:textId="77777777">
      <w:pPr>
        <w:tabs>
          <w:tab w:val="left" w:pos="4320"/>
        </w:tabs>
      </w:pPr>
    </w:p>
    <w:p w:rsidR="00222B38" w:rsidP="00E420E7" w14:paraId="3FD2B2CB" w14:textId="0BD97D50">
      <w:pPr>
        <w:pStyle w:val="BodyTextIndent3"/>
        <w:spacing w:line="480" w:lineRule="auto"/>
      </w:pPr>
      <w:r>
        <w:t xml:space="preserve">The Public Utilities Commission of Ohio </w:t>
      </w:r>
      <w:r w:rsidR="00461DEE">
        <w:t xml:space="preserve">(“PUCO”) </w:t>
      </w:r>
      <w:r>
        <w:t>approved FirstEnergy’s charges to consumers for “decoupling” under House Bill 6.</w:t>
      </w:r>
      <w:r>
        <w:rPr>
          <w:rStyle w:val="FootnoteReference"/>
        </w:rPr>
        <w:footnoteReference w:id="2"/>
      </w:r>
      <w:r>
        <w:t xml:space="preserve"> In its Order, the PUCO protected consumers by requiring FirstEnergy to modify its decoupling rider tariffs to allow </w:t>
      </w:r>
      <w:r w:rsidR="004D3902">
        <w:t xml:space="preserve">refunds for </w:t>
      </w:r>
      <w:r>
        <w:t>customers based on subsequent audits of the decoupling rider charges: “the Commission directs FirstEnergy to file revised tariffs which specify that the funds collected through Rider CSR should be subject to refund, based on the results of any future audit ordered by the Commission and conducted by Staff or a third-party consultant of the Companies’ Rider CSR and/or Rider DSE.”</w:t>
      </w:r>
      <w:r>
        <w:rPr>
          <w:rStyle w:val="FootnoteReference"/>
        </w:rPr>
        <w:footnoteReference w:id="3"/>
      </w:r>
    </w:p>
    <w:p w:rsidR="00323DB3" w:rsidP="00B6418E" w14:paraId="752F0C52" w14:textId="73CB326E">
      <w:pPr>
        <w:pStyle w:val="BodyTextIndent3"/>
        <w:spacing w:line="480" w:lineRule="auto"/>
      </w:pPr>
      <w:r>
        <w:t>FirstEnergy then filed updated tariff sheets, which it claimed were “[i]n response to and in compliance with the” Order.</w:t>
      </w:r>
      <w:r>
        <w:rPr>
          <w:rStyle w:val="FootnoteReference"/>
        </w:rPr>
        <w:footnoteReference w:id="4"/>
      </w:r>
      <w:r>
        <w:t xml:space="preserve"> But FirstEnergy’s updated tariff sheets do not comply with the Order. FirstEnergy included the following language in the updated tariffs: “this Rider shall be adjusted annually to reconcile </w:t>
      </w:r>
      <w:r>
        <w:t xml:space="preserve">any over or under recovery from the prior year, with additional </w:t>
      </w:r>
      <w:r>
        <w:t>reconciliation based upon the result of any future audit ordered by the Commission that finds this Rider will result in a double recovery.”</w:t>
      </w:r>
      <w:r>
        <w:rPr>
          <w:rStyle w:val="FootnoteReference"/>
        </w:rPr>
        <w:footnoteReference w:id="5"/>
      </w:r>
      <w:r w:rsidR="00B6418E">
        <w:t xml:space="preserve"> </w:t>
      </w:r>
      <w:r>
        <w:t xml:space="preserve">This language violates the Order </w:t>
      </w:r>
      <w:r w:rsidR="00B6418E">
        <w:t>because</w:t>
      </w:r>
      <w:r>
        <w:t xml:space="preserve"> it limits reconciliation of the rider exclusively to a finding of a “double recovery,” despite the Order</w:t>
      </w:r>
      <w:r w:rsidR="004D3902">
        <w:t xml:space="preserve"> stating that refunds shall be based on “</w:t>
      </w:r>
      <w:r w:rsidR="004D3902">
        <w:rPr>
          <w:i/>
          <w:iCs/>
        </w:rPr>
        <w:t>any</w:t>
      </w:r>
      <w:r w:rsidR="004D3902">
        <w:t xml:space="preserve"> audit</w:t>
      </w:r>
      <w:r>
        <w:t>.</w:t>
      </w:r>
      <w:r w:rsidR="004D3902">
        <w:t>”</w:t>
      </w:r>
      <w:r>
        <w:t xml:space="preserve"> The PUCO should reject FirstEnergy’s compliance tariffs and require FirstEnergy to amend them</w:t>
      </w:r>
      <w:r w:rsidR="00B6418E">
        <w:t xml:space="preserve"> </w:t>
      </w:r>
      <w:r w:rsidR="006E6AD6">
        <w:t xml:space="preserve">to </w:t>
      </w:r>
      <w:r>
        <w:t>remove the language stating that any such refund may be based solely on a</w:t>
      </w:r>
      <w:r w:rsidR="004D3902">
        <w:t>n audit</w:t>
      </w:r>
      <w:r>
        <w:t xml:space="preserve"> finding of a “double recovery.”</w:t>
      </w:r>
    </w:p>
    <w:p w:rsidR="00222B38" w:rsidP="00B70CBC" w14:paraId="5CA0CE4B" w14:textId="77777777">
      <w:pPr>
        <w:pStyle w:val="BodyTextIndent3"/>
        <w:spacing w:line="480" w:lineRule="auto"/>
        <w:ind w:right="-312"/>
      </w:pPr>
    </w:p>
    <w:p w:rsidR="00171D6A" w:rsidP="00171D6A" w14:paraId="242E5E64" w14:textId="77777777">
      <w:pPr>
        <w:ind w:firstLine="4320"/>
        <w:rPr>
          <w:szCs w:val="24"/>
        </w:rPr>
      </w:pPr>
      <w:r w:rsidRPr="00F257DB">
        <w:rPr>
          <w:szCs w:val="24"/>
        </w:rPr>
        <w:t>Respectfully submitted,</w:t>
      </w:r>
    </w:p>
    <w:p w:rsidR="00171D6A" w:rsidRPr="00F257DB" w:rsidP="00171D6A" w14:paraId="21E7F341" w14:textId="77777777">
      <w:pPr>
        <w:rPr>
          <w:szCs w:val="24"/>
        </w:rPr>
      </w:pPr>
    </w:p>
    <w:p w:rsidR="00171D6A" w:rsidRPr="00F257DB" w:rsidP="00171D6A" w14:paraId="5A6BBEAE" w14:textId="77777777">
      <w:pPr>
        <w:ind w:left="4320"/>
        <w:rPr>
          <w:szCs w:val="24"/>
        </w:rPr>
      </w:pPr>
      <w:r>
        <w:rPr>
          <w:szCs w:val="24"/>
        </w:rPr>
        <w:t>Bruce Weston</w:t>
      </w:r>
      <w:r w:rsidRPr="00F257DB">
        <w:rPr>
          <w:szCs w:val="24"/>
        </w:rPr>
        <w:t xml:space="preserve"> (0016973)</w:t>
      </w:r>
    </w:p>
    <w:p w:rsidR="00171D6A" w:rsidRPr="00F257DB" w:rsidP="00171D6A" w14:paraId="727F10A5" w14:textId="77777777">
      <w:pPr>
        <w:tabs>
          <w:tab w:val="left" w:pos="4320"/>
        </w:tabs>
        <w:ind w:left="4320"/>
        <w:rPr>
          <w:szCs w:val="24"/>
        </w:rPr>
      </w:pPr>
      <w:r>
        <w:rPr>
          <w:szCs w:val="24"/>
        </w:rPr>
        <w:t>Ohio Consumers’ Counsel</w:t>
      </w:r>
    </w:p>
    <w:p w:rsidR="00171D6A" w:rsidRPr="00F257DB" w:rsidP="00171D6A" w14:paraId="0FAE7850" w14:textId="77777777">
      <w:pPr>
        <w:tabs>
          <w:tab w:val="left" w:pos="4320"/>
        </w:tabs>
        <w:ind w:left="4320"/>
        <w:rPr>
          <w:szCs w:val="24"/>
        </w:rPr>
      </w:pPr>
    </w:p>
    <w:p w:rsidR="00171D6A" w:rsidRPr="00F257DB" w:rsidP="00171D6A" w14:paraId="334A5DF8" w14:textId="77777777">
      <w:pPr>
        <w:autoSpaceDE w:val="0"/>
        <w:autoSpaceDN w:val="0"/>
        <w:adjustRightInd w:val="0"/>
        <w:ind w:left="4320"/>
        <w:rPr>
          <w:i/>
          <w:szCs w:val="24"/>
        </w:rPr>
      </w:pPr>
      <w:r w:rsidRPr="00F257DB">
        <w:rPr>
          <w:i/>
          <w:szCs w:val="24"/>
          <w:u w:val="single"/>
        </w:rPr>
        <w:t xml:space="preserve">/s/ </w:t>
      </w:r>
      <w:r>
        <w:rPr>
          <w:i/>
          <w:szCs w:val="24"/>
          <w:u w:val="single"/>
        </w:rPr>
        <w:t>Christopher Healey</w:t>
      </w:r>
      <w:r w:rsidRPr="00F257DB">
        <w:rPr>
          <w:i/>
          <w:szCs w:val="24"/>
          <w:u w:val="single"/>
        </w:rPr>
        <w:tab/>
      </w:r>
      <w:r>
        <w:rPr>
          <w:i/>
          <w:szCs w:val="24"/>
          <w:u w:val="single"/>
        </w:rPr>
        <w:tab/>
      </w:r>
      <w:r>
        <w:rPr>
          <w:i/>
          <w:szCs w:val="24"/>
          <w:u w:val="single"/>
        </w:rPr>
        <w:tab/>
      </w:r>
    </w:p>
    <w:p w:rsidR="00171D6A" w:rsidP="00171D6A" w14:paraId="4703C2D1" w14:textId="77777777">
      <w:pPr>
        <w:tabs>
          <w:tab w:val="left" w:pos="4320"/>
        </w:tabs>
        <w:ind w:left="4320"/>
        <w:rPr>
          <w:szCs w:val="24"/>
        </w:rPr>
      </w:pPr>
      <w:r>
        <w:rPr>
          <w:szCs w:val="24"/>
        </w:rPr>
        <w:t>Christopher Healey (0086027)</w:t>
      </w:r>
    </w:p>
    <w:p w:rsidR="00171D6A" w:rsidP="00171D6A" w14:paraId="7655AFF4" w14:textId="77777777">
      <w:pPr>
        <w:tabs>
          <w:tab w:val="left" w:pos="4320"/>
        </w:tabs>
        <w:ind w:left="4320"/>
        <w:rPr>
          <w:szCs w:val="24"/>
        </w:rPr>
      </w:pPr>
      <w:r>
        <w:rPr>
          <w:szCs w:val="24"/>
        </w:rPr>
        <w:t>Counsel of Record</w:t>
      </w:r>
    </w:p>
    <w:p w:rsidR="00171D6A" w:rsidP="00171D6A" w14:paraId="504C1049" w14:textId="77777777">
      <w:pPr>
        <w:tabs>
          <w:tab w:val="left" w:pos="4320"/>
        </w:tabs>
        <w:ind w:left="4320"/>
        <w:rPr>
          <w:szCs w:val="24"/>
        </w:rPr>
      </w:pPr>
      <w:r>
        <w:rPr>
          <w:szCs w:val="24"/>
        </w:rPr>
        <w:t>Angela O’Brien (0097579)</w:t>
      </w:r>
    </w:p>
    <w:p w:rsidR="00171D6A" w:rsidP="00171D6A" w14:paraId="1119A90C" w14:textId="77777777">
      <w:pPr>
        <w:tabs>
          <w:tab w:val="left" w:pos="4320"/>
        </w:tabs>
        <w:ind w:left="4320"/>
        <w:rPr>
          <w:szCs w:val="24"/>
        </w:rPr>
      </w:pPr>
      <w:r>
        <w:rPr>
          <w:szCs w:val="24"/>
        </w:rPr>
        <w:t>Assistant Consumers’ Counsel</w:t>
      </w:r>
      <w:r w:rsidRPr="00F257DB">
        <w:rPr>
          <w:szCs w:val="24"/>
        </w:rPr>
        <w:br/>
      </w:r>
    </w:p>
    <w:p w:rsidR="00171D6A" w:rsidRPr="002C2315" w:rsidP="00171D6A" w14:paraId="2076F3C0" w14:textId="77777777">
      <w:pPr>
        <w:tabs>
          <w:tab w:val="left" w:pos="4320"/>
        </w:tabs>
        <w:ind w:left="4320"/>
        <w:rPr>
          <w:b/>
          <w:szCs w:val="24"/>
        </w:rPr>
      </w:pPr>
      <w:r w:rsidRPr="002C2315">
        <w:rPr>
          <w:b/>
          <w:szCs w:val="24"/>
        </w:rPr>
        <w:t>Office of the Ohio Consumers' Counsel</w:t>
      </w:r>
    </w:p>
    <w:p w:rsidR="00171D6A" w:rsidP="00171D6A" w14:paraId="0E71BDAE" w14:textId="77777777">
      <w:pPr>
        <w:tabs>
          <w:tab w:val="left" w:pos="4320"/>
        </w:tabs>
        <w:ind w:left="4320"/>
        <w:rPr>
          <w:szCs w:val="24"/>
        </w:rPr>
      </w:pPr>
      <w:r>
        <w:rPr>
          <w:szCs w:val="24"/>
        </w:rPr>
        <w:t>65 East State Street, 7th Floor</w:t>
      </w:r>
    </w:p>
    <w:p w:rsidR="00171D6A" w:rsidP="00171D6A" w14:paraId="3C868724" w14:textId="2EEE2876">
      <w:pPr>
        <w:tabs>
          <w:tab w:val="left" w:pos="4320"/>
        </w:tabs>
        <w:ind w:left="4320"/>
        <w:rPr>
          <w:szCs w:val="24"/>
        </w:rPr>
      </w:pPr>
      <w:r w:rsidRPr="00F257DB">
        <w:rPr>
          <w:szCs w:val="24"/>
        </w:rPr>
        <w:t>Columbus, Ohio 43215</w:t>
      </w:r>
    </w:p>
    <w:p w:rsidR="00171D6A" w:rsidP="00171D6A" w14:paraId="0FFB3C22" w14:textId="77777777">
      <w:pPr>
        <w:tabs>
          <w:tab w:val="left" w:pos="4320"/>
        </w:tabs>
        <w:ind w:left="4320"/>
        <w:rPr>
          <w:szCs w:val="24"/>
        </w:rPr>
      </w:pPr>
      <w:r>
        <w:rPr>
          <w:szCs w:val="24"/>
        </w:rPr>
        <w:t xml:space="preserve">Telephone [Healey]: </w:t>
      </w:r>
      <w:r w:rsidRPr="00F257DB">
        <w:rPr>
          <w:szCs w:val="24"/>
        </w:rPr>
        <w:t xml:space="preserve">(614) </w:t>
      </w:r>
      <w:r>
        <w:rPr>
          <w:szCs w:val="24"/>
        </w:rPr>
        <w:t>466-9571</w:t>
      </w:r>
      <w:r w:rsidRPr="00F257DB">
        <w:rPr>
          <w:szCs w:val="24"/>
        </w:rPr>
        <w:t xml:space="preserve"> </w:t>
      </w:r>
    </w:p>
    <w:p w:rsidR="00171D6A" w:rsidP="00171D6A" w14:paraId="343EA5D7" w14:textId="77777777">
      <w:pPr>
        <w:tabs>
          <w:tab w:val="left" w:pos="4320"/>
        </w:tabs>
        <w:ind w:left="4320"/>
        <w:rPr>
          <w:szCs w:val="24"/>
        </w:rPr>
      </w:pPr>
      <w:r>
        <w:rPr>
          <w:szCs w:val="24"/>
        </w:rPr>
        <w:t>Telephone [O’Brien]: (614) 466-9531</w:t>
      </w:r>
    </w:p>
    <w:p w:rsidR="00171D6A" w:rsidP="00171D6A" w14:paraId="626CF980" w14:textId="77777777">
      <w:pPr>
        <w:ind w:left="4320"/>
        <w:rPr>
          <w:rStyle w:val="Hyperlink"/>
          <w:color w:val="auto"/>
          <w:szCs w:val="24"/>
          <w:u w:val="none"/>
        </w:rPr>
      </w:pPr>
      <w:hyperlink r:id="rId6" w:history="1">
        <w:r w:rsidRPr="00B2656D">
          <w:rPr>
            <w:rStyle w:val="Hyperlink"/>
            <w:szCs w:val="24"/>
          </w:rPr>
          <w:t>christopher.healey@occ.ohio.gov</w:t>
        </w:r>
      </w:hyperlink>
    </w:p>
    <w:p w:rsidR="00171D6A" w:rsidP="00171D6A" w14:paraId="5A12FCF2" w14:textId="77777777">
      <w:pPr>
        <w:ind w:left="4320"/>
        <w:rPr>
          <w:rStyle w:val="Hyperlink"/>
          <w:szCs w:val="24"/>
        </w:rPr>
      </w:pPr>
      <w:hyperlink r:id="rId7" w:history="1">
        <w:r w:rsidRPr="00B2656D">
          <w:rPr>
            <w:rStyle w:val="Hyperlink"/>
            <w:szCs w:val="24"/>
          </w:rPr>
          <w:t>angela.obrien@occ.ohio.gov</w:t>
        </w:r>
      </w:hyperlink>
    </w:p>
    <w:p w:rsidR="00FB152A" w:rsidP="00171D6A" w14:paraId="7D3ABECF" w14:textId="26605E6B">
      <w:pPr>
        <w:ind w:left="4320"/>
      </w:pPr>
      <w:r w:rsidRPr="00F257DB">
        <w:rPr>
          <w:szCs w:val="24"/>
        </w:rPr>
        <w:t>(</w:t>
      </w:r>
      <w:r>
        <w:rPr>
          <w:szCs w:val="24"/>
        </w:rPr>
        <w:t>willing to accept service by e-mail)</w:t>
      </w:r>
    </w:p>
    <w:p w:rsidR="00171D6A" w:rsidP="00B70CBC" w14:paraId="3A03C337" w14:textId="3D64DDB3">
      <w:pPr>
        <w:pStyle w:val="BodyTextIndent3"/>
        <w:spacing w:line="480" w:lineRule="auto"/>
        <w:ind w:right="-312"/>
      </w:pPr>
    </w:p>
    <w:p w:rsidR="006C2789" w14:paraId="130A3ADA" w14:textId="77777777">
      <w:pPr>
        <w:sectPr w:rsidSect="0076297D">
          <w:footerReference w:type="default" r:id="rId8"/>
          <w:pgSz w:w="12240" w:h="15840"/>
          <w:pgMar w:top="1440" w:right="1440" w:bottom="1440" w:left="1440" w:header="720" w:footer="720" w:gutter="0"/>
          <w:pgNumType w:start="1"/>
          <w:cols w:space="720"/>
          <w:titlePg/>
          <w:docGrid w:linePitch="326"/>
        </w:sectPr>
      </w:pPr>
    </w:p>
    <w:p w:rsidR="00171D6A" w:rsidP="00171D6A" w14:paraId="5939D3EB" w14:textId="77777777">
      <w:pPr>
        <w:pStyle w:val="HTMLPreformatted"/>
        <w:jc w:val="center"/>
        <w:rPr>
          <w:rFonts w:ascii="Times New Roman" w:hAnsi="Times New Roman"/>
          <w:b/>
          <w:bCs/>
          <w:sz w:val="24"/>
        </w:rPr>
      </w:pPr>
      <w:r>
        <w:rPr>
          <w:rFonts w:ascii="Times New Roman" w:hAnsi="Times New Roman"/>
          <w:b/>
          <w:bCs/>
          <w:sz w:val="24"/>
        </w:rPr>
        <w:t>BEFORE</w:t>
      </w:r>
    </w:p>
    <w:p w:rsidR="00171D6A" w:rsidP="00171D6A" w14:paraId="1A83C8D9" w14:textId="77777777">
      <w:pPr>
        <w:pStyle w:val="HTMLPreformatted"/>
        <w:jc w:val="center"/>
        <w:rPr>
          <w:rFonts w:ascii="Times New Roman" w:hAnsi="Times New Roman"/>
          <w:sz w:val="24"/>
        </w:rPr>
      </w:pPr>
      <w:r>
        <w:rPr>
          <w:rFonts w:ascii="Times New Roman" w:hAnsi="Times New Roman"/>
          <w:b/>
          <w:bCs/>
          <w:sz w:val="24"/>
        </w:rPr>
        <w:t>THE PUBLIC UTILITIES COMMISSION OF OHIO</w:t>
      </w:r>
    </w:p>
    <w:p w:rsidR="00171D6A" w:rsidP="00171D6A" w14:paraId="4CBCE494" w14:textId="77777777">
      <w:pPr>
        <w:pStyle w:val="HTMLPreformatted"/>
        <w:rPr>
          <w:rFonts w:ascii="Times New Roman" w:hAnsi="Times New Roman"/>
          <w:sz w:val="24"/>
        </w:rPr>
      </w:pPr>
    </w:p>
    <w:tbl>
      <w:tblPr>
        <w:tblW w:w="9360" w:type="dxa"/>
        <w:tblLook w:val="01E0"/>
      </w:tblPr>
      <w:tblGrid>
        <w:gridCol w:w="4500"/>
        <w:gridCol w:w="450"/>
        <w:gridCol w:w="4410"/>
      </w:tblGrid>
      <w:tr w14:paraId="574C2555" w14:textId="77777777" w:rsidTr="00BE1BB7">
        <w:tblPrEx>
          <w:tblW w:w="9360" w:type="dxa"/>
          <w:tblLook w:val="01E0"/>
        </w:tblPrEx>
        <w:trPr>
          <w:trHeight w:val="807"/>
        </w:trPr>
        <w:tc>
          <w:tcPr>
            <w:tcW w:w="4500" w:type="dxa"/>
            <w:shd w:val="clear" w:color="auto" w:fill="auto"/>
          </w:tcPr>
          <w:p w:rsidR="00171D6A" w:rsidRPr="00A044B5" w:rsidP="004C7079" w14:paraId="0599E101" w14:textId="77777777">
            <w:pPr>
              <w:pStyle w:val="HTMLPreformatted"/>
              <w:rPr>
                <w:rFonts w:ascii="Times New Roman" w:hAnsi="Times New Roman"/>
                <w:sz w:val="24"/>
                <w:szCs w:val="24"/>
              </w:rPr>
            </w:pPr>
            <w:r w:rsidRPr="00A044B5">
              <w:rPr>
                <w:rFonts w:ascii="Times New Roman" w:hAnsi="Times New Roman" w:cs="Times New Roman"/>
                <w:sz w:val="24"/>
                <w:szCs w:val="24"/>
              </w:rPr>
              <w:t>In the Matter of</w:t>
            </w:r>
            <w:r>
              <w:rPr>
                <w:rFonts w:ascii="Times New Roman" w:hAnsi="Times New Roman" w:cs="Times New Roman"/>
                <w:sz w:val="24"/>
                <w:szCs w:val="24"/>
              </w:rPr>
              <w:t xml:space="preserve"> the Application of Ohio Edison Company, The Cleveland Electric Illuminating Company, and The Toledo Edison Company for Approval of a Decoupling Mechanism.</w:t>
            </w:r>
          </w:p>
        </w:tc>
        <w:tc>
          <w:tcPr>
            <w:tcW w:w="450" w:type="dxa"/>
            <w:shd w:val="clear" w:color="auto" w:fill="auto"/>
          </w:tcPr>
          <w:p w:rsidR="00171D6A" w:rsidRPr="00A044B5" w:rsidP="004C7079" w14:paraId="7B5991AA" w14:textId="77777777">
            <w:pPr>
              <w:pStyle w:val="HTMLPreformatted"/>
              <w:rPr>
                <w:rFonts w:ascii="Times New Roman" w:hAnsi="Times New Roman"/>
                <w:sz w:val="24"/>
              </w:rPr>
            </w:pPr>
            <w:r w:rsidRPr="00A044B5">
              <w:rPr>
                <w:rFonts w:ascii="Times New Roman" w:hAnsi="Times New Roman"/>
                <w:sz w:val="24"/>
              </w:rPr>
              <w:t>)</w:t>
            </w:r>
          </w:p>
          <w:p w:rsidR="00171D6A" w:rsidRPr="00A044B5" w:rsidP="004C7079" w14:paraId="363630B4" w14:textId="77777777">
            <w:pPr>
              <w:pStyle w:val="HTMLPreformatted"/>
              <w:rPr>
                <w:rFonts w:ascii="Times New Roman" w:hAnsi="Times New Roman"/>
                <w:sz w:val="24"/>
              </w:rPr>
            </w:pPr>
            <w:r w:rsidRPr="00A044B5">
              <w:rPr>
                <w:rFonts w:ascii="Times New Roman" w:hAnsi="Times New Roman"/>
                <w:sz w:val="24"/>
              </w:rPr>
              <w:t>)</w:t>
            </w:r>
          </w:p>
          <w:p w:rsidR="00171D6A" w:rsidRPr="00A044B5" w:rsidP="004C7079" w14:paraId="57F72C4D" w14:textId="77777777">
            <w:pPr>
              <w:pStyle w:val="HTMLPreformatted"/>
              <w:rPr>
                <w:rFonts w:ascii="Times New Roman" w:hAnsi="Times New Roman"/>
                <w:sz w:val="24"/>
              </w:rPr>
            </w:pPr>
            <w:r w:rsidRPr="00A044B5">
              <w:rPr>
                <w:rFonts w:ascii="Times New Roman" w:hAnsi="Times New Roman"/>
                <w:sz w:val="24"/>
              </w:rPr>
              <w:t>)</w:t>
            </w:r>
          </w:p>
          <w:p w:rsidR="00171D6A" w:rsidP="004C7079" w14:paraId="406B67AE" w14:textId="77777777">
            <w:pPr>
              <w:pStyle w:val="HTMLPreformatted"/>
              <w:rPr>
                <w:rFonts w:ascii="Times New Roman" w:hAnsi="Times New Roman"/>
                <w:sz w:val="24"/>
              </w:rPr>
            </w:pPr>
            <w:r w:rsidRPr="00A044B5">
              <w:rPr>
                <w:rFonts w:ascii="Times New Roman" w:hAnsi="Times New Roman"/>
                <w:sz w:val="24"/>
              </w:rPr>
              <w:t>)</w:t>
            </w:r>
          </w:p>
          <w:p w:rsidR="00171D6A" w:rsidRPr="00A044B5" w:rsidP="004C7079" w14:paraId="737552A7" w14:textId="77777777">
            <w:pPr>
              <w:pStyle w:val="HTMLPreformatted"/>
              <w:rPr>
                <w:rFonts w:ascii="Times New Roman" w:hAnsi="Times New Roman"/>
                <w:sz w:val="24"/>
              </w:rPr>
            </w:pPr>
            <w:r>
              <w:rPr>
                <w:rFonts w:ascii="Times New Roman" w:hAnsi="Times New Roman"/>
                <w:sz w:val="24"/>
              </w:rPr>
              <w:t>)</w:t>
            </w:r>
          </w:p>
        </w:tc>
        <w:tc>
          <w:tcPr>
            <w:tcW w:w="4410" w:type="dxa"/>
            <w:shd w:val="clear" w:color="auto" w:fill="auto"/>
          </w:tcPr>
          <w:p w:rsidR="00171D6A" w:rsidRPr="00A044B5" w:rsidP="004C7079" w14:paraId="76F0C5B4" w14:textId="77777777">
            <w:pPr>
              <w:pStyle w:val="HTMLPreformatted"/>
              <w:rPr>
                <w:rFonts w:ascii="Times New Roman" w:hAnsi="Times New Roman"/>
                <w:sz w:val="24"/>
              </w:rPr>
            </w:pPr>
          </w:p>
          <w:p w:rsidR="00171D6A" w:rsidP="004C7079" w14:paraId="0DDD801B" w14:textId="77777777">
            <w:pPr>
              <w:pStyle w:val="HTMLPreformatted"/>
              <w:rPr>
                <w:rFonts w:ascii="Times New Roman" w:hAnsi="Times New Roman"/>
                <w:sz w:val="24"/>
              </w:rPr>
            </w:pPr>
            <w:r w:rsidRPr="00A044B5">
              <w:rPr>
                <w:rFonts w:ascii="Times New Roman" w:hAnsi="Times New Roman"/>
                <w:sz w:val="24"/>
              </w:rPr>
              <w:t xml:space="preserve">Case No. </w:t>
            </w:r>
            <w:r>
              <w:rPr>
                <w:rFonts w:ascii="Times New Roman" w:hAnsi="Times New Roman"/>
                <w:sz w:val="24"/>
              </w:rPr>
              <w:t>19-2080-EL-ATA</w:t>
            </w:r>
          </w:p>
          <w:p w:rsidR="00171D6A" w:rsidRPr="00A044B5" w:rsidP="004C7079" w14:paraId="05884D13" w14:textId="77777777">
            <w:pPr>
              <w:pStyle w:val="HTMLPreformatted"/>
              <w:rPr>
                <w:rFonts w:ascii="Times New Roman" w:hAnsi="Times New Roman"/>
                <w:sz w:val="24"/>
              </w:rPr>
            </w:pPr>
            <w:r>
              <w:rPr>
                <w:rFonts w:ascii="Times New Roman" w:hAnsi="Times New Roman"/>
                <w:sz w:val="24"/>
              </w:rPr>
              <w:t>Case No. 19-2081-EL-AAM</w:t>
            </w:r>
          </w:p>
          <w:p w:rsidR="00171D6A" w:rsidRPr="00A044B5" w:rsidP="004C7079" w14:paraId="59018D65" w14:textId="77777777">
            <w:pPr>
              <w:pStyle w:val="HTMLPreformatted"/>
              <w:rPr>
                <w:rFonts w:ascii="Times New Roman" w:hAnsi="Times New Roman"/>
                <w:sz w:val="24"/>
              </w:rPr>
            </w:pPr>
          </w:p>
          <w:p w:rsidR="00171D6A" w:rsidRPr="00A044B5" w:rsidP="004C7079" w14:paraId="2B9A3E13" w14:textId="77777777">
            <w:pPr>
              <w:pStyle w:val="HTMLPreformatted"/>
              <w:rPr>
                <w:rFonts w:ascii="Times New Roman" w:hAnsi="Times New Roman"/>
                <w:sz w:val="24"/>
              </w:rPr>
            </w:pPr>
          </w:p>
        </w:tc>
      </w:tr>
    </w:tbl>
    <w:p w:rsidR="00171D6A" w:rsidP="00171D6A" w14:paraId="1F412431" w14:textId="77777777">
      <w:pPr>
        <w:pStyle w:val="HTMLPreformatted"/>
        <w:rPr>
          <w:rFonts w:ascii="Times New Roman" w:hAnsi="Times New Roman"/>
          <w:sz w:val="24"/>
        </w:rPr>
      </w:pPr>
    </w:p>
    <w:p w:rsidR="00171D6A" w:rsidP="00171D6A" w14:paraId="21163E60" w14:textId="77777777">
      <w:pPr>
        <w:pStyle w:val="HTMLPreformatted"/>
        <w:pBdr>
          <w:top w:val="single" w:sz="12" w:space="1" w:color="auto"/>
        </w:pBdr>
        <w:rPr>
          <w:rFonts w:ascii="Times New Roman" w:hAnsi="Times New Roman"/>
          <w:sz w:val="24"/>
        </w:rPr>
      </w:pPr>
    </w:p>
    <w:p w:rsidR="00171D6A" w:rsidP="00171D6A" w14:paraId="38465423" w14:textId="4202A228">
      <w:pPr>
        <w:jc w:val="center"/>
        <w:rPr>
          <w:b/>
          <w:bCs/>
        </w:rPr>
      </w:pPr>
      <w:r>
        <w:rPr>
          <w:b/>
          <w:bCs/>
        </w:rPr>
        <w:t>MEMORANDUM IN SUPPORT</w:t>
      </w:r>
    </w:p>
    <w:p w:rsidR="00171D6A" w:rsidP="00171D6A" w14:paraId="7D168ACB" w14:textId="77777777">
      <w:pPr>
        <w:pBdr>
          <w:bottom w:val="single" w:sz="12" w:space="1" w:color="auto"/>
        </w:pBdr>
        <w:tabs>
          <w:tab w:val="left" w:pos="4320"/>
        </w:tabs>
      </w:pPr>
    </w:p>
    <w:p w:rsidR="00171D6A" w:rsidP="00171D6A" w14:paraId="64D783E8" w14:textId="77777777">
      <w:pPr>
        <w:tabs>
          <w:tab w:val="left" w:pos="4320"/>
        </w:tabs>
      </w:pPr>
    </w:p>
    <w:p w:rsidR="002D5924" w:rsidP="00E420E7" w14:paraId="5F2A6020" w14:textId="6DBE220C">
      <w:pPr>
        <w:pStyle w:val="BodyTextIndent3"/>
        <w:spacing w:line="480" w:lineRule="auto"/>
      </w:pPr>
      <w:r>
        <w:t xml:space="preserve">Newly enacted House Bill 6 (codified in R.C. 4928.471) allows utilities like FirstEnergy to charge customers for “decoupling.” The PUCO approved </w:t>
      </w:r>
      <w:r>
        <w:t xml:space="preserve">such charges to customers under </w:t>
      </w:r>
      <w:r>
        <w:t>a decoupling rider for each of FirstEnergy’s electric distribution utilities (Ohio Edison, Cleveland Electric, and Toledo Edison).</w:t>
      </w:r>
      <w:r>
        <w:t xml:space="preserve"> Concerned that customers </w:t>
      </w:r>
      <w:r w:rsidR="004D3902">
        <w:t>c</w:t>
      </w:r>
      <w:r>
        <w:t>ould be overcharged under the decoupling rider, the PUCO ordered FirstEnergy to modify its decoupling rider tariffs to allow customers to receive refunds based on subsequent audits of the decoupling rider charges: “the Commission directs FirstEnergy to file revised tariffs which specify that the funds collected through Rider CSR should be subject to refund, based on the results of any future audit ordered by the Commission and conducted by Staff or a third-party consultant of the Companies’ Rider CSR and/or Rider DSE.”</w:t>
      </w:r>
      <w:r>
        <w:rPr>
          <w:rStyle w:val="FootnoteReference"/>
        </w:rPr>
        <w:footnoteReference w:id="6"/>
      </w:r>
    </w:p>
    <w:p w:rsidR="002935BC" w:rsidRPr="00B6418E" w:rsidP="00B6418E" w14:paraId="0D192329" w14:textId="5079A56B">
      <w:pPr>
        <w:pStyle w:val="BodyTextIndent3"/>
        <w:spacing w:line="480" w:lineRule="auto"/>
        <w:rPr>
          <w:b/>
          <w:bCs/>
        </w:rPr>
      </w:pPr>
      <w:r>
        <w:t>FirstEnergy did not comply with the Order.</w:t>
      </w:r>
      <w:r w:rsidRPr="00A666B8" w:rsidR="00B6418E">
        <w:t xml:space="preserve"> </w:t>
      </w:r>
      <w:r w:rsidRPr="00A666B8" w:rsidR="00F50DF9">
        <w:t xml:space="preserve">Instead, FirstEnergy wants to limit any refunds to customers for a finding of “double recovery.” Its </w:t>
      </w:r>
      <w:r w:rsidR="00D42DC8">
        <w:t>filed tariffs state that “this Rider shall be adjusted annually to reconcile any over recovery or under recovery from the prior year, with additional reconciliation based upon the result of any future audit ordered by the Commission that finds this Rider will result in a double recovery.”</w:t>
      </w:r>
      <w:r>
        <w:rPr>
          <w:rStyle w:val="FootnoteReference"/>
        </w:rPr>
        <w:footnoteReference w:id="7"/>
      </w:r>
      <w:r w:rsidR="00D42DC8">
        <w:t xml:space="preserve"> </w:t>
      </w:r>
      <w:r w:rsidR="00F50DF9">
        <w:t>But, n</w:t>
      </w:r>
      <w:r w:rsidR="00D42DC8">
        <w:t xml:space="preserve">othing in the </w:t>
      </w:r>
      <w:r w:rsidR="00DC1C9C">
        <w:t xml:space="preserve">PUCO’s </w:t>
      </w:r>
      <w:r w:rsidR="00D42DC8">
        <w:t>order limits such audits to the issue of “double recovery.”</w:t>
      </w:r>
      <w:r w:rsidR="004D3902">
        <w:t xml:space="preserve"> Instead, the Order states that refunds shall be allowed based on “any audit” of the </w:t>
      </w:r>
      <w:r w:rsidR="00A666B8">
        <w:t>d</w:t>
      </w:r>
      <w:r w:rsidR="004D3902">
        <w:t>ecoupling rider.</w:t>
      </w:r>
      <w:r>
        <w:rPr>
          <w:rStyle w:val="FootnoteReference"/>
        </w:rPr>
        <w:footnoteReference w:id="8"/>
      </w:r>
    </w:p>
    <w:p w:rsidR="006E6AD6" w:rsidP="006E6AD6" w14:paraId="6FD79BF9" w14:textId="77777777">
      <w:pPr>
        <w:pStyle w:val="BodyTextIndent3"/>
        <w:spacing w:line="480" w:lineRule="auto"/>
      </w:pPr>
      <w:r>
        <w:t>A</w:t>
      </w:r>
      <w:r w:rsidR="00D42DC8">
        <w:t>n audit of FirstEnergy’s charges could uncover any number of issues that might require a refund, including errors, omissions, and miscalculations in FirstEnergy’s annual decoupling filings. Because the annual decoupling filings can be automatically approved without PUCO action, the only potential for identifying these types of necessary adjustments might be through a subsequent audit. These types of issues would not necessarily constitute “double recovery</w:t>
      </w:r>
      <w:r>
        <w:t>,</w:t>
      </w:r>
      <w:r w:rsidR="00D42DC8">
        <w:t xml:space="preserve">” </w:t>
      </w:r>
      <w:r>
        <w:t xml:space="preserve">because that phrase refers to the same charges being made under both the decoupling rider and the energy efficiency rider. </w:t>
      </w:r>
      <w:r w:rsidR="00D42DC8">
        <w:t xml:space="preserve">Thus, if the tariff only allows refunds based on “double recovery,” customers might be left with no remedy, even if an audit identifies overcharges. </w:t>
      </w:r>
    </w:p>
    <w:p w:rsidR="00A666B8" w:rsidP="006E6AD6" w14:paraId="32A26FA6" w14:textId="6B928A7C">
      <w:pPr>
        <w:pStyle w:val="BodyTextIndent3"/>
        <w:spacing w:line="480" w:lineRule="auto"/>
      </w:pPr>
      <w:r>
        <w:t>Indeed, the risk of harm to consumers is real. In an earlier case involving FirstEnergy’s alternative energy rider, the PUCO audited the rider charges and found that FirstEnergy overcharged customers by $43 million—charges that would not be considered “double recovery”—and the Ohio Supreme Court ruled that FirstEnergy simply got to keep the money because there was no refund language in the tariff.</w:t>
      </w:r>
      <w:r>
        <w:rPr>
          <w:rStyle w:val="FootnoteReference"/>
        </w:rPr>
        <w:footnoteReference w:id="9"/>
      </w:r>
      <w:r>
        <w:t xml:space="preserve"> Unless the PUCO orders FirstEnergy to change its tariff language</w:t>
      </w:r>
      <w:r w:rsidR="00185514">
        <w:t xml:space="preserve"> here</w:t>
      </w:r>
      <w:r>
        <w:t>, the same would happen if a later audit found overcharges that were not based on “double recovery.”</w:t>
      </w:r>
    </w:p>
    <w:p w:rsidR="00B6418E" w:rsidP="00A666B8" w14:paraId="26E7A5CC" w14:textId="1521FDDF">
      <w:pPr>
        <w:pStyle w:val="BodyTextIndent3"/>
        <w:spacing w:line="480" w:lineRule="auto"/>
      </w:pPr>
      <w:r>
        <w:t xml:space="preserve">The Order does not limit subsequent audits in this way, so there is no basis for FirstEnergy to </w:t>
      </w:r>
      <w:r w:rsidR="00C069B5">
        <w:t>affect</w:t>
      </w:r>
      <w:r>
        <w:t xml:space="preserve"> such a limitation through its compliance tariffs. </w:t>
      </w:r>
      <w:r>
        <w:t>OCC respectfully requests that t</w:t>
      </w:r>
      <w:r>
        <w:t xml:space="preserve">he PUCO order FirstEnergy to amend the language in the tariff to </w:t>
      </w:r>
      <w:r w:rsidR="004D3902">
        <w:t>remove</w:t>
      </w:r>
      <w:r>
        <w:t xml:space="preserve"> this</w:t>
      </w:r>
      <w:r w:rsidR="00DC1C9C">
        <w:t xml:space="preserve"> audit</w:t>
      </w:r>
      <w:r>
        <w:t xml:space="preserve"> limitation.</w:t>
      </w:r>
    </w:p>
    <w:p w:rsidR="006E6AD6" w:rsidP="00A666B8" w14:paraId="54150FCE" w14:textId="77777777">
      <w:pPr>
        <w:pStyle w:val="BodyTextIndent3"/>
        <w:spacing w:line="480" w:lineRule="auto"/>
        <w:rPr>
          <w:szCs w:val="24"/>
        </w:rPr>
      </w:pPr>
    </w:p>
    <w:p w:rsidR="006F5FAD" w:rsidP="00B70CBC" w14:paraId="6605814E" w14:textId="13365856">
      <w:pPr>
        <w:ind w:firstLine="4320"/>
        <w:rPr>
          <w:szCs w:val="24"/>
        </w:rPr>
      </w:pPr>
      <w:r w:rsidRPr="00F257DB">
        <w:rPr>
          <w:szCs w:val="24"/>
        </w:rPr>
        <w:t>Respectfully submitted,</w:t>
      </w:r>
    </w:p>
    <w:p w:rsidR="006F5FAD" w:rsidRPr="00F257DB" w:rsidP="00B70CBC" w14:paraId="7C3E6DFD" w14:textId="77777777">
      <w:pPr>
        <w:rPr>
          <w:szCs w:val="24"/>
        </w:rPr>
      </w:pPr>
    </w:p>
    <w:p w:rsidR="006F5FAD" w:rsidRPr="00F257DB" w:rsidP="00B70CBC" w14:paraId="020E8F41" w14:textId="77777777">
      <w:pPr>
        <w:ind w:left="4320"/>
        <w:rPr>
          <w:szCs w:val="24"/>
        </w:rPr>
      </w:pPr>
      <w:r>
        <w:rPr>
          <w:szCs w:val="24"/>
        </w:rPr>
        <w:t>Bruce Weston</w:t>
      </w:r>
      <w:r w:rsidRPr="00F257DB">
        <w:rPr>
          <w:szCs w:val="24"/>
        </w:rPr>
        <w:t xml:space="preserve"> (0016973)</w:t>
      </w:r>
    </w:p>
    <w:p w:rsidR="006F5FAD" w:rsidRPr="00F257DB" w:rsidP="00B70CBC" w14:paraId="039A6C56" w14:textId="77777777">
      <w:pPr>
        <w:tabs>
          <w:tab w:val="left" w:pos="4320"/>
        </w:tabs>
        <w:ind w:left="4320"/>
        <w:rPr>
          <w:szCs w:val="24"/>
        </w:rPr>
      </w:pPr>
      <w:r>
        <w:rPr>
          <w:szCs w:val="24"/>
        </w:rPr>
        <w:t>Ohio Consumers’ Counsel</w:t>
      </w:r>
    </w:p>
    <w:p w:rsidR="006F5FAD" w:rsidRPr="00F257DB" w:rsidP="00B70CBC" w14:paraId="563AC9CE" w14:textId="77777777">
      <w:pPr>
        <w:tabs>
          <w:tab w:val="left" w:pos="4320"/>
        </w:tabs>
        <w:ind w:left="4320"/>
        <w:rPr>
          <w:szCs w:val="24"/>
        </w:rPr>
      </w:pPr>
    </w:p>
    <w:p w:rsidR="006F5FAD" w:rsidRPr="00F257DB" w:rsidP="00B70CBC" w14:paraId="285CB4E7" w14:textId="77777777">
      <w:pPr>
        <w:autoSpaceDE w:val="0"/>
        <w:autoSpaceDN w:val="0"/>
        <w:adjustRightInd w:val="0"/>
        <w:ind w:left="4320"/>
        <w:rPr>
          <w:i/>
          <w:szCs w:val="24"/>
        </w:rPr>
      </w:pPr>
      <w:r w:rsidRPr="00F257DB">
        <w:rPr>
          <w:i/>
          <w:szCs w:val="24"/>
          <w:u w:val="single"/>
        </w:rPr>
        <w:t xml:space="preserve">/s/ </w:t>
      </w:r>
      <w:r>
        <w:rPr>
          <w:i/>
          <w:szCs w:val="24"/>
          <w:u w:val="single"/>
        </w:rPr>
        <w:t>Christopher Healey</w:t>
      </w:r>
      <w:r w:rsidRPr="00F257DB">
        <w:rPr>
          <w:i/>
          <w:szCs w:val="24"/>
          <w:u w:val="single"/>
        </w:rPr>
        <w:tab/>
      </w:r>
      <w:r>
        <w:rPr>
          <w:i/>
          <w:szCs w:val="24"/>
          <w:u w:val="single"/>
        </w:rPr>
        <w:tab/>
      </w:r>
      <w:r>
        <w:rPr>
          <w:i/>
          <w:szCs w:val="24"/>
          <w:u w:val="single"/>
        </w:rPr>
        <w:tab/>
      </w:r>
    </w:p>
    <w:p w:rsidR="006F5FAD" w:rsidP="00B70CBC" w14:paraId="0794BAA4" w14:textId="77777777">
      <w:pPr>
        <w:tabs>
          <w:tab w:val="left" w:pos="4320"/>
        </w:tabs>
        <w:ind w:left="4320"/>
        <w:rPr>
          <w:szCs w:val="24"/>
        </w:rPr>
      </w:pPr>
      <w:r>
        <w:rPr>
          <w:szCs w:val="24"/>
        </w:rPr>
        <w:t>Christopher Healey (0086027)</w:t>
      </w:r>
    </w:p>
    <w:p w:rsidR="006F5FAD" w:rsidP="00B70CBC" w14:paraId="6FC8EC4F" w14:textId="77777777">
      <w:pPr>
        <w:tabs>
          <w:tab w:val="left" w:pos="4320"/>
        </w:tabs>
        <w:ind w:left="4320"/>
        <w:rPr>
          <w:szCs w:val="24"/>
        </w:rPr>
      </w:pPr>
      <w:r>
        <w:rPr>
          <w:szCs w:val="24"/>
        </w:rPr>
        <w:t>Counsel of Record</w:t>
      </w:r>
    </w:p>
    <w:p w:rsidR="006F5FAD" w:rsidP="00B70CBC" w14:paraId="0A1E7E86" w14:textId="77777777">
      <w:pPr>
        <w:tabs>
          <w:tab w:val="left" w:pos="4320"/>
        </w:tabs>
        <w:ind w:left="4320"/>
        <w:rPr>
          <w:szCs w:val="24"/>
        </w:rPr>
      </w:pPr>
      <w:r>
        <w:rPr>
          <w:szCs w:val="24"/>
        </w:rPr>
        <w:t>Angela O’Brien (0097579)</w:t>
      </w:r>
    </w:p>
    <w:p w:rsidR="006F5FAD" w:rsidP="00B70CBC" w14:paraId="4CD5CCDB" w14:textId="77777777">
      <w:pPr>
        <w:tabs>
          <w:tab w:val="left" w:pos="4320"/>
        </w:tabs>
        <w:ind w:left="4320"/>
        <w:rPr>
          <w:szCs w:val="24"/>
        </w:rPr>
      </w:pPr>
      <w:r>
        <w:rPr>
          <w:szCs w:val="24"/>
        </w:rPr>
        <w:t>Assistant Consumers’ Counsel</w:t>
      </w:r>
      <w:r w:rsidRPr="00F257DB">
        <w:rPr>
          <w:szCs w:val="24"/>
        </w:rPr>
        <w:br/>
      </w:r>
    </w:p>
    <w:p w:rsidR="006F5FAD" w:rsidRPr="002C2315" w:rsidP="00B70CBC" w14:paraId="4120C4DA" w14:textId="77777777">
      <w:pPr>
        <w:tabs>
          <w:tab w:val="left" w:pos="4320"/>
        </w:tabs>
        <w:ind w:left="4320"/>
        <w:rPr>
          <w:b/>
          <w:szCs w:val="24"/>
        </w:rPr>
      </w:pPr>
      <w:r w:rsidRPr="002C2315">
        <w:rPr>
          <w:b/>
          <w:szCs w:val="24"/>
        </w:rPr>
        <w:t>Office of the Ohio Consumers' Counsel</w:t>
      </w:r>
    </w:p>
    <w:p w:rsidR="006F5FAD" w:rsidP="00B70CBC" w14:paraId="212CAA20" w14:textId="77777777">
      <w:pPr>
        <w:tabs>
          <w:tab w:val="left" w:pos="4320"/>
        </w:tabs>
        <w:ind w:left="4320"/>
        <w:rPr>
          <w:szCs w:val="24"/>
        </w:rPr>
      </w:pPr>
      <w:r>
        <w:rPr>
          <w:szCs w:val="24"/>
        </w:rPr>
        <w:t>65 East State Street, 7th Floor</w:t>
      </w:r>
    </w:p>
    <w:p w:rsidR="006F5FAD" w:rsidP="00B70CBC" w14:paraId="498759AD" w14:textId="77777777">
      <w:pPr>
        <w:tabs>
          <w:tab w:val="left" w:pos="4320"/>
        </w:tabs>
        <w:ind w:left="4320"/>
        <w:rPr>
          <w:szCs w:val="24"/>
        </w:rPr>
      </w:pPr>
      <w:r w:rsidRPr="00F257DB">
        <w:rPr>
          <w:szCs w:val="24"/>
        </w:rPr>
        <w:t>Columbus, Ohio 43215</w:t>
      </w:r>
      <w:r>
        <w:rPr>
          <w:szCs w:val="24"/>
        </w:rPr>
        <w:t>-4213</w:t>
      </w:r>
    </w:p>
    <w:p w:rsidR="006F5FAD" w:rsidP="00B70CBC" w14:paraId="688829B2" w14:textId="77777777">
      <w:pPr>
        <w:tabs>
          <w:tab w:val="left" w:pos="4320"/>
        </w:tabs>
        <w:ind w:left="4320"/>
        <w:rPr>
          <w:szCs w:val="24"/>
        </w:rPr>
      </w:pPr>
      <w:r>
        <w:rPr>
          <w:szCs w:val="24"/>
        </w:rPr>
        <w:t xml:space="preserve">Telephone [Healey]: </w:t>
      </w:r>
      <w:r w:rsidRPr="00F257DB">
        <w:rPr>
          <w:szCs w:val="24"/>
        </w:rPr>
        <w:t xml:space="preserve">(614) </w:t>
      </w:r>
      <w:r>
        <w:rPr>
          <w:szCs w:val="24"/>
        </w:rPr>
        <w:t>466-9571</w:t>
      </w:r>
      <w:r w:rsidRPr="00F257DB">
        <w:rPr>
          <w:szCs w:val="24"/>
        </w:rPr>
        <w:t xml:space="preserve"> </w:t>
      </w:r>
    </w:p>
    <w:p w:rsidR="006F5FAD" w:rsidP="00B70CBC" w14:paraId="4AB4886D" w14:textId="77777777">
      <w:pPr>
        <w:tabs>
          <w:tab w:val="left" w:pos="4320"/>
        </w:tabs>
        <w:ind w:left="4320"/>
        <w:rPr>
          <w:szCs w:val="24"/>
        </w:rPr>
      </w:pPr>
      <w:r>
        <w:rPr>
          <w:szCs w:val="24"/>
        </w:rPr>
        <w:t>Telephone [O’Brien]: (614) 466-9531</w:t>
      </w:r>
    </w:p>
    <w:p w:rsidR="006F5FAD" w:rsidP="00B70CBC" w14:paraId="3145DBF5" w14:textId="77777777">
      <w:pPr>
        <w:ind w:left="4320"/>
        <w:rPr>
          <w:rStyle w:val="Hyperlink"/>
          <w:color w:val="auto"/>
          <w:szCs w:val="24"/>
          <w:u w:val="none"/>
        </w:rPr>
      </w:pPr>
      <w:hyperlink r:id="rId6" w:history="1">
        <w:r w:rsidRPr="00B2656D" w:rsidR="001137F1">
          <w:rPr>
            <w:rStyle w:val="Hyperlink"/>
            <w:szCs w:val="24"/>
          </w:rPr>
          <w:t>christopher.healey@occ.ohio.gov</w:t>
        </w:r>
      </w:hyperlink>
    </w:p>
    <w:p w:rsidR="006F5FAD" w:rsidP="00B70CBC" w14:paraId="60140B63" w14:textId="77777777">
      <w:pPr>
        <w:ind w:left="4320"/>
      </w:pPr>
      <w:hyperlink r:id="rId7" w:history="1">
        <w:r w:rsidRPr="00B2656D" w:rsidR="001137F1">
          <w:rPr>
            <w:rStyle w:val="Hyperlink"/>
            <w:szCs w:val="24"/>
          </w:rPr>
          <w:t>angela.obrien@occ.ohio.gov</w:t>
        </w:r>
      </w:hyperlink>
    </w:p>
    <w:p w:rsidR="006F5FAD" w:rsidRPr="00F257DB" w:rsidP="00B70CBC" w14:paraId="02351952" w14:textId="24B95A20">
      <w:pPr>
        <w:ind w:left="4320"/>
        <w:rPr>
          <w:szCs w:val="24"/>
        </w:rPr>
      </w:pPr>
      <w:r w:rsidRPr="00F257DB">
        <w:rPr>
          <w:szCs w:val="24"/>
        </w:rPr>
        <w:t>(</w:t>
      </w:r>
      <w:r>
        <w:rPr>
          <w:szCs w:val="24"/>
        </w:rPr>
        <w:t>willing to accept service by e-mail)</w:t>
      </w:r>
    </w:p>
    <w:p w:rsidR="00A044B5" w:rsidP="00B70CBC" w14:paraId="4A191377" w14:textId="77777777">
      <w:pPr>
        <w:pStyle w:val="HTMLPreformatted"/>
        <w:jc w:val="center"/>
        <w:rPr>
          <w:rFonts w:ascii="Times New Roman" w:hAnsi="Times New Roman"/>
          <w:b/>
          <w:bCs/>
          <w:sz w:val="24"/>
        </w:rPr>
      </w:pPr>
    </w:p>
    <w:p w:rsidR="00935FF4" w:rsidP="00B70CBC" w14:paraId="3F0C8A4F" w14:textId="77777777">
      <w:pPr>
        <w:pStyle w:val="HTMLPreformatted"/>
        <w:jc w:val="center"/>
        <w:rPr>
          <w:rFonts w:ascii="Times New Roman" w:hAnsi="Times New Roman"/>
          <w:b/>
          <w:bCs/>
          <w:sz w:val="24"/>
        </w:rPr>
      </w:pPr>
    </w:p>
    <w:p w:rsidR="00935FF4" w:rsidP="00B70CBC" w14:paraId="5F22CD84" w14:textId="77777777">
      <w:pPr>
        <w:pStyle w:val="HTMLPreformatted"/>
        <w:jc w:val="center"/>
        <w:rPr>
          <w:rFonts w:ascii="Times New Roman" w:hAnsi="Times New Roman"/>
          <w:b/>
          <w:bCs/>
          <w:sz w:val="24"/>
        </w:rPr>
      </w:pPr>
    </w:p>
    <w:p w:rsidR="006F5FAD" w:rsidP="00B70CBC" w14:paraId="55333278" w14:textId="77777777">
      <w:pPr>
        <w:rPr>
          <w:b/>
          <w:bCs/>
          <w:u w:val="single"/>
        </w:rPr>
      </w:pPr>
    </w:p>
    <w:p w:rsidR="00935FF4" w:rsidP="00B70CBC" w14:paraId="2824068E" w14:textId="77777777">
      <w:pPr>
        <w:rPr>
          <w:b/>
          <w:bCs/>
          <w:u w:val="single"/>
        </w:rPr>
      </w:pPr>
      <w:r>
        <w:rPr>
          <w:b/>
          <w:bCs/>
          <w:u w:val="single"/>
        </w:rPr>
        <w:br w:type="page"/>
      </w:r>
    </w:p>
    <w:p w:rsidR="00A044B5" w:rsidP="00B70CBC" w14:paraId="091C2AB7" w14:textId="77777777">
      <w:pPr>
        <w:jc w:val="center"/>
        <w:rPr>
          <w:b/>
          <w:bCs/>
          <w:u w:val="single"/>
        </w:rPr>
      </w:pPr>
      <w:r>
        <w:rPr>
          <w:b/>
          <w:bCs/>
          <w:u w:val="single"/>
        </w:rPr>
        <w:t>CERTIFICATE OF SERVICE</w:t>
      </w:r>
    </w:p>
    <w:p w:rsidR="00A044B5" w:rsidP="00B70CBC" w14:paraId="189F59A4" w14:textId="6CD72CF6">
      <w:pPr>
        <w:spacing w:line="480" w:lineRule="atLeast"/>
      </w:pPr>
      <w:r>
        <w:tab/>
        <w:t xml:space="preserve">I hereby certify that a copy of </w:t>
      </w:r>
      <w:r w:rsidR="004D3902">
        <w:t xml:space="preserve">this Motion </w:t>
      </w:r>
      <w:r>
        <w:t>was served on the persons stated below</w:t>
      </w:r>
      <w:r w:rsidRPr="006F5FAD">
        <w:rPr>
          <w:iCs/>
        </w:rPr>
        <w:t xml:space="preserve"> via </w:t>
      </w:r>
      <w:r>
        <w:t xml:space="preserve">electronic transmission, this </w:t>
      </w:r>
      <w:r w:rsidR="006E6AD6">
        <w:t>6th</w:t>
      </w:r>
      <w:r>
        <w:t xml:space="preserve"> day of </w:t>
      </w:r>
      <w:r w:rsidR="004D3902">
        <w:t>February 2020</w:t>
      </w:r>
      <w:r>
        <w:t>.</w:t>
      </w:r>
    </w:p>
    <w:p w:rsidR="00A044B5" w:rsidP="00B70CBC" w14:paraId="343EB408" w14:textId="77777777">
      <w:pPr>
        <w:spacing w:line="480" w:lineRule="atLeast"/>
      </w:pPr>
    </w:p>
    <w:p w:rsidR="00A044B5" w:rsidRPr="0076297D" w:rsidP="00B70CBC" w14:paraId="648D6D5F" w14:textId="77777777">
      <w:pPr>
        <w:tabs>
          <w:tab w:val="left" w:pos="4320"/>
        </w:tabs>
        <w:rPr>
          <w:i/>
          <w:iCs/>
          <w:u w:val="single"/>
        </w:rPr>
      </w:pPr>
      <w:r>
        <w:tab/>
      </w:r>
      <w:r>
        <w:rPr>
          <w:i/>
          <w:iCs/>
          <w:u w:val="single"/>
        </w:rPr>
        <w:t>/s/ Christopher Healey</w:t>
      </w:r>
      <w:r>
        <w:rPr>
          <w:i/>
          <w:iCs/>
          <w:u w:val="single"/>
        </w:rPr>
        <w:tab/>
      </w:r>
      <w:r>
        <w:rPr>
          <w:i/>
          <w:iCs/>
          <w:u w:val="single"/>
        </w:rPr>
        <w:tab/>
      </w:r>
    </w:p>
    <w:p w:rsidR="00A044B5" w:rsidP="00B70CBC" w14:paraId="20A9C6E1" w14:textId="77777777">
      <w:pPr>
        <w:tabs>
          <w:tab w:val="left" w:pos="4320"/>
        </w:tabs>
      </w:pPr>
      <w:r>
        <w:tab/>
        <w:t>Christopher Healey</w:t>
      </w:r>
    </w:p>
    <w:p w:rsidR="00A044B5" w:rsidP="00B70CBC" w14:paraId="2C3F78C3" w14:textId="77777777">
      <w:pPr>
        <w:tabs>
          <w:tab w:val="left" w:pos="4320"/>
        </w:tabs>
      </w:pPr>
      <w:r>
        <w:tab/>
        <w:t>Assistant Consumers’ Counsel</w:t>
      </w:r>
    </w:p>
    <w:p w:rsidR="005E1591" w:rsidP="00B70CBC" w14:paraId="1A088E35" w14:textId="77777777">
      <w:pPr>
        <w:tabs>
          <w:tab w:val="left" w:pos="4320"/>
        </w:tabs>
      </w:pPr>
    </w:p>
    <w:p w:rsidR="005E1591" w:rsidRPr="00DC09DE" w:rsidP="005E1591" w14:paraId="55445807" w14:textId="77777777">
      <w:pPr>
        <w:pStyle w:val="CommentText"/>
      </w:pPr>
    </w:p>
    <w:p w:rsidR="005E1591" w:rsidRPr="00DC09DE" w:rsidP="005E1591" w14:paraId="39F1D70A" w14:textId="77777777">
      <w:pPr>
        <w:pStyle w:val="CommentText"/>
      </w:pPr>
      <w:r w:rsidRPr="00DC09DE">
        <w:t>The PUCO’s e-filing system will electronically serve notice of the filing of this document on the following parties:</w:t>
      </w:r>
    </w:p>
    <w:p w:rsidR="005E1591" w:rsidP="00B70CBC" w14:paraId="0DD373F3" w14:textId="77777777">
      <w:pPr>
        <w:tabs>
          <w:tab w:val="left" w:pos="4320"/>
        </w:tabs>
      </w:pPr>
    </w:p>
    <w:p w:rsidR="00A044B5" w:rsidP="00B70CBC" w14:paraId="0413F88A" w14:textId="77777777">
      <w:pPr>
        <w:pStyle w:val="CommentSubject"/>
      </w:pPr>
    </w:p>
    <w:p w:rsidR="00A044B5" w:rsidP="00B70CBC" w14:paraId="62F1D88B" w14:textId="77777777">
      <w:pPr>
        <w:pStyle w:val="CommentText"/>
        <w:jc w:val="center"/>
        <w:rPr>
          <w:b/>
          <w:u w:val="single"/>
        </w:rPr>
      </w:pPr>
      <w:r>
        <w:rPr>
          <w:b/>
          <w:u w:val="single"/>
        </w:rPr>
        <w:t>SERVICE LIST</w:t>
      </w:r>
    </w:p>
    <w:p w:rsidR="006F5FAD" w:rsidP="00B70CBC" w14:paraId="730D30E6" w14:textId="77777777">
      <w:pPr>
        <w:pStyle w:val="CommentText"/>
        <w:jc w:val="center"/>
        <w:rPr>
          <w:b/>
          <w:u w:val="single"/>
        </w:rPr>
      </w:pPr>
    </w:p>
    <w:p w:rsidR="006F5FAD" w:rsidP="00B70CBC" w14:paraId="5C19D0AD" w14:textId="77777777">
      <w:pPr>
        <w:pStyle w:val="CommentText"/>
        <w:jc w:val="center"/>
        <w:rPr>
          <w:b/>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5"/>
        <w:gridCol w:w="4675"/>
      </w:tblGrid>
      <w:tr w14:paraId="58314DE4" w14:textId="77777777" w:rsidTr="00B25DD4">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675" w:type="dxa"/>
          </w:tcPr>
          <w:p w:rsidR="006F5FAD" w:rsidP="00B70CBC" w14:paraId="6567770E" w14:textId="77777777">
            <w:pPr>
              <w:pStyle w:val="CommentText"/>
              <w:rPr>
                <w:bCs/>
              </w:rPr>
            </w:pPr>
            <w:hyperlink r:id="rId9" w:history="1">
              <w:r w:rsidRPr="00343969" w:rsidR="00891217">
                <w:rPr>
                  <w:rStyle w:val="Hyperlink"/>
                  <w:bCs/>
                </w:rPr>
                <w:t>steven.beeler@ohioattorneygeneral.gov</w:t>
              </w:r>
            </w:hyperlink>
          </w:p>
          <w:p w:rsidR="00891217" w:rsidP="00B70CBC" w14:paraId="4D4F37BD" w14:textId="77777777">
            <w:pPr>
              <w:pStyle w:val="CommentText"/>
              <w:rPr>
                <w:bCs/>
              </w:rPr>
            </w:pPr>
            <w:hyperlink r:id="rId10" w:history="1">
              <w:r w:rsidRPr="00343969">
                <w:rPr>
                  <w:rStyle w:val="Hyperlink"/>
                  <w:bCs/>
                </w:rPr>
                <w:t>Thomas.mcnamee@ohioattorneygeneral.gov</w:t>
              </w:r>
            </w:hyperlink>
          </w:p>
          <w:p w:rsidR="00891217" w:rsidP="00B70CBC" w14:paraId="731A3DD3" w14:textId="77777777">
            <w:pPr>
              <w:pStyle w:val="CommentText"/>
              <w:rPr>
                <w:bCs/>
              </w:rPr>
            </w:pPr>
          </w:p>
          <w:p w:rsidR="006F5FAD" w:rsidP="00B70CBC" w14:paraId="075DD8AE" w14:textId="77777777">
            <w:pPr>
              <w:pStyle w:val="CommentText"/>
              <w:rPr>
                <w:bCs/>
              </w:rPr>
            </w:pPr>
            <w:r>
              <w:rPr>
                <w:bCs/>
              </w:rPr>
              <w:t>Attorney Examiners:</w:t>
            </w:r>
          </w:p>
          <w:p w:rsidR="006C2789" w:rsidP="00B70CBC" w14:paraId="756E1916" w14:textId="77777777">
            <w:pPr>
              <w:pStyle w:val="CommentText"/>
              <w:rPr>
                <w:bCs/>
              </w:rPr>
            </w:pPr>
          </w:p>
          <w:p w:rsidR="006C2789" w:rsidRPr="006C2789" w:rsidP="006C2789" w14:paraId="2E87AF55" w14:textId="77777777">
            <w:pPr>
              <w:rPr>
                <w:color w:val="0000FF"/>
                <w:szCs w:val="24"/>
                <w:u w:val="single"/>
              </w:rPr>
            </w:pPr>
            <w:hyperlink r:id="rId11" w:history="1">
              <w:r w:rsidRPr="006C2789">
                <w:rPr>
                  <w:color w:val="0000FF"/>
                  <w:szCs w:val="24"/>
                  <w:u w:val="single"/>
                </w:rPr>
                <w:t>Megan.addison@puco.ohio.gov</w:t>
              </w:r>
            </w:hyperlink>
          </w:p>
          <w:p w:rsidR="006C2789" w:rsidRPr="006C2789" w:rsidP="006C2789" w14:paraId="22AB2BCA" w14:textId="77777777">
            <w:pPr>
              <w:adjustRightInd w:val="0"/>
              <w:rPr>
                <w:color w:val="0000FF"/>
                <w:szCs w:val="24"/>
                <w:u w:val="single"/>
              </w:rPr>
            </w:pPr>
            <w:hyperlink r:id="rId12" w:history="1">
              <w:r w:rsidRPr="006C2789">
                <w:rPr>
                  <w:color w:val="0000FF"/>
                  <w:szCs w:val="24"/>
                  <w:u w:val="single"/>
                </w:rPr>
                <w:t>gregory.price@puco.ohio.gov</w:t>
              </w:r>
            </w:hyperlink>
          </w:p>
          <w:p w:rsidR="006C2789" w:rsidRPr="006F5FAD" w:rsidP="00B70CBC" w14:paraId="50C2C4A2" w14:textId="364E505F">
            <w:pPr>
              <w:pStyle w:val="CommentText"/>
              <w:rPr>
                <w:bCs/>
              </w:rPr>
            </w:pPr>
          </w:p>
        </w:tc>
        <w:tc>
          <w:tcPr>
            <w:tcW w:w="4675" w:type="dxa"/>
          </w:tcPr>
          <w:p w:rsidR="006F5FAD" w:rsidRPr="006C2789" w:rsidP="00B70CBC" w14:paraId="5AFE53CA" w14:textId="77777777">
            <w:pPr>
              <w:autoSpaceDE w:val="0"/>
              <w:autoSpaceDN w:val="0"/>
              <w:adjustRightInd w:val="0"/>
              <w:rPr>
                <w:rFonts w:ascii="TimesNewRomanPSMT" w:hAnsi="TimesNewRomanPSMT" w:cs="TimesNewRomanPSMT"/>
                <w:color w:val="0000FF"/>
                <w:szCs w:val="24"/>
                <w:u w:val="single"/>
              </w:rPr>
            </w:pPr>
            <w:r w:rsidRPr="006C2789">
              <w:rPr>
                <w:rFonts w:ascii="TimesNewRomanPSMT" w:hAnsi="TimesNewRomanPSMT" w:cs="TimesNewRomanPSMT"/>
                <w:color w:val="0000FF"/>
                <w:szCs w:val="24"/>
                <w:u w:val="single"/>
              </w:rPr>
              <w:t>bknipe@firstenergycorp.com</w:t>
            </w:r>
          </w:p>
          <w:p w:rsidR="006F5FAD" w:rsidP="00B70CBC" w14:paraId="69E15D86" w14:textId="77777777">
            <w:pPr>
              <w:pStyle w:val="CommentText"/>
              <w:rPr>
                <w:rFonts w:ascii="TimesNewRomanPSMT" w:hAnsi="TimesNewRomanPSMT" w:cs="TimesNewRomanPSMT"/>
                <w:color w:val="0000FF"/>
              </w:rPr>
            </w:pPr>
            <w:hyperlink r:id="rId13" w:history="1">
              <w:r w:rsidRPr="00343969" w:rsidR="00891217">
                <w:rPr>
                  <w:rStyle w:val="Hyperlink"/>
                  <w:rFonts w:ascii="TimesNewRomanPSMT" w:hAnsi="TimesNewRomanPSMT" w:cs="TimesNewRomanPSMT"/>
                </w:rPr>
                <w:t>edanford@firstenergycorp.com</w:t>
              </w:r>
            </w:hyperlink>
          </w:p>
          <w:p w:rsidR="006F5FAD" w:rsidP="00B70CBC" w14:paraId="05CDC22A" w14:textId="77777777">
            <w:pPr>
              <w:pStyle w:val="CommentText"/>
              <w:rPr>
                <w:rFonts w:ascii="TimesNewRomanPSMT" w:hAnsi="TimesNewRomanPSMT" w:cs="TimesNewRomanPSMT"/>
                <w:color w:val="0000FF"/>
              </w:rPr>
            </w:pPr>
            <w:hyperlink r:id="rId14" w:history="1">
              <w:r w:rsidRPr="00C84293" w:rsidR="001137F1">
                <w:rPr>
                  <w:rStyle w:val="Hyperlink"/>
                  <w:rFonts w:ascii="TimesNewRomanPSMT" w:hAnsi="TimesNewRomanPSMT" w:cs="TimesNewRomanPSMT"/>
                </w:rPr>
                <w:t>cwatchorn@firstenergycorp.com</w:t>
              </w:r>
            </w:hyperlink>
          </w:p>
          <w:p w:rsidR="006F5FAD" w:rsidP="00B70CBC" w14:paraId="419E68A0" w14:textId="77777777">
            <w:pPr>
              <w:pStyle w:val="CommentText"/>
              <w:rPr>
                <w:rStyle w:val="Hyperlink"/>
                <w:rFonts w:ascii="TimesNewRomanPSMT" w:hAnsi="TimesNewRomanPSMT" w:cs="TimesNewRomanPSMT"/>
              </w:rPr>
            </w:pPr>
            <w:hyperlink r:id="rId15" w:history="1">
              <w:r w:rsidRPr="00C84293" w:rsidR="001137F1">
                <w:rPr>
                  <w:rStyle w:val="Hyperlink"/>
                  <w:rFonts w:ascii="TimesNewRomanPSMT" w:hAnsi="TimesNewRomanPSMT" w:cs="TimesNewRomanPSMT"/>
                </w:rPr>
                <w:t>jlang@calfee.com</w:t>
              </w:r>
            </w:hyperlink>
          </w:p>
          <w:p w:rsidR="008A18D6" w:rsidP="00B70CBC" w14:paraId="752091C5" w14:textId="77777777">
            <w:pPr>
              <w:pStyle w:val="CommentText"/>
              <w:rPr>
                <w:rStyle w:val="Hyperlink"/>
                <w:rFonts w:ascii="TimesNewRomanPSMT" w:hAnsi="TimesNewRomanPSMT" w:cs="TimesNewRomanPSMT"/>
              </w:rPr>
            </w:pPr>
            <w:hyperlink r:id="rId16" w:history="1">
              <w:r w:rsidRPr="008A5C97" w:rsidR="001137F1">
                <w:rPr>
                  <w:rStyle w:val="Hyperlink"/>
                  <w:rFonts w:ascii="TimesNewRomanPSMT" w:hAnsi="TimesNewRomanPSMT" w:cs="TimesNewRomanPSMT"/>
                </w:rPr>
                <w:t>dborchers@bricker.com</w:t>
              </w:r>
            </w:hyperlink>
          </w:p>
          <w:p w:rsidR="008A18D6" w:rsidP="00B70CBC" w14:paraId="7D8535FD" w14:textId="77777777">
            <w:pPr>
              <w:pStyle w:val="CommentText"/>
              <w:rPr>
                <w:rStyle w:val="Hyperlink"/>
              </w:rPr>
            </w:pPr>
            <w:hyperlink r:id="rId17" w:history="1">
              <w:r w:rsidRPr="008A5C97" w:rsidR="001137F1">
                <w:rPr>
                  <w:rStyle w:val="Hyperlink"/>
                </w:rPr>
                <w:t>dparram@bricker.com</w:t>
              </w:r>
            </w:hyperlink>
          </w:p>
          <w:p w:rsidR="008A18D6" w:rsidP="00B70CBC" w14:paraId="7A751BD3" w14:textId="564CD5B2">
            <w:pPr>
              <w:pStyle w:val="CommentText"/>
              <w:rPr>
                <w:rFonts w:ascii="TimesNewRomanPSMT" w:hAnsi="TimesNewRomanPSMT" w:cs="TimesNewRomanPSMT"/>
                <w:color w:val="0000FF"/>
              </w:rPr>
            </w:pPr>
            <w:hyperlink r:id="rId18" w:history="1">
              <w:r w:rsidRPr="00EA0962" w:rsidR="00BE1BB7">
                <w:rPr>
                  <w:rStyle w:val="Hyperlink"/>
                  <w:rFonts w:ascii="TimesNewRomanPSMT" w:hAnsi="TimesNewRomanPSMT" w:cs="TimesNewRomanPSMT"/>
                </w:rPr>
                <w:t>bojko@carpenterlipps.com</w:t>
              </w:r>
            </w:hyperlink>
          </w:p>
          <w:p w:rsidR="00BE1BB7" w:rsidP="00B70CBC" w14:paraId="6FFBBF6B" w14:textId="625FD59B">
            <w:pPr>
              <w:pStyle w:val="CommentText"/>
              <w:rPr>
                <w:rFonts w:ascii="TimesNewRomanPSMT" w:hAnsi="TimesNewRomanPSMT" w:cs="TimesNewRomanPSMT"/>
                <w:color w:val="0000FF"/>
              </w:rPr>
            </w:pPr>
            <w:hyperlink r:id="rId19" w:history="1">
              <w:r w:rsidRPr="00EA0962">
                <w:rPr>
                  <w:rStyle w:val="Hyperlink"/>
                  <w:rFonts w:ascii="TimesNewRomanPSMT" w:hAnsi="TimesNewRomanPSMT" w:cs="TimesNewRomanPSMT"/>
                </w:rPr>
                <w:t>gkrassen@bricker.com</w:t>
              </w:r>
            </w:hyperlink>
          </w:p>
          <w:p w:rsidR="00BE1BB7" w:rsidP="00B70CBC" w14:paraId="37604E82" w14:textId="66355EC8">
            <w:pPr>
              <w:pStyle w:val="CommentText"/>
              <w:rPr>
                <w:rFonts w:ascii="TimesNewRomanPSMT" w:hAnsi="TimesNewRomanPSMT" w:cs="TimesNewRomanPSMT"/>
                <w:color w:val="0000FF"/>
              </w:rPr>
            </w:pPr>
            <w:hyperlink r:id="rId20" w:history="1">
              <w:r w:rsidRPr="00EA0962">
                <w:rPr>
                  <w:rStyle w:val="Hyperlink"/>
                  <w:rFonts w:ascii="TimesNewRomanPSMT" w:hAnsi="TimesNewRomanPSMT" w:cs="TimesNewRomanPSMT"/>
                </w:rPr>
                <w:t>dstinson@bricker.com</w:t>
              </w:r>
            </w:hyperlink>
          </w:p>
          <w:p w:rsidR="00BE1BB7" w:rsidP="00B70CBC" w14:paraId="1F7CEA07" w14:textId="77777777">
            <w:pPr>
              <w:pStyle w:val="CommentText"/>
              <w:rPr>
                <w:rFonts w:ascii="TimesNewRomanPSMT" w:hAnsi="TimesNewRomanPSMT" w:cs="TimesNewRomanPSMT"/>
                <w:color w:val="0000FF"/>
              </w:rPr>
            </w:pPr>
          </w:p>
          <w:p w:rsidR="006F5FAD" w:rsidP="00B70CBC" w14:paraId="79B963A9" w14:textId="77777777">
            <w:pPr>
              <w:pStyle w:val="CommentText"/>
              <w:rPr>
                <w:b/>
                <w:u w:val="single"/>
              </w:rPr>
            </w:pPr>
          </w:p>
        </w:tc>
      </w:tr>
    </w:tbl>
    <w:p w:rsidR="006F5FAD" w:rsidP="00B70CBC" w14:paraId="76861BA3" w14:textId="77777777">
      <w:pPr>
        <w:pStyle w:val="CommentText"/>
        <w:jc w:val="center"/>
        <w:rPr>
          <w:b/>
          <w:u w:val="single"/>
        </w:rPr>
      </w:pPr>
    </w:p>
    <w:p w:rsidR="00A044B5" w:rsidP="00B70CBC" w14:paraId="11DF2711" w14:textId="77777777">
      <w:pPr>
        <w:pStyle w:val="BodyText"/>
        <w:rPr>
          <w:b/>
          <w:bCs/>
        </w:rPr>
      </w:pPr>
    </w:p>
    <w:p w:rsidR="00A044B5" w:rsidP="00B70CBC" w14:paraId="38EA6B8D" w14:textId="77777777">
      <w:pPr>
        <w:pStyle w:val="BodyText"/>
        <w:rPr>
          <w:b/>
          <w:bCs/>
        </w:rPr>
      </w:pPr>
    </w:p>
    <w:sectPr w:rsidSect="0076297D">
      <w:footerReference w:type="first" r:id="rId21"/>
      <w:pgSz w:w="12240" w:h="15840"/>
      <w:pgMar w:top="1440" w:right="1440" w:bottom="1440" w:left="1440" w:header="720" w:footer="720" w:gutter="0"/>
      <w:pgNumType w:start="1"/>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Segoe UI"/>
    <w:charset w:val="00"/>
    <w:family w:val="swiss"/>
    <w:pitch w:val="variable"/>
    <w:sig w:usb0="E1000AEF" w:usb1="5000A1FF" w:usb2="00000000" w:usb3="00000000" w:csb0="000001B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14:paraId="6D343E02" w14:textId="77777777">
    <w:pPr>
      <w:pStyle w:val="Footer"/>
      <w:framePr w:wrap="around" w:vAnchor="text" w:hAnchor="margin" w:xAlign="center" w:y="1"/>
      <w:jc w:val="center"/>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Pr>
        <w:rStyle w:val="PageNumber"/>
        <w:noProof/>
        <w:sz w:val="24"/>
        <w:szCs w:val="24"/>
      </w:rPr>
      <w:t>2</w:t>
    </w:r>
    <w:r>
      <w:rPr>
        <w:rStyle w:val="PageNumber"/>
        <w:sz w:val="24"/>
        <w:szCs w:val="24"/>
      </w:rPr>
      <w:fldChar w:fldCharType="end"/>
    </w:r>
  </w:p>
  <w:p w:rsidR="00A044B5" w14:paraId="083BD67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44336159"/>
      <w:docPartObj>
        <w:docPartGallery w:val="Page Numbers (Bottom of Page)"/>
        <w:docPartUnique/>
      </w:docPartObj>
    </w:sdtPr>
    <w:sdtEndPr>
      <w:rPr>
        <w:noProof/>
        <w:sz w:val="24"/>
        <w:szCs w:val="24"/>
      </w:rPr>
    </w:sdtEndPr>
    <w:sdtContent>
      <w:p w:rsidR="006C2789" w:rsidRPr="006C2789" w14:paraId="48E42BCB" w14:textId="2865F288">
        <w:pPr>
          <w:pStyle w:val="Footer"/>
          <w:jc w:val="center"/>
          <w:rPr>
            <w:sz w:val="24"/>
            <w:szCs w:val="24"/>
          </w:rPr>
        </w:pPr>
        <w:r w:rsidRPr="006C2789">
          <w:rPr>
            <w:sz w:val="24"/>
            <w:szCs w:val="24"/>
          </w:rPr>
          <w:fldChar w:fldCharType="begin"/>
        </w:r>
        <w:r w:rsidRPr="006C2789">
          <w:rPr>
            <w:sz w:val="24"/>
            <w:szCs w:val="24"/>
          </w:rPr>
          <w:instrText xml:space="preserve"> PAGE   \* MERGEFORMAT </w:instrText>
        </w:r>
        <w:r w:rsidRPr="006C2789">
          <w:rPr>
            <w:sz w:val="24"/>
            <w:szCs w:val="24"/>
          </w:rPr>
          <w:fldChar w:fldCharType="separate"/>
        </w:r>
        <w:r w:rsidRPr="006C2789">
          <w:rPr>
            <w:noProof/>
            <w:sz w:val="24"/>
            <w:szCs w:val="24"/>
          </w:rPr>
          <w:t>2</w:t>
        </w:r>
        <w:r w:rsidRPr="006C2789">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83B54" w14:paraId="4F1C75C1" w14:textId="77777777">
      <w:r>
        <w:separator/>
      </w:r>
    </w:p>
  </w:footnote>
  <w:footnote w:type="continuationSeparator" w:id="1">
    <w:p w:rsidR="00683B54" w14:paraId="198B16D7" w14:textId="77777777">
      <w:r>
        <w:continuationSeparator/>
      </w:r>
    </w:p>
  </w:footnote>
  <w:footnote w:id="2">
    <w:p w:rsidR="00222B38" w:rsidP="00127C39" w14:paraId="41682CB0" w14:textId="5D3BB9B0">
      <w:pPr>
        <w:pStyle w:val="FootnoteText"/>
        <w:spacing w:after="120"/>
      </w:pPr>
      <w:r>
        <w:rPr>
          <w:rStyle w:val="FootnoteReference"/>
        </w:rPr>
        <w:footnoteRef/>
      </w:r>
      <w:r>
        <w:t xml:space="preserve"> Finding and Order (Jan. 15, 2020) (the “Order”).</w:t>
      </w:r>
    </w:p>
  </w:footnote>
  <w:footnote w:id="3">
    <w:p w:rsidR="00222B38" w:rsidP="00127C39" w14:paraId="72796A61" w14:textId="785F2059">
      <w:pPr>
        <w:pStyle w:val="FootnoteText"/>
        <w:spacing w:after="120"/>
      </w:pPr>
      <w:r>
        <w:rPr>
          <w:rStyle w:val="FootnoteReference"/>
        </w:rPr>
        <w:footnoteRef/>
      </w:r>
      <w:r>
        <w:t xml:space="preserve"> Order ¶ 30.</w:t>
      </w:r>
    </w:p>
  </w:footnote>
  <w:footnote w:id="4">
    <w:p w:rsidR="00222B38" w:rsidRPr="00222B38" w:rsidP="00127C39" w14:paraId="40FFE54D" w14:textId="50F4AD3F">
      <w:pPr>
        <w:pStyle w:val="FootnoteText"/>
        <w:spacing w:after="120"/>
      </w:pPr>
      <w:r>
        <w:rPr>
          <w:rStyle w:val="FootnoteReference"/>
        </w:rPr>
        <w:footnoteRef/>
      </w:r>
      <w:r>
        <w:t xml:space="preserve"> </w:t>
      </w:r>
      <w:r>
        <w:rPr>
          <w:i/>
          <w:iCs/>
        </w:rPr>
        <w:t>See</w:t>
      </w:r>
      <w:r>
        <w:t xml:space="preserve"> Tariff Updates (Jan. 31, 2020), </w:t>
      </w:r>
      <w:r>
        <w:rPr>
          <w:i/>
          <w:iCs/>
        </w:rPr>
        <w:t>available at</w:t>
      </w:r>
      <w:r>
        <w:t xml:space="preserve"> </w:t>
      </w:r>
      <w:hyperlink r:id="rId1" w:history="1">
        <w:r>
          <w:rPr>
            <w:rStyle w:val="Hyperlink"/>
          </w:rPr>
          <w:t>http://dis.puc.state.oh.us/DocumentRecord.aspx?DocID=0bdf562b-f516-4ef2-b29e-9b78ec1673a6</w:t>
        </w:r>
      </w:hyperlink>
      <w:r>
        <w:t xml:space="preserve">, </w:t>
      </w:r>
      <w:hyperlink r:id="rId2" w:history="1">
        <w:r>
          <w:rPr>
            <w:rStyle w:val="Hyperlink"/>
          </w:rPr>
          <w:t>http://dis.puc.state.oh.us/DocumentRecord.aspx?DocID=6fe58987-8a83-4588-a5b5-aa1c64f40f9d</w:t>
        </w:r>
      </w:hyperlink>
      <w:r>
        <w:t xml:space="preserve">, and </w:t>
      </w:r>
      <w:hyperlink r:id="rId3" w:history="1">
        <w:r>
          <w:rPr>
            <w:rStyle w:val="Hyperlink"/>
          </w:rPr>
          <w:t>http://dis.puc.state.oh.us/DocumentRecord.aspx?DocID=4a191fd9-8543-4a9f-bd33-42bf9914f60d</w:t>
        </w:r>
      </w:hyperlink>
      <w:r>
        <w:t>.</w:t>
      </w:r>
    </w:p>
  </w:footnote>
  <w:footnote w:id="5">
    <w:p w:rsidR="00323DB3" w:rsidRPr="00323DB3" w:rsidP="00127C39" w14:paraId="6BAF7CB0" w14:textId="00BD15D5">
      <w:pPr>
        <w:pStyle w:val="FootnoteText"/>
        <w:spacing w:after="120"/>
      </w:pPr>
      <w:r>
        <w:rPr>
          <w:rStyle w:val="FootnoteReference"/>
        </w:rPr>
        <w:footnoteRef/>
      </w:r>
      <w:r>
        <w:t xml:space="preserve"> </w:t>
      </w:r>
      <w:r>
        <w:rPr>
          <w:i/>
          <w:iCs/>
        </w:rPr>
        <w:t>See supra</w:t>
      </w:r>
      <w:r>
        <w:t xml:space="preserve"> footnote 3.</w:t>
      </w:r>
    </w:p>
  </w:footnote>
  <w:footnote w:id="6">
    <w:p w:rsidR="002D5924" w:rsidP="00127C39" w14:paraId="5FDBD0B5" w14:textId="77777777">
      <w:pPr>
        <w:pStyle w:val="FootnoteText"/>
        <w:spacing w:after="120"/>
      </w:pPr>
      <w:r>
        <w:rPr>
          <w:rStyle w:val="FootnoteReference"/>
        </w:rPr>
        <w:footnoteRef/>
      </w:r>
      <w:r>
        <w:t xml:space="preserve"> Order ¶ 30.</w:t>
      </w:r>
    </w:p>
  </w:footnote>
  <w:footnote w:id="7">
    <w:p w:rsidR="00D42DC8" w:rsidP="00127C39" w14:paraId="0E0FCBDA" w14:textId="76B8C01B">
      <w:pPr>
        <w:pStyle w:val="FootnoteText"/>
        <w:spacing w:after="120"/>
      </w:pPr>
      <w:r>
        <w:rPr>
          <w:rStyle w:val="FootnoteReference"/>
        </w:rPr>
        <w:footnoteRef/>
      </w:r>
      <w:r>
        <w:t xml:space="preserve"> </w:t>
      </w:r>
      <w:r>
        <w:rPr>
          <w:i/>
          <w:iCs/>
        </w:rPr>
        <w:t>See</w:t>
      </w:r>
      <w:r>
        <w:t xml:space="preserve"> Tariff Updates (Jan. 31, 2020), </w:t>
      </w:r>
      <w:r>
        <w:rPr>
          <w:i/>
          <w:iCs/>
        </w:rPr>
        <w:t>available at</w:t>
      </w:r>
      <w:r>
        <w:t xml:space="preserve"> </w:t>
      </w:r>
      <w:hyperlink r:id="rId1" w:history="1">
        <w:r>
          <w:rPr>
            <w:rStyle w:val="Hyperlink"/>
          </w:rPr>
          <w:t>http://dis.puc.state.oh.us/DocumentRecord.aspx?DocID=0bdf562b-f516-4ef2-b29e-9b78ec1673a6</w:t>
        </w:r>
      </w:hyperlink>
      <w:r>
        <w:t xml:space="preserve">, </w:t>
      </w:r>
      <w:hyperlink r:id="rId2" w:history="1">
        <w:r>
          <w:rPr>
            <w:rStyle w:val="Hyperlink"/>
          </w:rPr>
          <w:t>http://dis.puc.state.oh.us/DocumentRecord.aspx?DocID=6fe58987-8a83-4588-a5b5-aa1c64f40f9d</w:t>
        </w:r>
      </w:hyperlink>
      <w:r>
        <w:t xml:space="preserve">, and </w:t>
      </w:r>
      <w:hyperlink r:id="rId3" w:history="1">
        <w:r>
          <w:rPr>
            <w:rStyle w:val="Hyperlink"/>
          </w:rPr>
          <w:t>http://dis.puc.state.oh.us/DocumentRecord.aspx?DocID=4a191fd9-8543-4a9f-bd33-42bf9914f60d</w:t>
        </w:r>
      </w:hyperlink>
      <w:r>
        <w:t>.</w:t>
      </w:r>
    </w:p>
  </w:footnote>
  <w:footnote w:id="8">
    <w:p w:rsidR="004D3902" w:rsidP="00127C39" w14:paraId="7049C044" w14:textId="26F7318B">
      <w:pPr>
        <w:pStyle w:val="FootnoteText"/>
        <w:spacing w:after="120"/>
      </w:pPr>
      <w:r>
        <w:rPr>
          <w:rStyle w:val="FootnoteReference"/>
        </w:rPr>
        <w:footnoteRef/>
      </w:r>
      <w:r>
        <w:t xml:space="preserve"> Order ¶ 30.</w:t>
      </w:r>
    </w:p>
  </w:footnote>
  <w:footnote w:id="9">
    <w:p w:rsidR="00A666B8" w:rsidRPr="00A666B8" w:rsidP="00127C39" w14:paraId="64352A58" w14:textId="426E6075">
      <w:pPr>
        <w:pStyle w:val="FootnoteText"/>
        <w:spacing w:after="120"/>
      </w:pPr>
      <w:r>
        <w:rPr>
          <w:rStyle w:val="FootnoteReference"/>
        </w:rPr>
        <w:footnoteRef/>
      </w:r>
      <w:r>
        <w:t xml:space="preserve"> </w:t>
      </w:r>
      <w:r>
        <w:rPr>
          <w:i/>
          <w:iCs/>
        </w:rPr>
        <w:t>In re Alternative Energy Rider Contained in the Tariffs of Ohio Edison Co.</w:t>
      </w:r>
      <w:r>
        <w:t>, 153 Ohio St.3d 289 (2018).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52698C"/>
    <w:multiLevelType w:val="hybridMultilevel"/>
    <w:tmpl w:val="FCCA68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43821C45"/>
    <w:multiLevelType w:val="hybridMultilevel"/>
    <w:tmpl w:val="853481C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53454FCE"/>
    <w:multiLevelType w:val="hybridMultilevel"/>
    <w:tmpl w:val="C576D4C6"/>
    <w:lvl w:ilvl="0">
      <w:start w:val="3"/>
      <w:numFmt w:val="upperRoman"/>
      <w:lvlText w:val="%1."/>
      <w:lvlJc w:val="left"/>
      <w:pPr>
        <w:tabs>
          <w:tab w:val="num" w:pos="1080"/>
        </w:tabs>
        <w:ind w:left="1080" w:hanging="720"/>
      </w:pPr>
      <w:rPr>
        <w:rFonts w:hint="default"/>
        <w:u w:val="none"/>
      </w:rPr>
    </w:lvl>
    <w:lvl w:ilvl="1">
      <w:start w:val="1"/>
      <w:numFmt w:val="upperLetter"/>
      <w:lvlText w:val="%2."/>
      <w:lvlJc w:val="left"/>
      <w:pPr>
        <w:tabs>
          <w:tab w:val="num" w:pos="2085"/>
        </w:tabs>
        <w:ind w:left="2085" w:hanging="100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5A164567"/>
    <w:multiLevelType w:val="hybridMultilevel"/>
    <w:tmpl w:val="924AB3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5F8249F4"/>
    <w:multiLevelType w:val="hybridMultilevel"/>
    <w:tmpl w:val="2020BA1E"/>
    <w:lvl w:ilvl="0">
      <w:start w:val="2"/>
      <w:numFmt w:val="upp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nsid w:val="65D27B79"/>
    <w:multiLevelType w:val="hybridMultilevel"/>
    <w:tmpl w:val="72B87570"/>
    <w:lvl w:ilvl="0">
      <w:start w:val="4"/>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6">
    <w:nsid w:val="78B05554"/>
    <w:multiLevelType w:val="hybridMultilevel"/>
    <w:tmpl w:val="6C22C984"/>
    <w:lvl w:ilvl="0">
      <w:start w:val="5"/>
      <w:numFmt w:val="decimal"/>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num w:numId="1">
    <w:abstractNumId w:val="3"/>
  </w:num>
  <w:num w:numId="2">
    <w:abstractNumId w:val="2"/>
  </w:num>
  <w:num w:numId="3">
    <w:abstractNumId w:val="5"/>
  </w:num>
  <w:num w:numId="4">
    <w:abstractNumId w:val="4"/>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24"/>
  <w:drawingGridVerticalSpacing w:val="65"/>
  <w:displayHorizontalDrawingGridEvery w:val="0"/>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FDA"/>
    <w:rsid w:val="0006519B"/>
    <w:rsid w:val="000A2B01"/>
    <w:rsid w:val="000C435E"/>
    <w:rsid w:val="001137F1"/>
    <w:rsid w:val="00127C39"/>
    <w:rsid w:val="00171D6A"/>
    <w:rsid w:val="00185514"/>
    <w:rsid w:val="001A71D3"/>
    <w:rsid w:val="00222B38"/>
    <w:rsid w:val="00225D68"/>
    <w:rsid w:val="0022699B"/>
    <w:rsid w:val="002935BC"/>
    <w:rsid w:val="002C2315"/>
    <w:rsid w:val="002D5924"/>
    <w:rsid w:val="00323DB3"/>
    <w:rsid w:val="003309CF"/>
    <w:rsid w:val="00343969"/>
    <w:rsid w:val="0038101A"/>
    <w:rsid w:val="00461DEE"/>
    <w:rsid w:val="004C7079"/>
    <w:rsid w:val="004D3902"/>
    <w:rsid w:val="00536B17"/>
    <w:rsid w:val="005E1591"/>
    <w:rsid w:val="005E2E75"/>
    <w:rsid w:val="005F4498"/>
    <w:rsid w:val="006438D9"/>
    <w:rsid w:val="00683B54"/>
    <w:rsid w:val="006C2789"/>
    <w:rsid w:val="006E6AD6"/>
    <w:rsid w:val="006F5FAD"/>
    <w:rsid w:val="0076297D"/>
    <w:rsid w:val="008128FD"/>
    <w:rsid w:val="0088451A"/>
    <w:rsid w:val="00891217"/>
    <w:rsid w:val="008A18D6"/>
    <w:rsid w:val="008A5C97"/>
    <w:rsid w:val="00935FF4"/>
    <w:rsid w:val="00997BB1"/>
    <w:rsid w:val="009B491D"/>
    <w:rsid w:val="00A044B5"/>
    <w:rsid w:val="00A666B8"/>
    <w:rsid w:val="00A96C68"/>
    <w:rsid w:val="00B25DD4"/>
    <w:rsid w:val="00B2656D"/>
    <w:rsid w:val="00B57FDA"/>
    <w:rsid w:val="00B6418E"/>
    <w:rsid w:val="00B70CBC"/>
    <w:rsid w:val="00BE1BB7"/>
    <w:rsid w:val="00C069B5"/>
    <w:rsid w:val="00C34EC2"/>
    <w:rsid w:val="00C818A1"/>
    <w:rsid w:val="00C84293"/>
    <w:rsid w:val="00C87F6B"/>
    <w:rsid w:val="00D1692A"/>
    <w:rsid w:val="00D30729"/>
    <w:rsid w:val="00D42DC8"/>
    <w:rsid w:val="00D513FB"/>
    <w:rsid w:val="00DC09DE"/>
    <w:rsid w:val="00DC1C9C"/>
    <w:rsid w:val="00E420E7"/>
    <w:rsid w:val="00EA0962"/>
    <w:rsid w:val="00ED1F7B"/>
    <w:rsid w:val="00EE05CA"/>
    <w:rsid w:val="00F22DCD"/>
    <w:rsid w:val="00F23FDE"/>
    <w:rsid w:val="00F257DB"/>
    <w:rsid w:val="00F50DF9"/>
    <w:rsid w:val="00F768D7"/>
    <w:rsid w:val="00FA4D98"/>
    <w:rsid w:val="00FB152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E74"/>
    <w:rPr>
      <w:sz w:val="24"/>
    </w:rPr>
  </w:style>
  <w:style w:type="paragraph" w:styleId="Heading1">
    <w:name w:val="heading 1"/>
    <w:basedOn w:val="Normal"/>
    <w:next w:val="Normal"/>
    <w:qFormat/>
    <w:rsid w:val="00831E74"/>
    <w:pPr>
      <w:keepNext/>
      <w:outlineLvl w:val="0"/>
    </w:pPr>
    <w:rPr>
      <w:b/>
      <w:szCs w:val="24"/>
      <w:u w:val="single"/>
    </w:rPr>
  </w:style>
  <w:style w:type="paragraph" w:styleId="Heading2">
    <w:name w:val="heading 2"/>
    <w:basedOn w:val="Normal"/>
    <w:next w:val="Normal"/>
    <w:qFormat/>
    <w:rsid w:val="00831E74"/>
    <w:pPr>
      <w:keepNext/>
      <w:tabs>
        <w:tab w:val="left" w:pos="4320"/>
      </w:tabs>
      <w:jc w:val="center"/>
      <w:outlineLvl w:val="1"/>
    </w:pPr>
    <w:rPr>
      <w:b/>
    </w:rPr>
  </w:style>
  <w:style w:type="paragraph" w:styleId="Heading3">
    <w:name w:val="heading 3"/>
    <w:basedOn w:val="Normal"/>
    <w:next w:val="Normal"/>
    <w:qFormat/>
    <w:rsid w:val="00831E74"/>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831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rsid w:val="00831E74"/>
    <w:pPr>
      <w:tabs>
        <w:tab w:val="center" w:pos="4320"/>
        <w:tab w:val="right" w:pos="8640"/>
      </w:tabs>
    </w:pPr>
    <w:rPr>
      <w:sz w:val="20"/>
    </w:rPr>
  </w:style>
  <w:style w:type="character" w:styleId="Hyperlink">
    <w:name w:val="Hyperlink"/>
    <w:rsid w:val="00831E74"/>
    <w:rPr>
      <w:color w:val="0000FF"/>
      <w:u w:val="single"/>
    </w:rPr>
  </w:style>
  <w:style w:type="paragraph" w:styleId="FootnoteText">
    <w:name w:val="footnote text"/>
    <w:aliases w:val="Car,Footnote Text Char Char,Footnote Text Char Char Char Char,Footnote Text Char Char Char1,Footnote Text Char Char1,Footnote Text Char1 Char Char,Footnote Text Char1 Char1,Footnote Text Char2,Footnote Text Char4 Char Char Char Char,fn"/>
    <w:basedOn w:val="Normal"/>
    <w:link w:val="FootnoteTextChar"/>
    <w:qFormat/>
    <w:rsid w:val="00831E74"/>
    <w:rPr>
      <w:sz w:val="20"/>
    </w:rPr>
  </w:style>
  <w:style w:type="character" w:styleId="FootnoteReference">
    <w:name w:val="footnote reference"/>
    <w:aliases w:val="(NECG) Footnote Reference,Appel note de bas de p,Style,Style 11,Style 12,Style 124,Style 13,Style 15,Style 17,Style 18,Style 19,Style 20,Style 21,Style 28,Style 3,Style 4,Style 42,Style 7,Style 8,Style 9,fnr,fr,fr1,fr2,fr3,o,o1,o2,o3"/>
    <w:qFormat/>
    <w:rsid w:val="00831E74"/>
    <w:rPr>
      <w:vertAlign w:val="superscript"/>
    </w:rPr>
  </w:style>
  <w:style w:type="paragraph" w:styleId="BodyTextIndent">
    <w:name w:val="Body Text Indent"/>
    <w:basedOn w:val="Normal"/>
    <w:rsid w:val="00831E74"/>
    <w:pPr>
      <w:spacing w:line="480" w:lineRule="auto"/>
      <w:ind w:firstLine="720"/>
    </w:pPr>
  </w:style>
  <w:style w:type="paragraph" w:styleId="BodyTextIndent3">
    <w:name w:val="Body Text Indent 3"/>
    <w:basedOn w:val="Normal"/>
    <w:link w:val="BodyTextIndent3Char"/>
    <w:rsid w:val="00831E74"/>
    <w:pPr>
      <w:spacing w:line="480" w:lineRule="atLeast"/>
      <w:ind w:firstLine="720"/>
    </w:pPr>
  </w:style>
  <w:style w:type="paragraph" w:styleId="BodyTextIndent2">
    <w:name w:val="Body Text Indent 2"/>
    <w:basedOn w:val="Normal"/>
    <w:rsid w:val="00831E74"/>
    <w:pPr>
      <w:tabs>
        <w:tab w:val="left" w:pos="720"/>
      </w:tabs>
      <w:spacing w:before="240" w:after="240"/>
      <w:ind w:left="1464" w:hanging="744"/>
    </w:pPr>
  </w:style>
  <w:style w:type="character" w:styleId="PageNumber">
    <w:name w:val="page number"/>
    <w:basedOn w:val="DefaultParagraphFont"/>
    <w:rsid w:val="00831E74"/>
  </w:style>
  <w:style w:type="paragraph" w:styleId="BodyText">
    <w:name w:val="Body Text"/>
    <w:basedOn w:val="Normal"/>
    <w:rsid w:val="00831E74"/>
    <w:pPr>
      <w:jc w:val="both"/>
    </w:pPr>
  </w:style>
  <w:style w:type="paragraph" w:styleId="BlockText">
    <w:name w:val="Block Text"/>
    <w:basedOn w:val="Normal"/>
    <w:rsid w:val="00831E74"/>
    <w:pPr>
      <w:ind w:left="1440" w:right="720"/>
    </w:pPr>
  </w:style>
  <w:style w:type="paragraph" w:styleId="EndnoteText">
    <w:name w:val="endnote text"/>
    <w:basedOn w:val="Normal"/>
    <w:semiHidden/>
    <w:rsid w:val="00831E74"/>
    <w:rPr>
      <w:sz w:val="20"/>
    </w:rPr>
  </w:style>
  <w:style w:type="character" w:styleId="EndnoteReference">
    <w:name w:val="endnote reference"/>
    <w:semiHidden/>
    <w:rsid w:val="00831E74"/>
    <w:rPr>
      <w:vertAlign w:val="superscript"/>
    </w:rPr>
  </w:style>
  <w:style w:type="paragraph" w:styleId="BodyText2">
    <w:name w:val="Body Text 2"/>
    <w:basedOn w:val="Normal"/>
    <w:rsid w:val="00831E74"/>
    <w:pPr>
      <w:spacing w:line="480" w:lineRule="auto"/>
      <w:ind w:right="1440"/>
    </w:pPr>
  </w:style>
  <w:style w:type="paragraph" w:styleId="Header">
    <w:name w:val="header"/>
    <w:basedOn w:val="Normal"/>
    <w:rsid w:val="00831E74"/>
    <w:pPr>
      <w:tabs>
        <w:tab w:val="center" w:pos="4320"/>
        <w:tab w:val="right" w:pos="8640"/>
      </w:tabs>
    </w:pPr>
  </w:style>
  <w:style w:type="paragraph" w:styleId="BalloonText">
    <w:name w:val="Balloon Text"/>
    <w:basedOn w:val="Normal"/>
    <w:semiHidden/>
    <w:rsid w:val="00831E74"/>
    <w:rPr>
      <w:rFonts w:ascii="Lucida Grande" w:hAnsi="Lucida Grande"/>
      <w:sz w:val="18"/>
      <w:szCs w:val="18"/>
    </w:rPr>
  </w:style>
  <w:style w:type="character" w:styleId="CommentReference">
    <w:name w:val="annotation reference"/>
    <w:semiHidden/>
    <w:rsid w:val="00831E74"/>
    <w:rPr>
      <w:sz w:val="18"/>
    </w:rPr>
  </w:style>
  <w:style w:type="paragraph" w:styleId="CommentText">
    <w:name w:val="annotation text"/>
    <w:basedOn w:val="Normal"/>
    <w:link w:val="CommentTextChar"/>
    <w:uiPriority w:val="99"/>
    <w:semiHidden/>
    <w:rsid w:val="00831E74"/>
    <w:rPr>
      <w:szCs w:val="24"/>
    </w:rPr>
  </w:style>
  <w:style w:type="paragraph" w:styleId="CommentSubject">
    <w:name w:val="annotation subject"/>
    <w:basedOn w:val="CommentText"/>
    <w:next w:val="CommentText"/>
    <w:semiHidden/>
    <w:rsid w:val="00831E74"/>
    <w:rPr>
      <w:szCs w:val="20"/>
    </w:rPr>
  </w:style>
  <w:style w:type="character" w:styleId="FollowedHyperlink">
    <w:name w:val="FollowedHyperlink"/>
    <w:rsid w:val="00831E74"/>
    <w:rPr>
      <w:color w:val="800080"/>
      <w:u w:val="single"/>
    </w:rPr>
  </w:style>
  <w:style w:type="character" w:customStyle="1" w:styleId="term1">
    <w:name w:val="term1"/>
    <w:rsid w:val="00831E74"/>
    <w:rPr>
      <w:b/>
      <w:bCs/>
    </w:rPr>
  </w:style>
  <w:style w:type="table" w:styleId="TableGrid">
    <w:name w:val="Table Grid"/>
    <w:basedOn w:val="TableNormal"/>
    <w:rsid w:val="00831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rsid w:val="00831E74"/>
    <w:pPr>
      <w:suppressAutoHyphens/>
      <w:spacing w:line="480" w:lineRule="atLeast"/>
      <w:ind w:firstLine="720"/>
    </w:pPr>
    <w:rPr>
      <w:lang w:eastAsia="ar-SA"/>
    </w:rPr>
  </w:style>
  <w:style w:type="character" w:customStyle="1" w:styleId="BodyTextIndent3Char">
    <w:name w:val="Body Text Indent 3 Char"/>
    <w:basedOn w:val="DefaultParagraphFont"/>
    <w:link w:val="BodyTextIndent3"/>
    <w:rsid w:val="006F5FAD"/>
    <w:rPr>
      <w:sz w:val="24"/>
    </w:rPr>
  </w:style>
  <w:style w:type="character" w:customStyle="1" w:styleId="UnresolvedMention1">
    <w:name w:val="Unresolved Mention1"/>
    <w:basedOn w:val="DefaultParagraphFont"/>
    <w:uiPriority w:val="99"/>
    <w:semiHidden/>
    <w:unhideWhenUsed/>
    <w:rsid w:val="006F5FAD"/>
    <w:rPr>
      <w:color w:val="605E5C"/>
      <w:shd w:val="clear" w:color="auto" w:fill="E1DFDD"/>
    </w:rPr>
  </w:style>
  <w:style w:type="character" w:customStyle="1" w:styleId="FootnoteTextChar">
    <w:name w:val="Footnote Text Char"/>
    <w:aliases w:val="Car Char,Footnote Text Char Char Char,Footnote Text Char Char Char Char Char,Footnote Text Char Char Char1 Char,Footnote Text Char Char1 Char,Footnote Text Char1 Char Char Char,Footnote Text Char1 Char1 Char,Footnote Text Char2 Char"/>
    <w:link w:val="FootnoteText"/>
    <w:rsid w:val="00F03007"/>
  </w:style>
  <w:style w:type="character" w:customStyle="1" w:styleId="CommentTextChar">
    <w:name w:val="Comment Text Char"/>
    <w:basedOn w:val="DefaultParagraphFont"/>
    <w:link w:val="CommentText"/>
    <w:uiPriority w:val="99"/>
    <w:semiHidden/>
    <w:rsid w:val="005E1591"/>
    <w:rPr>
      <w:sz w:val="24"/>
      <w:szCs w:val="24"/>
    </w:rPr>
  </w:style>
  <w:style w:type="character" w:customStyle="1" w:styleId="UnresolvedMention2">
    <w:name w:val="Unresolved Mention2"/>
    <w:basedOn w:val="DefaultParagraphFont"/>
    <w:uiPriority w:val="99"/>
    <w:semiHidden/>
    <w:unhideWhenUsed/>
    <w:rsid w:val="008A18D6"/>
    <w:rPr>
      <w:color w:val="605E5C"/>
      <w:shd w:val="clear" w:color="auto" w:fill="E1DFDD"/>
    </w:rPr>
  </w:style>
  <w:style w:type="character" w:customStyle="1" w:styleId="UnresolvedMention">
    <w:name w:val="Unresolved Mention"/>
    <w:basedOn w:val="DefaultParagraphFont"/>
    <w:rsid w:val="00891217"/>
    <w:rPr>
      <w:color w:val="605E5C"/>
      <w:shd w:val="clear" w:color="auto" w:fill="E1DFDD"/>
    </w:rPr>
  </w:style>
  <w:style w:type="character" w:customStyle="1" w:styleId="FooterChar">
    <w:name w:val="Footer Char"/>
    <w:basedOn w:val="DefaultParagraphFont"/>
    <w:link w:val="Footer"/>
    <w:uiPriority w:val="99"/>
    <w:rsid w:val="006C27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Thomas.mcnamee@ohioattorneygeneral.gov" TargetMode="External" /><Relationship Id="rId11" Type="http://schemas.openxmlformats.org/officeDocument/2006/relationships/hyperlink" Target="mailto:Megan.addison@puco.ohio.gov" TargetMode="External" /><Relationship Id="rId12" Type="http://schemas.openxmlformats.org/officeDocument/2006/relationships/hyperlink" Target="mailto:gregory.price@puco.ohio.gov" TargetMode="External" /><Relationship Id="rId13" Type="http://schemas.openxmlformats.org/officeDocument/2006/relationships/hyperlink" Target="mailto:edanford@firstenergycorp.com" TargetMode="External" /><Relationship Id="rId14" Type="http://schemas.openxmlformats.org/officeDocument/2006/relationships/hyperlink" Target="mailto:cwatchorn@firstenergycorp.com" TargetMode="External" /><Relationship Id="rId15" Type="http://schemas.openxmlformats.org/officeDocument/2006/relationships/hyperlink" Target="mailto:jlang@calfee.com" TargetMode="External" /><Relationship Id="rId16" Type="http://schemas.openxmlformats.org/officeDocument/2006/relationships/hyperlink" Target="mailto:dborchers@bricker.com" TargetMode="External" /><Relationship Id="rId17" Type="http://schemas.openxmlformats.org/officeDocument/2006/relationships/hyperlink" Target="mailto:dparram@bricker.com" TargetMode="External" /><Relationship Id="rId18" Type="http://schemas.openxmlformats.org/officeDocument/2006/relationships/hyperlink" Target="mailto:bojko@carpenterlipps.com" TargetMode="External" /><Relationship Id="rId19" Type="http://schemas.openxmlformats.org/officeDocument/2006/relationships/hyperlink" Target="mailto:gkrassen@bricker.com" TargetMode="External" /><Relationship Id="rId2" Type="http://schemas.openxmlformats.org/officeDocument/2006/relationships/settings" Target="settings.xml" /><Relationship Id="rId20" Type="http://schemas.openxmlformats.org/officeDocument/2006/relationships/hyperlink" Target="mailto:dstinson@bricker.com" TargetMode="External" /><Relationship Id="rId21" Type="http://schemas.openxmlformats.org/officeDocument/2006/relationships/footer" Target="footer2.xml" /><Relationship Id="rId22" Type="http://schemas.openxmlformats.org/officeDocument/2006/relationships/theme" Target="theme/theme1.xml" /><Relationship Id="rId23" Type="http://schemas.openxmlformats.org/officeDocument/2006/relationships/numbering" Target="numbering.xml" /><Relationship Id="rId24"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mailto:christopher.healey@occ.ohio.gov" TargetMode="External" /><Relationship Id="rId7" Type="http://schemas.openxmlformats.org/officeDocument/2006/relationships/hyperlink" Target="mailto:angela.obrien@occ.ohio.gov" TargetMode="External" /><Relationship Id="rId8" Type="http://schemas.openxmlformats.org/officeDocument/2006/relationships/footer" Target="footer1.xml" /><Relationship Id="rId9" Type="http://schemas.openxmlformats.org/officeDocument/2006/relationships/hyperlink" Target="mailto:steven.beeler@ohioattorneygeneral.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dis.puc.state.oh.us/DocumentRecord.aspx?DocID=0bdf562b-f516-4ef2-b29e-9b78ec1673a6" TargetMode="External" /><Relationship Id="rId2" Type="http://schemas.openxmlformats.org/officeDocument/2006/relationships/hyperlink" Target="http://dis.puc.state.oh.us/DocumentRecord.aspx?DocID=6fe58987-8a83-4588-a5b5-aa1c64f40f9d" TargetMode="External" /><Relationship Id="rId3" Type="http://schemas.openxmlformats.org/officeDocument/2006/relationships/hyperlink" Target="http://dis.puc.state.oh.us/DocumentRecord.aspx?DocID=4a191fd9-8543-4a9f-bd33-42bf9914f60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B01B0-FA07-4114-8970-3D8ED4B68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1172</Words>
  <Characters>6683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FE 19-2080 - Motion to Reject Compliance Tariffs  (00141834.DOCX;3)</vt:lpstr>
    </vt:vector>
  </TitlesOfParts>
  <Company/>
  <LinksUpToDate>false</LinksUpToDate>
  <CharactersWithSpaces>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2020-02-06T15:47:10Z</dcterms:created>
  <dcterms:modified xsi:type="dcterms:W3CDTF">2020-02-06T15:47:10Z</dcterms:modified>
</cp:coreProperties>
</file>