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A28E6" w14:textId="6F3F1474" w:rsidR="00CE049E" w:rsidRPr="00853C7F" w:rsidRDefault="00CE049E">
      <w:pPr>
        <w:rPr>
          <w:rFonts w:ascii="Arial" w:hAnsi="Arial" w:cs="Arial"/>
          <w:sz w:val="24"/>
          <w:szCs w:val="24"/>
        </w:rPr>
      </w:pPr>
      <w:bookmarkStart w:id="0" w:name="_GoBack"/>
      <w:bookmarkEnd w:id="0"/>
    </w:p>
    <w:p w14:paraId="190FD859" w14:textId="77777777" w:rsidR="008118D0" w:rsidRPr="00853C7F" w:rsidRDefault="008118D0" w:rsidP="008118D0">
      <w:pPr>
        <w:widowControl w:val="0"/>
        <w:overflowPunct w:val="0"/>
        <w:autoSpaceDE w:val="0"/>
        <w:autoSpaceDN w:val="0"/>
        <w:adjustRightInd w:val="0"/>
        <w:spacing w:after="240" w:line="240" w:lineRule="auto"/>
        <w:jc w:val="center"/>
        <w:rPr>
          <w:rFonts w:ascii="Arial" w:eastAsia="Times New Roman" w:hAnsi="Arial" w:cs="Arial"/>
          <w:b/>
          <w:bCs/>
          <w:kern w:val="28"/>
          <w:sz w:val="24"/>
          <w:szCs w:val="24"/>
        </w:rPr>
      </w:pPr>
      <w:r w:rsidRPr="00853C7F">
        <w:rPr>
          <w:rFonts w:ascii="Arial" w:eastAsia="Times New Roman" w:hAnsi="Arial" w:cs="Arial"/>
          <w:b/>
          <w:bCs/>
          <w:kern w:val="28"/>
          <w:sz w:val="24"/>
          <w:szCs w:val="24"/>
        </w:rPr>
        <w:t>BEFORE</w:t>
      </w:r>
      <w:r w:rsidRPr="00853C7F">
        <w:rPr>
          <w:rFonts w:ascii="Arial" w:eastAsia="Times New Roman" w:hAnsi="Arial" w:cs="Arial"/>
          <w:b/>
          <w:bCs/>
          <w:kern w:val="28"/>
          <w:sz w:val="24"/>
          <w:szCs w:val="24"/>
        </w:rPr>
        <w:br/>
        <w:t>THE PUBLIC UTILITIES COMMISSION OF OHIO</w:t>
      </w:r>
    </w:p>
    <w:tbl>
      <w:tblPr>
        <w:tblW w:w="0" w:type="auto"/>
        <w:tblInd w:w="-178" w:type="dxa"/>
        <w:tblLayout w:type="fixed"/>
        <w:tblCellMar>
          <w:left w:w="180" w:type="dxa"/>
          <w:right w:w="180" w:type="dxa"/>
        </w:tblCellMar>
        <w:tblLook w:val="0000" w:firstRow="0" w:lastRow="0" w:firstColumn="0" w:lastColumn="0" w:noHBand="0" w:noVBand="0"/>
      </w:tblPr>
      <w:tblGrid>
        <w:gridCol w:w="4787"/>
        <w:gridCol w:w="630"/>
        <w:gridCol w:w="4158"/>
      </w:tblGrid>
      <w:tr w:rsidR="008118D0" w:rsidRPr="0017167A" w14:paraId="1CCE576E" w14:textId="77777777" w:rsidTr="0017167A">
        <w:trPr>
          <w:trHeight w:val="2385"/>
        </w:trPr>
        <w:tc>
          <w:tcPr>
            <w:tcW w:w="4787" w:type="dxa"/>
            <w:tcBorders>
              <w:top w:val="nil"/>
              <w:left w:val="nil"/>
              <w:bottom w:val="nil"/>
              <w:right w:val="nil"/>
            </w:tcBorders>
          </w:tcPr>
          <w:p w14:paraId="7D0E2E3C" w14:textId="77777777" w:rsidR="0017167A" w:rsidRPr="0017167A" w:rsidRDefault="0017167A" w:rsidP="0017167A">
            <w:pPr>
              <w:widowControl w:val="0"/>
              <w:spacing w:after="0" w:line="240" w:lineRule="auto"/>
              <w:jc w:val="both"/>
              <w:rPr>
                <w:rFonts w:ascii="Arial" w:hAnsi="Arial" w:cs="Arial"/>
                <w:sz w:val="24"/>
                <w:szCs w:val="24"/>
              </w:rPr>
            </w:pPr>
            <w:r w:rsidRPr="0017167A">
              <w:rPr>
                <w:rFonts w:ascii="Arial" w:hAnsi="Arial" w:cs="Arial"/>
                <w:sz w:val="24"/>
                <w:szCs w:val="24"/>
              </w:rPr>
              <w:t>In the Matter of Application of Duke Energy Ohio, Inc. for Authority to Establish a Standard Service Offer Pursuant to R.C. 4928.143, in the Form of an Electric Security Plan, Accounting Modifications, and Tariffs for Generation Service.</w:t>
            </w:r>
          </w:p>
          <w:p w14:paraId="5A4703B4" w14:textId="77777777" w:rsidR="00B2624A" w:rsidRPr="0017167A" w:rsidRDefault="00B2624A" w:rsidP="008A4E65">
            <w:pPr>
              <w:widowControl w:val="0"/>
              <w:overflowPunct w:val="0"/>
              <w:autoSpaceDE w:val="0"/>
              <w:autoSpaceDN w:val="0"/>
              <w:adjustRightInd w:val="0"/>
              <w:spacing w:after="0" w:line="240" w:lineRule="auto"/>
              <w:jc w:val="both"/>
              <w:rPr>
                <w:rFonts w:ascii="Arial" w:eastAsiaTheme="minorEastAsia" w:hAnsi="Arial" w:cs="Arial"/>
                <w:kern w:val="28"/>
                <w:sz w:val="24"/>
                <w:szCs w:val="24"/>
              </w:rPr>
            </w:pPr>
          </w:p>
          <w:p w14:paraId="6063ABD2" w14:textId="77777777" w:rsidR="0017167A" w:rsidRPr="0017167A" w:rsidRDefault="0017167A" w:rsidP="0017167A">
            <w:pPr>
              <w:widowControl w:val="0"/>
              <w:spacing w:after="0" w:line="240" w:lineRule="auto"/>
              <w:jc w:val="both"/>
              <w:rPr>
                <w:rFonts w:ascii="Arial" w:hAnsi="Arial" w:cs="Arial"/>
                <w:sz w:val="24"/>
                <w:szCs w:val="24"/>
              </w:rPr>
            </w:pPr>
            <w:r w:rsidRPr="0017167A">
              <w:rPr>
                <w:rFonts w:ascii="Arial" w:hAnsi="Arial" w:cs="Arial"/>
                <w:sz w:val="24"/>
                <w:szCs w:val="24"/>
              </w:rPr>
              <w:t>In the Matter of Application of Duke   Energy Ohio, Inc. for Authority to Amend its Certified Supplier Tariff, P.U.C.O. No. 20.</w:t>
            </w:r>
          </w:p>
          <w:p w14:paraId="7165FFBB" w14:textId="288A6579" w:rsidR="00B2624A" w:rsidRPr="0017167A" w:rsidRDefault="00B2624A" w:rsidP="008A4E65">
            <w:pPr>
              <w:widowControl w:val="0"/>
              <w:overflowPunct w:val="0"/>
              <w:autoSpaceDE w:val="0"/>
              <w:autoSpaceDN w:val="0"/>
              <w:adjustRightInd w:val="0"/>
              <w:spacing w:after="0" w:line="240" w:lineRule="auto"/>
              <w:jc w:val="both"/>
              <w:rPr>
                <w:rFonts w:ascii="Arial" w:eastAsiaTheme="minorEastAsia" w:hAnsi="Arial" w:cs="Arial"/>
                <w:kern w:val="28"/>
                <w:sz w:val="24"/>
                <w:szCs w:val="24"/>
              </w:rPr>
            </w:pPr>
          </w:p>
        </w:tc>
        <w:tc>
          <w:tcPr>
            <w:tcW w:w="630" w:type="dxa"/>
            <w:tcBorders>
              <w:top w:val="nil"/>
              <w:left w:val="nil"/>
              <w:bottom w:val="nil"/>
              <w:right w:val="nil"/>
            </w:tcBorders>
          </w:tcPr>
          <w:p w14:paraId="7110A5FC" w14:textId="77777777" w:rsidR="008118D0" w:rsidRPr="0017167A" w:rsidRDefault="008118D0" w:rsidP="00EE37C2">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17167A">
              <w:rPr>
                <w:rFonts w:ascii="Arial" w:eastAsiaTheme="minorEastAsia" w:hAnsi="Arial" w:cs="Arial"/>
                <w:kern w:val="28"/>
                <w:sz w:val="24"/>
                <w:szCs w:val="24"/>
              </w:rPr>
              <w:t>)</w:t>
            </w:r>
          </w:p>
          <w:p w14:paraId="26BCBAE5" w14:textId="77777777" w:rsidR="008118D0" w:rsidRPr="0017167A" w:rsidRDefault="008118D0" w:rsidP="00EE37C2">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17167A">
              <w:rPr>
                <w:rFonts w:ascii="Arial" w:eastAsiaTheme="minorEastAsia" w:hAnsi="Arial" w:cs="Arial"/>
                <w:kern w:val="28"/>
                <w:sz w:val="24"/>
                <w:szCs w:val="24"/>
              </w:rPr>
              <w:t>)</w:t>
            </w:r>
          </w:p>
          <w:p w14:paraId="315AB0E5" w14:textId="77777777" w:rsidR="008118D0" w:rsidRPr="0017167A" w:rsidRDefault="008118D0" w:rsidP="00EE37C2">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17167A">
              <w:rPr>
                <w:rFonts w:ascii="Arial" w:eastAsiaTheme="minorEastAsia" w:hAnsi="Arial" w:cs="Arial"/>
                <w:kern w:val="28"/>
                <w:sz w:val="24"/>
                <w:szCs w:val="24"/>
              </w:rPr>
              <w:t>)</w:t>
            </w:r>
          </w:p>
          <w:p w14:paraId="7F410286" w14:textId="77777777" w:rsidR="008118D0" w:rsidRPr="0017167A" w:rsidRDefault="008118D0" w:rsidP="00EE37C2">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17167A">
              <w:rPr>
                <w:rFonts w:ascii="Arial" w:eastAsiaTheme="minorEastAsia" w:hAnsi="Arial" w:cs="Arial"/>
                <w:kern w:val="28"/>
                <w:sz w:val="24"/>
                <w:szCs w:val="24"/>
              </w:rPr>
              <w:t>)</w:t>
            </w:r>
          </w:p>
          <w:p w14:paraId="7C0ADDDD" w14:textId="77777777" w:rsidR="008118D0" w:rsidRPr="0017167A" w:rsidRDefault="008118D0" w:rsidP="00EE37C2">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17167A">
              <w:rPr>
                <w:rFonts w:ascii="Arial" w:eastAsiaTheme="minorEastAsia" w:hAnsi="Arial" w:cs="Arial"/>
                <w:kern w:val="28"/>
                <w:sz w:val="24"/>
                <w:szCs w:val="24"/>
              </w:rPr>
              <w:t>)</w:t>
            </w:r>
          </w:p>
          <w:p w14:paraId="47EE6BFC" w14:textId="77777777" w:rsidR="00B2624A" w:rsidRPr="0017167A" w:rsidRDefault="00B2624A" w:rsidP="00EE37C2">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17167A">
              <w:rPr>
                <w:rFonts w:ascii="Arial" w:eastAsiaTheme="minorEastAsia" w:hAnsi="Arial" w:cs="Arial"/>
                <w:kern w:val="28"/>
                <w:sz w:val="24"/>
                <w:szCs w:val="24"/>
              </w:rPr>
              <w:t>)</w:t>
            </w:r>
          </w:p>
          <w:p w14:paraId="20B17066" w14:textId="77777777" w:rsidR="00B2624A" w:rsidRPr="0017167A" w:rsidRDefault="00B2624A" w:rsidP="00EE37C2">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17167A">
              <w:rPr>
                <w:rFonts w:ascii="Arial" w:eastAsiaTheme="minorEastAsia" w:hAnsi="Arial" w:cs="Arial"/>
                <w:kern w:val="28"/>
                <w:sz w:val="24"/>
                <w:szCs w:val="24"/>
              </w:rPr>
              <w:t>)</w:t>
            </w:r>
          </w:p>
          <w:p w14:paraId="5231C854" w14:textId="77777777" w:rsidR="00B2624A" w:rsidRPr="0017167A" w:rsidRDefault="00B2624A" w:rsidP="00EE37C2">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17167A">
              <w:rPr>
                <w:rFonts w:ascii="Arial" w:eastAsiaTheme="minorEastAsia" w:hAnsi="Arial" w:cs="Arial"/>
                <w:kern w:val="28"/>
                <w:sz w:val="24"/>
                <w:szCs w:val="24"/>
              </w:rPr>
              <w:t>)</w:t>
            </w:r>
          </w:p>
          <w:p w14:paraId="5ADF1F19" w14:textId="77777777" w:rsidR="00B2624A" w:rsidRPr="0017167A" w:rsidRDefault="00B2624A" w:rsidP="00EE37C2">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17167A">
              <w:rPr>
                <w:rFonts w:ascii="Arial" w:eastAsiaTheme="minorEastAsia" w:hAnsi="Arial" w:cs="Arial"/>
                <w:kern w:val="28"/>
                <w:sz w:val="24"/>
                <w:szCs w:val="24"/>
              </w:rPr>
              <w:t>)</w:t>
            </w:r>
          </w:p>
          <w:p w14:paraId="04CC9237" w14:textId="77777777" w:rsidR="00B2624A" w:rsidRDefault="00B2624A" w:rsidP="00EE37C2">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17167A">
              <w:rPr>
                <w:rFonts w:ascii="Arial" w:eastAsiaTheme="minorEastAsia" w:hAnsi="Arial" w:cs="Arial"/>
                <w:kern w:val="28"/>
                <w:sz w:val="24"/>
                <w:szCs w:val="24"/>
              </w:rPr>
              <w:t>)</w:t>
            </w:r>
          </w:p>
          <w:p w14:paraId="049CF225" w14:textId="77777777" w:rsidR="0017167A" w:rsidRDefault="0017167A" w:rsidP="00EE37C2">
            <w:pPr>
              <w:widowControl w:val="0"/>
              <w:overflowPunct w:val="0"/>
              <w:autoSpaceDE w:val="0"/>
              <w:autoSpaceDN w:val="0"/>
              <w:adjustRightInd w:val="0"/>
              <w:spacing w:after="0" w:line="240" w:lineRule="auto"/>
              <w:rPr>
                <w:rFonts w:ascii="Arial" w:eastAsiaTheme="minorEastAsia" w:hAnsi="Arial" w:cs="Arial"/>
                <w:kern w:val="28"/>
                <w:sz w:val="24"/>
                <w:szCs w:val="24"/>
              </w:rPr>
            </w:pPr>
            <w:r>
              <w:rPr>
                <w:rFonts w:ascii="Arial" w:eastAsiaTheme="minorEastAsia" w:hAnsi="Arial" w:cs="Arial"/>
                <w:kern w:val="28"/>
                <w:sz w:val="24"/>
                <w:szCs w:val="24"/>
              </w:rPr>
              <w:t>)</w:t>
            </w:r>
          </w:p>
          <w:p w14:paraId="3CB8E117" w14:textId="2F05D248" w:rsidR="0017167A" w:rsidRPr="0017167A" w:rsidRDefault="0017167A" w:rsidP="00EE37C2">
            <w:pPr>
              <w:widowControl w:val="0"/>
              <w:overflowPunct w:val="0"/>
              <w:autoSpaceDE w:val="0"/>
              <w:autoSpaceDN w:val="0"/>
              <w:adjustRightInd w:val="0"/>
              <w:spacing w:after="0" w:line="240" w:lineRule="auto"/>
              <w:rPr>
                <w:rFonts w:ascii="Arial" w:eastAsiaTheme="minorEastAsia" w:hAnsi="Arial" w:cs="Arial"/>
                <w:kern w:val="28"/>
                <w:sz w:val="24"/>
                <w:szCs w:val="24"/>
              </w:rPr>
            </w:pPr>
            <w:r>
              <w:rPr>
                <w:rFonts w:ascii="Arial" w:eastAsiaTheme="minorEastAsia" w:hAnsi="Arial" w:cs="Arial"/>
                <w:kern w:val="28"/>
                <w:sz w:val="24"/>
                <w:szCs w:val="24"/>
              </w:rPr>
              <w:t>)</w:t>
            </w:r>
          </w:p>
        </w:tc>
        <w:tc>
          <w:tcPr>
            <w:tcW w:w="4158" w:type="dxa"/>
            <w:tcBorders>
              <w:top w:val="nil"/>
              <w:left w:val="nil"/>
              <w:bottom w:val="nil"/>
              <w:right w:val="nil"/>
            </w:tcBorders>
          </w:tcPr>
          <w:p w14:paraId="1BA0157C" w14:textId="77777777" w:rsidR="008118D0" w:rsidRPr="0017167A" w:rsidRDefault="008118D0" w:rsidP="00EE37C2">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17167A">
              <w:rPr>
                <w:rFonts w:ascii="Arial" w:eastAsiaTheme="minorEastAsia" w:hAnsi="Arial" w:cs="Arial"/>
                <w:kern w:val="28"/>
                <w:sz w:val="24"/>
                <w:szCs w:val="24"/>
              </w:rPr>
              <w:t xml:space="preserve">  </w:t>
            </w:r>
          </w:p>
          <w:p w14:paraId="27E2E629" w14:textId="77777777" w:rsidR="0017167A" w:rsidRPr="0017167A" w:rsidRDefault="0017167A" w:rsidP="0017167A">
            <w:pPr>
              <w:widowControl w:val="0"/>
              <w:spacing w:after="0" w:line="240" w:lineRule="auto"/>
              <w:rPr>
                <w:rFonts w:ascii="Arial" w:hAnsi="Arial" w:cs="Arial"/>
                <w:sz w:val="24"/>
                <w:szCs w:val="24"/>
              </w:rPr>
            </w:pPr>
            <w:r w:rsidRPr="0017167A">
              <w:rPr>
                <w:rFonts w:ascii="Arial" w:hAnsi="Arial" w:cs="Arial"/>
                <w:sz w:val="24"/>
                <w:szCs w:val="24"/>
              </w:rPr>
              <w:t>Case No. 14-841-EL-SSO</w:t>
            </w:r>
          </w:p>
          <w:p w14:paraId="28AF8534" w14:textId="77777777" w:rsidR="00B2624A" w:rsidRPr="0017167A" w:rsidRDefault="00B2624A" w:rsidP="00B2624A">
            <w:pPr>
              <w:widowControl w:val="0"/>
              <w:overflowPunct w:val="0"/>
              <w:autoSpaceDE w:val="0"/>
              <w:autoSpaceDN w:val="0"/>
              <w:adjustRightInd w:val="0"/>
              <w:spacing w:after="0" w:line="240" w:lineRule="auto"/>
              <w:rPr>
                <w:rFonts w:ascii="Arial" w:eastAsiaTheme="minorEastAsia" w:hAnsi="Arial" w:cs="Arial"/>
                <w:kern w:val="28"/>
                <w:sz w:val="24"/>
                <w:szCs w:val="24"/>
              </w:rPr>
            </w:pPr>
          </w:p>
          <w:p w14:paraId="7095DAD4" w14:textId="77777777" w:rsidR="00B2624A" w:rsidRPr="0017167A" w:rsidRDefault="00B2624A" w:rsidP="00B2624A">
            <w:pPr>
              <w:widowControl w:val="0"/>
              <w:overflowPunct w:val="0"/>
              <w:autoSpaceDE w:val="0"/>
              <w:autoSpaceDN w:val="0"/>
              <w:adjustRightInd w:val="0"/>
              <w:spacing w:after="0" w:line="240" w:lineRule="auto"/>
              <w:rPr>
                <w:rFonts w:ascii="Arial" w:eastAsiaTheme="minorEastAsia" w:hAnsi="Arial" w:cs="Arial"/>
                <w:kern w:val="28"/>
                <w:sz w:val="24"/>
                <w:szCs w:val="24"/>
              </w:rPr>
            </w:pPr>
          </w:p>
          <w:p w14:paraId="3FF8E709" w14:textId="77777777" w:rsidR="00B2624A" w:rsidRPr="0017167A" w:rsidRDefault="00B2624A" w:rsidP="00B2624A">
            <w:pPr>
              <w:widowControl w:val="0"/>
              <w:overflowPunct w:val="0"/>
              <w:autoSpaceDE w:val="0"/>
              <w:autoSpaceDN w:val="0"/>
              <w:adjustRightInd w:val="0"/>
              <w:spacing w:after="0" w:line="240" w:lineRule="auto"/>
              <w:rPr>
                <w:rFonts w:ascii="Arial" w:eastAsiaTheme="minorEastAsia" w:hAnsi="Arial" w:cs="Arial"/>
                <w:kern w:val="28"/>
                <w:sz w:val="24"/>
                <w:szCs w:val="24"/>
              </w:rPr>
            </w:pPr>
          </w:p>
          <w:p w14:paraId="4AC40D06" w14:textId="77777777" w:rsidR="00B2624A" w:rsidRPr="0017167A" w:rsidRDefault="00B2624A" w:rsidP="00B2624A">
            <w:pPr>
              <w:widowControl w:val="0"/>
              <w:overflowPunct w:val="0"/>
              <w:autoSpaceDE w:val="0"/>
              <w:autoSpaceDN w:val="0"/>
              <w:adjustRightInd w:val="0"/>
              <w:spacing w:after="0" w:line="240" w:lineRule="auto"/>
              <w:rPr>
                <w:rFonts w:ascii="Arial" w:eastAsiaTheme="minorEastAsia" w:hAnsi="Arial" w:cs="Arial"/>
                <w:kern w:val="28"/>
                <w:sz w:val="24"/>
                <w:szCs w:val="24"/>
              </w:rPr>
            </w:pPr>
          </w:p>
          <w:p w14:paraId="5E348754" w14:textId="77777777" w:rsidR="00B2624A" w:rsidRPr="0017167A" w:rsidRDefault="00B2624A" w:rsidP="00B2624A">
            <w:pPr>
              <w:widowControl w:val="0"/>
              <w:overflowPunct w:val="0"/>
              <w:autoSpaceDE w:val="0"/>
              <w:autoSpaceDN w:val="0"/>
              <w:adjustRightInd w:val="0"/>
              <w:spacing w:after="0" w:line="240" w:lineRule="auto"/>
              <w:rPr>
                <w:rFonts w:ascii="Arial" w:eastAsiaTheme="minorEastAsia" w:hAnsi="Arial" w:cs="Arial"/>
                <w:kern w:val="28"/>
                <w:sz w:val="24"/>
                <w:szCs w:val="24"/>
              </w:rPr>
            </w:pPr>
          </w:p>
          <w:p w14:paraId="20388DCA" w14:textId="77777777" w:rsidR="00B2624A" w:rsidRPr="0017167A" w:rsidRDefault="00B2624A" w:rsidP="00B2624A">
            <w:pPr>
              <w:widowControl w:val="0"/>
              <w:overflowPunct w:val="0"/>
              <w:autoSpaceDE w:val="0"/>
              <w:autoSpaceDN w:val="0"/>
              <w:adjustRightInd w:val="0"/>
              <w:spacing w:after="0" w:line="240" w:lineRule="auto"/>
              <w:rPr>
                <w:rFonts w:ascii="Arial" w:eastAsiaTheme="minorEastAsia" w:hAnsi="Arial" w:cs="Arial"/>
                <w:kern w:val="28"/>
                <w:sz w:val="24"/>
                <w:szCs w:val="24"/>
              </w:rPr>
            </w:pPr>
          </w:p>
          <w:p w14:paraId="34A443EB" w14:textId="4F80CFB6" w:rsidR="00B2624A" w:rsidRPr="0017167A" w:rsidRDefault="0017167A" w:rsidP="00B2624A">
            <w:pPr>
              <w:widowControl w:val="0"/>
              <w:overflowPunct w:val="0"/>
              <w:autoSpaceDE w:val="0"/>
              <w:autoSpaceDN w:val="0"/>
              <w:adjustRightInd w:val="0"/>
              <w:spacing w:after="0" w:line="240" w:lineRule="auto"/>
              <w:rPr>
                <w:rFonts w:ascii="Arial" w:eastAsiaTheme="minorEastAsia" w:hAnsi="Arial" w:cs="Arial"/>
                <w:kern w:val="28"/>
                <w:sz w:val="24"/>
                <w:szCs w:val="24"/>
              </w:rPr>
            </w:pPr>
            <w:r w:rsidRPr="0017167A">
              <w:rPr>
                <w:rFonts w:ascii="Arial" w:hAnsi="Arial" w:cs="Arial"/>
                <w:sz w:val="24"/>
                <w:szCs w:val="24"/>
              </w:rPr>
              <w:t>Case No. 14-842-EL-ATA</w:t>
            </w:r>
          </w:p>
        </w:tc>
      </w:tr>
    </w:tbl>
    <w:p w14:paraId="32FCCE42" w14:textId="77777777" w:rsidR="008118D0" w:rsidRPr="00853C7F" w:rsidRDefault="008118D0" w:rsidP="008118D0">
      <w:pPr>
        <w:widowControl w:val="0"/>
        <w:overflowPunct w:val="0"/>
        <w:autoSpaceDE w:val="0"/>
        <w:autoSpaceDN w:val="0"/>
        <w:adjustRightInd w:val="0"/>
        <w:spacing w:after="0" w:line="240" w:lineRule="auto"/>
        <w:rPr>
          <w:rFonts w:ascii="Arial" w:eastAsia="Times New Roman" w:hAnsi="Arial" w:cs="Arial"/>
          <w:kern w:val="28"/>
          <w:sz w:val="24"/>
          <w:szCs w:val="24"/>
        </w:rPr>
      </w:pPr>
    </w:p>
    <w:p w14:paraId="278195C4" w14:textId="77777777" w:rsidR="00B2624A" w:rsidRPr="00853C7F" w:rsidRDefault="00B2624A" w:rsidP="00B2624A">
      <w:pPr>
        <w:jc w:val="center"/>
        <w:rPr>
          <w:rFonts w:ascii="Arial" w:hAnsi="Arial" w:cs="Arial"/>
          <w:b/>
          <w:bCs/>
          <w:sz w:val="24"/>
          <w:szCs w:val="24"/>
        </w:rPr>
      </w:pPr>
      <w:r w:rsidRPr="00853C7F">
        <w:rPr>
          <w:rFonts w:ascii="Arial" w:hAnsi="Arial" w:cs="Arial"/>
          <w:b/>
          <w:bCs/>
          <w:sz w:val="24"/>
          <w:szCs w:val="24"/>
        </w:rPr>
        <w:t>______________________________________</w:t>
      </w:r>
    </w:p>
    <w:p w14:paraId="315B473D" w14:textId="77777777" w:rsidR="00B2624A" w:rsidRPr="00853C7F" w:rsidRDefault="00B2624A" w:rsidP="00B2624A">
      <w:pPr>
        <w:jc w:val="center"/>
        <w:rPr>
          <w:rFonts w:ascii="Arial" w:hAnsi="Arial" w:cs="Arial"/>
          <w:b/>
          <w:bCs/>
          <w:sz w:val="24"/>
          <w:szCs w:val="24"/>
        </w:rPr>
      </w:pPr>
    </w:p>
    <w:p w14:paraId="15C8AA22" w14:textId="77777777" w:rsidR="00B2624A" w:rsidRPr="00853C7F" w:rsidRDefault="00B2624A" w:rsidP="00B2624A">
      <w:pPr>
        <w:jc w:val="center"/>
        <w:rPr>
          <w:rFonts w:ascii="Arial" w:hAnsi="Arial" w:cs="Arial"/>
          <w:b/>
          <w:bCs/>
          <w:sz w:val="24"/>
          <w:szCs w:val="24"/>
        </w:rPr>
      </w:pPr>
      <w:r w:rsidRPr="00853C7F">
        <w:rPr>
          <w:rFonts w:ascii="Arial" w:hAnsi="Arial" w:cs="Arial"/>
          <w:b/>
          <w:bCs/>
          <w:sz w:val="24"/>
          <w:szCs w:val="24"/>
        </w:rPr>
        <w:t>DIRECT TESTIMONY OF</w:t>
      </w:r>
      <w:r w:rsidR="00FA5129">
        <w:rPr>
          <w:rFonts w:ascii="Arial" w:hAnsi="Arial" w:cs="Arial"/>
          <w:b/>
          <w:bCs/>
          <w:sz w:val="24"/>
          <w:szCs w:val="24"/>
        </w:rPr>
        <w:t xml:space="preserve"> </w:t>
      </w:r>
      <w:r w:rsidR="00790C6D">
        <w:rPr>
          <w:rFonts w:ascii="Arial" w:hAnsi="Arial" w:cs="Arial"/>
          <w:b/>
          <w:bCs/>
          <w:sz w:val="24"/>
          <w:szCs w:val="24"/>
        </w:rPr>
        <w:t>MATTHEW WHITE</w:t>
      </w:r>
    </w:p>
    <w:p w14:paraId="4E338BF4" w14:textId="77777777" w:rsidR="00B2624A" w:rsidRPr="00853C7F" w:rsidRDefault="00B2624A" w:rsidP="00B2624A">
      <w:pPr>
        <w:jc w:val="center"/>
        <w:rPr>
          <w:rFonts w:ascii="Arial" w:hAnsi="Arial" w:cs="Arial"/>
          <w:b/>
          <w:bCs/>
          <w:sz w:val="24"/>
          <w:szCs w:val="24"/>
        </w:rPr>
      </w:pPr>
      <w:r w:rsidRPr="00853C7F">
        <w:rPr>
          <w:rFonts w:ascii="Arial" w:hAnsi="Arial" w:cs="Arial"/>
          <w:b/>
          <w:bCs/>
          <w:sz w:val="24"/>
          <w:szCs w:val="24"/>
        </w:rPr>
        <w:t>______________________________________</w:t>
      </w:r>
    </w:p>
    <w:p w14:paraId="2A8CF2EC" w14:textId="77777777" w:rsidR="00B2624A" w:rsidRPr="00853C7F" w:rsidRDefault="00B2624A" w:rsidP="00B2624A">
      <w:pPr>
        <w:jc w:val="center"/>
        <w:rPr>
          <w:rFonts w:ascii="Arial" w:hAnsi="Arial" w:cs="Arial"/>
          <w:b/>
          <w:bCs/>
          <w:sz w:val="24"/>
          <w:szCs w:val="24"/>
        </w:rPr>
      </w:pPr>
    </w:p>
    <w:p w14:paraId="7C50150F" w14:textId="77777777" w:rsidR="00B2624A" w:rsidRPr="00853C7F" w:rsidRDefault="00B2624A" w:rsidP="00B2624A">
      <w:pPr>
        <w:jc w:val="center"/>
        <w:rPr>
          <w:rFonts w:ascii="Arial" w:hAnsi="Arial" w:cs="Arial"/>
          <w:bCs/>
          <w:sz w:val="24"/>
          <w:szCs w:val="24"/>
        </w:rPr>
      </w:pPr>
      <w:r w:rsidRPr="00853C7F">
        <w:rPr>
          <w:rFonts w:ascii="Arial" w:hAnsi="Arial" w:cs="Arial"/>
          <w:bCs/>
          <w:sz w:val="24"/>
          <w:szCs w:val="24"/>
        </w:rPr>
        <w:t xml:space="preserve">On behalf of </w:t>
      </w:r>
      <w:r w:rsidRPr="00853C7F">
        <w:rPr>
          <w:rFonts w:ascii="Arial" w:hAnsi="Arial" w:cs="Arial"/>
          <w:sz w:val="24"/>
          <w:szCs w:val="24"/>
        </w:rPr>
        <w:t>Interstate Gas Supply, Inc.</w:t>
      </w:r>
    </w:p>
    <w:p w14:paraId="2744CBAC" w14:textId="77777777" w:rsidR="00F66DDA" w:rsidRPr="00853C7F" w:rsidRDefault="00F66DDA" w:rsidP="00967BC0">
      <w:pPr>
        <w:rPr>
          <w:rFonts w:ascii="Arial" w:hAnsi="Arial" w:cs="Arial"/>
          <w:sz w:val="24"/>
          <w:szCs w:val="24"/>
        </w:rPr>
      </w:pPr>
      <w:r w:rsidRPr="00853C7F">
        <w:rPr>
          <w:rFonts w:ascii="Arial" w:hAnsi="Arial" w:cs="Arial"/>
          <w:sz w:val="24"/>
          <w:szCs w:val="24"/>
        </w:rPr>
        <w:br w:type="page"/>
      </w:r>
    </w:p>
    <w:p w14:paraId="15465CA1" w14:textId="77777777" w:rsidR="005951AE" w:rsidRDefault="005951AE" w:rsidP="00853C7F">
      <w:pPr>
        <w:spacing w:line="480" w:lineRule="auto"/>
        <w:rPr>
          <w:rFonts w:ascii="Arial" w:hAnsi="Arial" w:cs="Arial"/>
          <w:b/>
          <w:sz w:val="24"/>
          <w:szCs w:val="24"/>
        </w:rPr>
        <w:sectPr w:rsidR="005951AE" w:rsidSect="005951AE">
          <w:footerReference w:type="default" r:id="rId13"/>
          <w:pgSz w:w="12240" w:h="15840"/>
          <w:pgMar w:top="1440" w:right="1440" w:bottom="1440" w:left="1440" w:header="720" w:footer="720" w:gutter="0"/>
          <w:cols w:space="720"/>
          <w:docGrid w:linePitch="360"/>
        </w:sectPr>
      </w:pPr>
    </w:p>
    <w:p w14:paraId="475C497B" w14:textId="77777777" w:rsidR="00853C7F" w:rsidRPr="00C22723" w:rsidRDefault="00853C7F" w:rsidP="00853C7F">
      <w:pPr>
        <w:spacing w:line="480" w:lineRule="auto"/>
        <w:rPr>
          <w:rFonts w:ascii="Arial" w:hAnsi="Arial" w:cs="Arial"/>
          <w:b/>
          <w:sz w:val="24"/>
          <w:szCs w:val="24"/>
          <w:u w:val="single"/>
        </w:rPr>
      </w:pPr>
      <w:r w:rsidRPr="00C22723">
        <w:rPr>
          <w:rFonts w:ascii="Arial" w:hAnsi="Arial" w:cs="Arial"/>
          <w:b/>
          <w:sz w:val="24"/>
          <w:szCs w:val="24"/>
        </w:rPr>
        <w:lastRenderedPageBreak/>
        <w:t>I.</w:t>
      </w:r>
      <w:r w:rsidRPr="00C22723">
        <w:rPr>
          <w:rFonts w:ascii="Arial" w:hAnsi="Arial" w:cs="Arial"/>
          <w:b/>
          <w:sz w:val="24"/>
          <w:szCs w:val="24"/>
        </w:rPr>
        <w:tab/>
      </w:r>
      <w:r w:rsidRPr="00C22723">
        <w:rPr>
          <w:rFonts w:ascii="Arial" w:hAnsi="Arial" w:cs="Arial"/>
          <w:b/>
          <w:sz w:val="24"/>
          <w:szCs w:val="24"/>
          <w:u w:val="single"/>
        </w:rPr>
        <w:t>INTRODUCTION AND PURPOSE OF TESTIMONY</w:t>
      </w:r>
    </w:p>
    <w:p w14:paraId="3A7BC7FB" w14:textId="77777777" w:rsidR="00F66DDA" w:rsidRPr="00C22723" w:rsidRDefault="00F66DDA" w:rsidP="00F66DDA">
      <w:pPr>
        <w:spacing w:line="480" w:lineRule="auto"/>
        <w:ind w:left="720" w:hanging="720"/>
        <w:rPr>
          <w:rFonts w:ascii="Arial" w:hAnsi="Arial" w:cs="Arial"/>
          <w:sz w:val="24"/>
          <w:szCs w:val="24"/>
        </w:rPr>
      </w:pPr>
      <w:r w:rsidRPr="00C22723">
        <w:rPr>
          <w:rFonts w:ascii="Arial" w:hAnsi="Arial" w:cs="Arial"/>
          <w:b/>
          <w:sz w:val="24"/>
          <w:szCs w:val="24"/>
        </w:rPr>
        <w:t>Q.</w:t>
      </w:r>
      <w:r w:rsidRPr="00C22723">
        <w:rPr>
          <w:rFonts w:ascii="Arial" w:hAnsi="Arial" w:cs="Arial"/>
          <w:sz w:val="24"/>
          <w:szCs w:val="24"/>
        </w:rPr>
        <w:tab/>
      </w:r>
      <w:r w:rsidRPr="00C22723">
        <w:rPr>
          <w:rFonts w:ascii="Arial" w:hAnsi="Arial" w:cs="Arial"/>
          <w:b/>
          <w:sz w:val="24"/>
          <w:szCs w:val="24"/>
        </w:rPr>
        <w:t>Please introduce yourself.</w:t>
      </w:r>
    </w:p>
    <w:p w14:paraId="39B3A8EC" w14:textId="77777777" w:rsidR="00C22723" w:rsidRPr="00C22723" w:rsidRDefault="00F66DDA" w:rsidP="00C22723">
      <w:pPr>
        <w:pStyle w:val="Heading1"/>
        <w:ind w:left="720" w:hanging="720"/>
        <w:rPr>
          <w:rFonts w:ascii="Arial" w:hAnsi="Arial" w:cs="Arial"/>
          <w:b w:val="0"/>
          <w:bCs w:val="0"/>
          <w:szCs w:val="24"/>
        </w:rPr>
      </w:pPr>
      <w:r w:rsidRPr="00C22723">
        <w:rPr>
          <w:rFonts w:ascii="Arial" w:hAnsi="Arial" w:cs="Arial"/>
          <w:b w:val="0"/>
          <w:bCs w:val="0"/>
          <w:szCs w:val="24"/>
        </w:rPr>
        <w:t>A.</w:t>
      </w:r>
      <w:r w:rsidR="00C22723" w:rsidRPr="00C22723">
        <w:rPr>
          <w:rFonts w:ascii="Arial" w:hAnsi="Arial" w:cs="Arial"/>
          <w:b w:val="0"/>
          <w:bCs w:val="0"/>
          <w:szCs w:val="24"/>
        </w:rPr>
        <w:tab/>
      </w:r>
      <w:r w:rsidR="00C22723" w:rsidRPr="00C22723">
        <w:rPr>
          <w:rFonts w:ascii="Arial" w:hAnsi="Arial" w:cs="Arial"/>
          <w:b w:val="0"/>
          <w:szCs w:val="24"/>
        </w:rPr>
        <w:t>My name is Matthew White.  I am employed by Interstate Gas Supply, Inc. (“IGS” or “IGS Energy”) as Manager, Legal and Regulatory Affairs.  My business address is 6100 Emerald Parkway, Dublin, Ohio 43016.</w:t>
      </w:r>
    </w:p>
    <w:p w14:paraId="3C643D2D" w14:textId="77777777" w:rsidR="00C22723" w:rsidRPr="00C22723" w:rsidRDefault="00C22723" w:rsidP="00C22723">
      <w:pPr>
        <w:spacing w:line="480" w:lineRule="auto"/>
        <w:jc w:val="both"/>
        <w:rPr>
          <w:rFonts w:ascii="Arial" w:hAnsi="Arial" w:cs="Arial"/>
          <w:b/>
          <w:sz w:val="24"/>
          <w:szCs w:val="24"/>
        </w:rPr>
      </w:pPr>
      <w:r w:rsidRPr="00C22723">
        <w:rPr>
          <w:rFonts w:ascii="Arial" w:hAnsi="Arial" w:cs="Arial"/>
          <w:b/>
          <w:sz w:val="24"/>
          <w:szCs w:val="24"/>
        </w:rPr>
        <w:t>Q.</w:t>
      </w:r>
      <w:r w:rsidRPr="00C22723">
        <w:rPr>
          <w:rFonts w:ascii="Arial" w:hAnsi="Arial" w:cs="Arial"/>
          <w:b/>
          <w:bCs/>
          <w:sz w:val="24"/>
          <w:szCs w:val="24"/>
        </w:rPr>
        <w:tab/>
        <w:t>Please describe your educational background and work history.</w:t>
      </w:r>
    </w:p>
    <w:p w14:paraId="6C8BC036" w14:textId="4056D832" w:rsidR="00C22723" w:rsidRPr="00C22723" w:rsidRDefault="00C22723" w:rsidP="00C22723">
      <w:pPr>
        <w:spacing w:line="480" w:lineRule="auto"/>
        <w:ind w:left="720" w:hanging="720"/>
        <w:jc w:val="both"/>
        <w:rPr>
          <w:rFonts w:ascii="Arial" w:hAnsi="Arial" w:cs="Arial"/>
          <w:color w:val="333333"/>
          <w:sz w:val="24"/>
          <w:szCs w:val="24"/>
          <w:shd w:val="clear" w:color="auto" w:fill="FFFFFF"/>
        </w:rPr>
      </w:pPr>
      <w:r w:rsidRPr="00C22723">
        <w:rPr>
          <w:rFonts w:ascii="Arial" w:hAnsi="Arial" w:cs="Arial"/>
          <w:bCs/>
          <w:sz w:val="24"/>
          <w:szCs w:val="24"/>
        </w:rPr>
        <w:t>A.</w:t>
      </w:r>
      <w:r w:rsidRPr="00C22723">
        <w:rPr>
          <w:rFonts w:ascii="Arial" w:hAnsi="Arial" w:cs="Arial"/>
          <w:bCs/>
          <w:sz w:val="24"/>
          <w:szCs w:val="24"/>
        </w:rPr>
        <w:tab/>
      </w:r>
      <w:r w:rsidRPr="00C22723">
        <w:rPr>
          <w:rFonts w:ascii="Arial" w:hAnsi="Arial" w:cs="Arial"/>
          <w:sz w:val="24"/>
          <w:szCs w:val="24"/>
        </w:rPr>
        <w:t>I have a Juris Doctor</w:t>
      </w:r>
      <w:r>
        <w:rPr>
          <w:rFonts w:ascii="Arial" w:hAnsi="Arial" w:cs="Arial"/>
          <w:sz w:val="24"/>
          <w:szCs w:val="24"/>
        </w:rPr>
        <w:t xml:space="preserve"> (J.D.)</w:t>
      </w:r>
      <w:r w:rsidRPr="00C22723">
        <w:rPr>
          <w:rFonts w:ascii="Arial" w:hAnsi="Arial" w:cs="Arial"/>
          <w:sz w:val="24"/>
          <w:szCs w:val="24"/>
        </w:rPr>
        <w:t xml:space="preserve"> and Masters in Business Administration </w:t>
      </w:r>
      <w:r>
        <w:rPr>
          <w:rFonts w:ascii="Arial" w:hAnsi="Arial" w:cs="Arial"/>
          <w:sz w:val="24"/>
          <w:szCs w:val="24"/>
        </w:rPr>
        <w:t xml:space="preserve">(M.B.A.) </w:t>
      </w:r>
      <w:r w:rsidRPr="00C22723">
        <w:rPr>
          <w:rFonts w:ascii="Arial" w:hAnsi="Arial" w:cs="Arial"/>
          <w:sz w:val="24"/>
          <w:szCs w:val="24"/>
        </w:rPr>
        <w:t>from the College of William &amp; Mary. I also have a Bachelor of Arts</w:t>
      </w:r>
      <w:r>
        <w:rPr>
          <w:rFonts w:ascii="Arial" w:hAnsi="Arial" w:cs="Arial"/>
          <w:sz w:val="24"/>
          <w:szCs w:val="24"/>
        </w:rPr>
        <w:t xml:space="preserve"> (B.A.)</w:t>
      </w:r>
      <w:r w:rsidRPr="00C22723">
        <w:rPr>
          <w:rFonts w:ascii="Arial" w:hAnsi="Arial" w:cs="Arial"/>
          <w:sz w:val="24"/>
          <w:szCs w:val="24"/>
        </w:rPr>
        <w:t xml:space="preserve"> from Ohio University. I started my legal career working at the law firm of Chester, Wilcox &amp; Saxbe as an energy and utilit</w:t>
      </w:r>
      <w:r>
        <w:rPr>
          <w:rFonts w:ascii="Arial" w:hAnsi="Arial" w:cs="Arial"/>
          <w:sz w:val="24"/>
          <w:szCs w:val="24"/>
        </w:rPr>
        <w:t xml:space="preserve">ies lawyer.  At Chester Wilcox, </w:t>
      </w:r>
      <w:r w:rsidRPr="00C22723">
        <w:rPr>
          <w:rFonts w:ascii="Arial" w:hAnsi="Arial" w:cs="Arial"/>
          <w:sz w:val="24"/>
          <w:szCs w:val="24"/>
        </w:rPr>
        <w:t xml:space="preserve">I participated in numerous regulatory proceedings relating to utility matters, including natural gas and electric rate cases and electric power siting cases.  I also have worked on power and gas sales transactions.  At the beginning of 2011, I was hired into IGS Energy’s rotation program where I spent the next 16 months working in various different departments throughout the company learning IGS’ entire business, including the gas supply and risk departments. In 2012 I began full-time as an attorney in IGS’ </w:t>
      </w:r>
      <w:r w:rsidR="009F1930">
        <w:rPr>
          <w:rFonts w:ascii="Arial" w:hAnsi="Arial" w:cs="Arial"/>
          <w:sz w:val="24"/>
          <w:szCs w:val="24"/>
        </w:rPr>
        <w:t>R</w:t>
      </w:r>
      <w:r w:rsidRPr="00C22723">
        <w:rPr>
          <w:rFonts w:ascii="Arial" w:hAnsi="Arial" w:cs="Arial"/>
          <w:sz w:val="24"/>
          <w:szCs w:val="24"/>
        </w:rPr>
        <w:t xml:space="preserve">egulatory </w:t>
      </w:r>
      <w:r w:rsidR="009F1930">
        <w:rPr>
          <w:rFonts w:ascii="Arial" w:hAnsi="Arial" w:cs="Arial"/>
          <w:sz w:val="24"/>
          <w:szCs w:val="24"/>
        </w:rPr>
        <w:t>A</w:t>
      </w:r>
      <w:r w:rsidRPr="00C22723">
        <w:rPr>
          <w:rFonts w:ascii="Arial" w:hAnsi="Arial" w:cs="Arial"/>
          <w:sz w:val="24"/>
          <w:szCs w:val="24"/>
        </w:rPr>
        <w:t xml:space="preserve">ffairs </w:t>
      </w:r>
      <w:r w:rsidR="009F1930">
        <w:rPr>
          <w:rFonts w:ascii="Arial" w:hAnsi="Arial" w:cs="Arial"/>
          <w:sz w:val="24"/>
          <w:szCs w:val="24"/>
        </w:rPr>
        <w:t>D</w:t>
      </w:r>
      <w:r w:rsidRPr="00C22723">
        <w:rPr>
          <w:rFonts w:ascii="Arial" w:hAnsi="Arial" w:cs="Arial"/>
          <w:sz w:val="24"/>
          <w:szCs w:val="24"/>
        </w:rPr>
        <w:t xml:space="preserve">epartment. In 2014 I was promoted to Manager, Legal and Regulatory Affairs at IGS.  </w:t>
      </w:r>
      <w:r w:rsidRPr="00C22723">
        <w:rPr>
          <w:rFonts w:ascii="Arial" w:hAnsi="Arial" w:cs="Arial"/>
          <w:color w:val="333333"/>
          <w:sz w:val="24"/>
          <w:szCs w:val="24"/>
          <w:shd w:val="clear" w:color="auto" w:fill="FFFFFF"/>
        </w:rPr>
        <w:t>In my current position I manage the legal activities for IGS Energy at utilities commissions and other regulatory bodies throughout the United States. My team is responsible for electric and natural gas litigation for IGS Energy, including electric and natural gas rate cases and other proceedings that relate to energy.</w:t>
      </w:r>
      <w:r w:rsidR="005951AE">
        <w:rPr>
          <w:rFonts w:ascii="Arial" w:hAnsi="Arial" w:cs="Arial"/>
          <w:color w:val="333333"/>
          <w:sz w:val="24"/>
          <w:szCs w:val="24"/>
          <w:shd w:val="clear" w:color="auto" w:fill="FFFFFF"/>
        </w:rPr>
        <w:t xml:space="preserve"> </w:t>
      </w:r>
    </w:p>
    <w:p w14:paraId="4859C1CA" w14:textId="77777777" w:rsidR="00C22723" w:rsidRPr="00C22723" w:rsidRDefault="00C22723" w:rsidP="00C22723">
      <w:pPr>
        <w:spacing w:line="480" w:lineRule="auto"/>
        <w:ind w:left="720" w:hanging="720"/>
        <w:rPr>
          <w:rFonts w:ascii="Arial" w:hAnsi="Arial" w:cs="Arial"/>
          <w:b/>
          <w:sz w:val="24"/>
          <w:szCs w:val="24"/>
        </w:rPr>
      </w:pPr>
      <w:r w:rsidRPr="00C22723">
        <w:rPr>
          <w:rFonts w:ascii="Arial" w:hAnsi="Arial" w:cs="Arial"/>
          <w:b/>
          <w:sz w:val="24"/>
          <w:szCs w:val="24"/>
        </w:rPr>
        <w:lastRenderedPageBreak/>
        <w:t>Q.</w:t>
      </w:r>
      <w:r w:rsidRPr="00C22723">
        <w:rPr>
          <w:rFonts w:ascii="Arial" w:hAnsi="Arial" w:cs="Arial"/>
          <w:b/>
          <w:sz w:val="24"/>
          <w:szCs w:val="24"/>
        </w:rPr>
        <w:tab/>
        <w:t>Have you submitted testimony at any regulatory bodies before?</w:t>
      </w:r>
    </w:p>
    <w:p w14:paraId="366C4B0F" w14:textId="01EABC79" w:rsidR="00C22723" w:rsidRPr="00C22723" w:rsidRDefault="00C22723" w:rsidP="005951AE">
      <w:pPr>
        <w:spacing w:line="480" w:lineRule="auto"/>
        <w:ind w:left="720" w:hanging="720"/>
        <w:jc w:val="both"/>
        <w:rPr>
          <w:rFonts w:ascii="Arial" w:hAnsi="Arial" w:cs="Arial"/>
          <w:sz w:val="24"/>
          <w:szCs w:val="24"/>
        </w:rPr>
      </w:pPr>
      <w:r w:rsidRPr="00C22723">
        <w:rPr>
          <w:rFonts w:ascii="Arial" w:hAnsi="Arial" w:cs="Arial"/>
          <w:sz w:val="24"/>
          <w:szCs w:val="24"/>
        </w:rPr>
        <w:t>A.</w:t>
      </w:r>
      <w:r w:rsidRPr="00C22723">
        <w:rPr>
          <w:rFonts w:ascii="Arial" w:hAnsi="Arial" w:cs="Arial"/>
          <w:sz w:val="24"/>
          <w:szCs w:val="24"/>
        </w:rPr>
        <w:tab/>
        <w:t>Yes.  I have submitted written testimony in the Duke Natural Gas Distribution Rate Case, (Public Utilities Commission of Ohio “PUCO” Case No. 12-1685-GA-AIR</w:t>
      </w:r>
      <w:r>
        <w:rPr>
          <w:rFonts w:ascii="Arial" w:hAnsi="Arial" w:cs="Arial"/>
          <w:sz w:val="24"/>
          <w:szCs w:val="24"/>
        </w:rPr>
        <w:t>);</w:t>
      </w:r>
      <w:r w:rsidRPr="00C22723">
        <w:rPr>
          <w:rFonts w:ascii="Arial" w:hAnsi="Arial" w:cs="Arial"/>
          <w:sz w:val="24"/>
          <w:szCs w:val="24"/>
        </w:rPr>
        <w:t xml:space="preserve"> the DTE 2013-2014 Gas Cost Recovery </w:t>
      </w:r>
      <w:r w:rsidR="009F1930">
        <w:rPr>
          <w:rFonts w:ascii="Arial" w:hAnsi="Arial" w:cs="Arial"/>
          <w:sz w:val="24"/>
          <w:szCs w:val="24"/>
        </w:rPr>
        <w:t>C</w:t>
      </w:r>
      <w:r w:rsidRPr="00C22723">
        <w:rPr>
          <w:rFonts w:ascii="Arial" w:hAnsi="Arial" w:cs="Arial"/>
          <w:sz w:val="24"/>
          <w:szCs w:val="24"/>
        </w:rPr>
        <w:t>ase (Michigan Public Service Commission Case No. U-17131)</w:t>
      </w:r>
      <w:r>
        <w:rPr>
          <w:rFonts w:ascii="Arial" w:hAnsi="Arial" w:cs="Arial"/>
          <w:sz w:val="24"/>
          <w:szCs w:val="24"/>
        </w:rPr>
        <w:t>;</w:t>
      </w:r>
      <w:r w:rsidRPr="00C22723">
        <w:rPr>
          <w:rFonts w:ascii="Arial" w:hAnsi="Arial" w:cs="Arial"/>
          <w:sz w:val="24"/>
          <w:szCs w:val="24"/>
        </w:rPr>
        <w:t xml:space="preserve"> the Columbia Gas of Kentucky 2013 Distribution Rate Case (Kentucky Public Service Commission Case No. 2013-00167</w:t>
      </w:r>
      <w:r>
        <w:rPr>
          <w:rFonts w:ascii="Arial" w:hAnsi="Arial" w:cs="Arial"/>
          <w:sz w:val="24"/>
          <w:szCs w:val="24"/>
        </w:rPr>
        <w:t>);</w:t>
      </w:r>
      <w:r w:rsidR="00761BB4">
        <w:rPr>
          <w:rFonts w:ascii="Arial" w:hAnsi="Arial" w:cs="Arial"/>
          <w:sz w:val="24"/>
          <w:szCs w:val="24"/>
        </w:rPr>
        <w:t xml:space="preserve"> the AEP Ohio </w:t>
      </w:r>
      <w:r w:rsidR="00761BB4" w:rsidRPr="00C22723">
        <w:rPr>
          <w:rFonts w:ascii="Arial" w:hAnsi="Arial" w:cs="Arial"/>
          <w:sz w:val="24"/>
          <w:szCs w:val="24"/>
        </w:rPr>
        <w:t>Electric Security Plan Proceedin</w:t>
      </w:r>
      <w:r w:rsidR="00761BB4">
        <w:rPr>
          <w:rFonts w:ascii="Arial" w:hAnsi="Arial" w:cs="Arial"/>
          <w:sz w:val="24"/>
          <w:szCs w:val="24"/>
        </w:rPr>
        <w:t xml:space="preserve">g (PUCO Case No. </w:t>
      </w:r>
      <w:r w:rsidR="00761BB4" w:rsidRPr="00EA2D33">
        <w:rPr>
          <w:rFonts w:ascii="Arial" w:eastAsiaTheme="minorEastAsia" w:hAnsi="Arial" w:cs="Arial"/>
          <w:kern w:val="28"/>
          <w:sz w:val="24"/>
          <w:szCs w:val="24"/>
        </w:rPr>
        <w:t>Case No. 13-2385-EL-ORD</w:t>
      </w:r>
      <w:r w:rsidR="00761BB4">
        <w:rPr>
          <w:rFonts w:ascii="Arial" w:hAnsi="Arial" w:cs="Arial"/>
          <w:sz w:val="24"/>
          <w:szCs w:val="24"/>
        </w:rPr>
        <w:t xml:space="preserve">; The Commonwealth Edison (“ComEd”) </w:t>
      </w:r>
      <w:r w:rsidR="009F1930">
        <w:rPr>
          <w:rFonts w:ascii="Arial" w:hAnsi="Arial" w:cs="Arial"/>
          <w:sz w:val="24"/>
          <w:szCs w:val="24"/>
        </w:rPr>
        <w:t>F</w:t>
      </w:r>
      <w:r w:rsidR="00761BB4">
        <w:rPr>
          <w:rFonts w:ascii="Arial" w:hAnsi="Arial" w:cs="Arial"/>
          <w:sz w:val="24"/>
          <w:szCs w:val="24"/>
        </w:rPr>
        <w:t xml:space="preserve">ormula </w:t>
      </w:r>
      <w:r w:rsidR="009F1930">
        <w:rPr>
          <w:rFonts w:ascii="Arial" w:hAnsi="Arial" w:cs="Arial"/>
          <w:sz w:val="24"/>
          <w:szCs w:val="24"/>
        </w:rPr>
        <w:t>R</w:t>
      </w:r>
      <w:r w:rsidR="00761BB4">
        <w:rPr>
          <w:rFonts w:ascii="Arial" w:hAnsi="Arial" w:cs="Arial"/>
          <w:sz w:val="24"/>
          <w:szCs w:val="24"/>
        </w:rPr>
        <w:t xml:space="preserve">ate </w:t>
      </w:r>
      <w:r w:rsidR="009F1930">
        <w:rPr>
          <w:rFonts w:ascii="Arial" w:hAnsi="Arial" w:cs="Arial"/>
          <w:sz w:val="24"/>
          <w:szCs w:val="24"/>
        </w:rPr>
        <w:t>C</w:t>
      </w:r>
      <w:r w:rsidR="00761BB4">
        <w:rPr>
          <w:rFonts w:ascii="Arial" w:hAnsi="Arial" w:cs="Arial"/>
          <w:sz w:val="24"/>
          <w:szCs w:val="24"/>
        </w:rPr>
        <w:t xml:space="preserve">ase </w:t>
      </w:r>
      <w:r w:rsidR="009F1930">
        <w:rPr>
          <w:rFonts w:ascii="Arial" w:hAnsi="Arial" w:cs="Arial"/>
          <w:sz w:val="24"/>
          <w:szCs w:val="24"/>
        </w:rPr>
        <w:t>P</w:t>
      </w:r>
      <w:r w:rsidR="00761BB4">
        <w:rPr>
          <w:rFonts w:ascii="Arial" w:hAnsi="Arial" w:cs="Arial"/>
          <w:sz w:val="24"/>
          <w:szCs w:val="24"/>
        </w:rPr>
        <w:t>roceeding (Illinois Commerce Commission Case No. 14-0312)</w:t>
      </w:r>
      <w:r w:rsidR="009F1930">
        <w:rPr>
          <w:rFonts w:ascii="Arial" w:hAnsi="Arial" w:cs="Arial"/>
          <w:sz w:val="24"/>
          <w:szCs w:val="24"/>
        </w:rPr>
        <w:t>; and</w:t>
      </w:r>
      <w:r>
        <w:rPr>
          <w:rFonts w:ascii="Arial" w:hAnsi="Arial" w:cs="Arial"/>
          <w:sz w:val="24"/>
          <w:szCs w:val="24"/>
        </w:rPr>
        <w:t xml:space="preserve"> the </w:t>
      </w:r>
      <w:r w:rsidRPr="00C22723">
        <w:rPr>
          <w:rFonts w:ascii="Arial" w:hAnsi="Arial" w:cs="Arial"/>
          <w:sz w:val="24"/>
          <w:szCs w:val="24"/>
        </w:rPr>
        <w:t>Dayton Power &amp; Light Company Electric Security Plan Proceedin</w:t>
      </w:r>
      <w:r w:rsidR="00761BB4">
        <w:rPr>
          <w:rFonts w:ascii="Arial" w:hAnsi="Arial" w:cs="Arial"/>
          <w:sz w:val="24"/>
          <w:szCs w:val="24"/>
        </w:rPr>
        <w:t>g (PUCO Case No. 12-426-EL-SSO)</w:t>
      </w:r>
      <w:r w:rsidR="005B3669">
        <w:rPr>
          <w:rFonts w:ascii="Arial" w:hAnsi="Arial" w:cs="Arial"/>
          <w:sz w:val="24"/>
          <w:szCs w:val="24"/>
        </w:rPr>
        <w:t>.</w:t>
      </w:r>
    </w:p>
    <w:p w14:paraId="73884EC5" w14:textId="42340D31" w:rsidR="00F66DDA" w:rsidRPr="00853C7F" w:rsidRDefault="009F1930" w:rsidP="00F66DDA">
      <w:pPr>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t>What is the nature of IGS’</w:t>
      </w:r>
      <w:r w:rsidR="00F66DDA" w:rsidRPr="00853C7F">
        <w:rPr>
          <w:rFonts w:ascii="Arial" w:hAnsi="Arial" w:cs="Arial"/>
          <w:b/>
          <w:sz w:val="24"/>
          <w:szCs w:val="24"/>
        </w:rPr>
        <w:t xml:space="preserve"> business?</w:t>
      </w:r>
    </w:p>
    <w:p w14:paraId="4F42D0FA" w14:textId="62574C35" w:rsidR="00F66DDA" w:rsidRPr="005A2331" w:rsidRDefault="00F66DDA" w:rsidP="00F66DDA">
      <w:pPr>
        <w:spacing w:line="480" w:lineRule="auto"/>
        <w:ind w:left="720" w:hanging="720"/>
        <w:jc w:val="both"/>
        <w:rPr>
          <w:rFonts w:ascii="Wingdings 3" w:eastAsia="MS Gothic" w:hAnsi="Wingdings 3" w:cs="Arial"/>
          <w:bCs/>
          <w:sz w:val="24"/>
          <w:szCs w:val="24"/>
        </w:rPr>
      </w:pPr>
      <w:r w:rsidRPr="00853C7F">
        <w:rPr>
          <w:rFonts w:ascii="Arial" w:hAnsi="Arial" w:cs="Arial"/>
          <w:bCs/>
          <w:sz w:val="24"/>
          <w:szCs w:val="24"/>
        </w:rPr>
        <w:t>A.</w:t>
      </w:r>
      <w:r w:rsidRPr="00853C7F">
        <w:rPr>
          <w:rFonts w:ascii="Arial" w:hAnsi="Arial" w:cs="Arial"/>
          <w:bCs/>
          <w:sz w:val="24"/>
          <w:szCs w:val="24"/>
        </w:rPr>
        <w:tab/>
        <w:t>IGS</w:t>
      </w:r>
      <w:r w:rsidR="002422A9" w:rsidRPr="00853C7F">
        <w:rPr>
          <w:rFonts w:ascii="Arial" w:hAnsi="Arial" w:cs="Arial"/>
          <w:bCs/>
          <w:sz w:val="24"/>
          <w:szCs w:val="24"/>
        </w:rPr>
        <w:t xml:space="preserve"> Energy</w:t>
      </w:r>
      <w:r w:rsidR="009F1930">
        <w:rPr>
          <w:rFonts w:ascii="Arial" w:hAnsi="Arial" w:cs="Arial"/>
          <w:bCs/>
          <w:sz w:val="24"/>
          <w:szCs w:val="24"/>
        </w:rPr>
        <w:t xml:space="preserve"> has over 25 years’</w:t>
      </w:r>
      <w:r w:rsidR="009F1930" w:rsidRPr="00853C7F">
        <w:rPr>
          <w:rFonts w:ascii="Arial" w:hAnsi="Arial" w:cs="Arial"/>
          <w:bCs/>
          <w:sz w:val="24"/>
          <w:szCs w:val="24"/>
        </w:rPr>
        <w:t xml:space="preserve"> experience</w:t>
      </w:r>
      <w:r w:rsidRPr="00853C7F">
        <w:rPr>
          <w:rFonts w:ascii="Arial" w:hAnsi="Arial" w:cs="Arial"/>
          <w:bCs/>
          <w:sz w:val="24"/>
          <w:szCs w:val="24"/>
        </w:rPr>
        <w:t xml:space="preserve"> serving customers in Ohio</w:t>
      </w:r>
      <w:r w:rsidR="002A5B56" w:rsidRPr="00853C7F">
        <w:rPr>
          <w:rFonts w:ascii="Arial" w:hAnsi="Arial" w:cs="Arial"/>
          <w:bCs/>
          <w:sz w:val="24"/>
          <w:szCs w:val="24"/>
        </w:rPr>
        <w:t>’s</w:t>
      </w:r>
      <w:r w:rsidRPr="00853C7F">
        <w:rPr>
          <w:rFonts w:ascii="Arial" w:hAnsi="Arial" w:cs="Arial"/>
          <w:bCs/>
          <w:sz w:val="24"/>
          <w:szCs w:val="24"/>
        </w:rPr>
        <w:t xml:space="preserve"> competitive markets.  IGS </w:t>
      </w:r>
      <w:r w:rsidR="002422A9" w:rsidRPr="00853C7F">
        <w:rPr>
          <w:rFonts w:ascii="Arial" w:hAnsi="Arial" w:cs="Arial"/>
          <w:bCs/>
          <w:sz w:val="24"/>
          <w:szCs w:val="24"/>
        </w:rPr>
        <w:t xml:space="preserve">Energy </w:t>
      </w:r>
      <w:r w:rsidRPr="00853C7F">
        <w:rPr>
          <w:rFonts w:ascii="Arial" w:hAnsi="Arial" w:cs="Arial"/>
          <w:bCs/>
          <w:sz w:val="24"/>
          <w:szCs w:val="24"/>
        </w:rPr>
        <w:t>serves over 1 million customers nationwide and sells natural gas and electricity to customers in 11 states and in over 40 utility service territories.  In Ohio, IGS currently serv</w:t>
      </w:r>
      <w:r w:rsidR="002A5B56" w:rsidRPr="00853C7F">
        <w:rPr>
          <w:rFonts w:ascii="Arial" w:hAnsi="Arial" w:cs="Arial"/>
          <w:bCs/>
          <w:sz w:val="24"/>
          <w:szCs w:val="24"/>
        </w:rPr>
        <w:t xml:space="preserve">es </w:t>
      </w:r>
      <w:r w:rsidRPr="00853C7F">
        <w:rPr>
          <w:rFonts w:ascii="Arial" w:hAnsi="Arial" w:cs="Arial"/>
          <w:bCs/>
          <w:sz w:val="24"/>
          <w:szCs w:val="24"/>
        </w:rPr>
        <w:t>electric customers in the</w:t>
      </w:r>
      <w:r w:rsidR="00C15B9D">
        <w:rPr>
          <w:rFonts w:ascii="Arial" w:hAnsi="Arial" w:cs="Arial"/>
          <w:bCs/>
          <w:sz w:val="24"/>
          <w:szCs w:val="24"/>
        </w:rPr>
        <w:t xml:space="preserve"> AEP</w:t>
      </w:r>
      <w:r w:rsidRPr="00853C7F">
        <w:rPr>
          <w:rFonts w:ascii="Arial" w:hAnsi="Arial" w:cs="Arial"/>
          <w:bCs/>
          <w:sz w:val="24"/>
          <w:szCs w:val="24"/>
        </w:rPr>
        <w:t xml:space="preserve"> </w:t>
      </w:r>
      <w:r w:rsidR="00C15B9D">
        <w:rPr>
          <w:rFonts w:ascii="Arial" w:hAnsi="Arial" w:cs="Arial"/>
          <w:bCs/>
          <w:sz w:val="24"/>
          <w:szCs w:val="24"/>
        </w:rPr>
        <w:t>Ohio,</w:t>
      </w:r>
      <w:r w:rsidR="000770D7">
        <w:rPr>
          <w:rFonts w:ascii="Arial" w:hAnsi="Arial" w:cs="Arial"/>
          <w:bCs/>
          <w:sz w:val="24"/>
          <w:szCs w:val="24"/>
        </w:rPr>
        <w:t xml:space="preserve"> </w:t>
      </w:r>
      <w:r w:rsidRPr="00853C7F">
        <w:rPr>
          <w:rFonts w:ascii="Arial" w:hAnsi="Arial" w:cs="Arial"/>
          <w:bCs/>
          <w:sz w:val="24"/>
          <w:szCs w:val="24"/>
        </w:rPr>
        <w:t xml:space="preserve">Duke Energy Ohio, FirstEnergy and the Dayton Power &amp; Light service territories. </w:t>
      </w:r>
      <w:r w:rsidR="002422A9" w:rsidRPr="00853C7F">
        <w:rPr>
          <w:rFonts w:ascii="Arial" w:hAnsi="Arial" w:cs="Arial"/>
          <w:bCs/>
          <w:sz w:val="24"/>
          <w:szCs w:val="24"/>
        </w:rPr>
        <w:t>The IGS family of companies</w:t>
      </w:r>
      <w:r w:rsidR="002A5B56" w:rsidRPr="00853C7F">
        <w:rPr>
          <w:rFonts w:ascii="Arial" w:hAnsi="Arial" w:cs="Arial"/>
          <w:bCs/>
          <w:sz w:val="24"/>
          <w:szCs w:val="24"/>
        </w:rPr>
        <w:t xml:space="preserve"> (which include IGS Generation, IGS Home Services and IGS CNG Services)</w:t>
      </w:r>
      <w:r w:rsidR="002422A9" w:rsidRPr="00853C7F">
        <w:rPr>
          <w:rFonts w:ascii="Arial" w:hAnsi="Arial" w:cs="Arial"/>
          <w:bCs/>
          <w:sz w:val="24"/>
          <w:szCs w:val="24"/>
        </w:rPr>
        <w:t xml:space="preserve"> also provides </w:t>
      </w:r>
      <w:r w:rsidR="00472F50">
        <w:rPr>
          <w:rFonts w:ascii="Arial" w:hAnsi="Arial" w:cs="Arial"/>
          <w:bCs/>
          <w:sz w:val="24"/>
          <w:szCs w:val="24"/>
        </w:rPr>
        <w:t>customer</w:t>
      </w:r>
      <w:r w:rsidR="002422A9" w:rsidRPr="00853C7F">
        <w:rPr>
          <w:rFonts w:ascii="Arial" w:hAnsi="Arial" w:cs="Arial"/>
          <w:bCs/>
          <w:sz w:val="24"/>
          <w:szCs w:val="24"/>
        </w:rPr>
        <w:t xml:space="preserve"> focused energy solutions </w:t>
      </w:r>
      <w:r w:rsidR="002A5B56" w:rsidRPr="00853C7F">
        <w:rPr>
          <w:rFonts w:ascii="Arial" w:hAnsi="Arial" w:cs="Arial"/>
          <w:bCs/>
          <w:sz w:val="24"/>
          <w:szCs w:val="24"/>
        </w:rPr>
        <w:t>that compl</w:t>
      </w:r>
      <w:r w:rsidR="009F1930">
        <w:rPr>
          <w:rFonts w:ascii="Arial" w:hAnsi="Arial" w:cs="Arial"/>
          <w:bCs/>
          <w:sz w:val="24"/>
          <w:szCs w:val="24"/>
        </w:rPr>
        <w:t>i</w:t>
      </w:r>
      <w:r w:rsidR="002A5B56" w:rsidRPr="00853C7F">
        <w:rPr>
          <w:rFonts w:ascii="Arial" w:hAnsi="Arial" w:cs="Arial"/>
          <w:bCs/>
          <w:sz w:val="24"/>
          <w:szCs w:val="24"/>
        </w:rPr>
        <w:t xml:space="preserve">ment IGS Energy’s core commodity business </w:t>
      </w:r>
      <w:r w:rsidR="002422A9" w:rsidRPr="00853C7F">
        <w:rPr>
          <w:rFonts w:ascii="Arial" w:hAnsi="Arial" w:cs="Arial"/>
          <w:bCs/>
          <w:sz w:val="24"/>
          <w:szCs w:val="24"/>
        </w:rPr>
        <w:t xml:space="preserve">including distributed generation, demand response, </w:t>
      </w:r>
      <w:r w:rsidR="002421DD">
        <w:rPr>
          <w:rFonts w:ascii="Arial" w:hAnsi="Arial" w:cs="Arial"/>
          <w:bCs/>
          <w:sz w:val="24"/>
          <w:szCs w:val="24"/>
        </w:rPr>
        <w:t xml:space="preserve">CNG refueling, </w:t>
      </w:r>
      <w:r w:rsidR="002422A9" w:rsidRPr="00853C7F">
        <w:rPr>
          <w:rFonts w:ascii="Arial" w:hAnsi="Arial" w:cs="Arial"/>
          <w:bCs/>
          <w:sz w:val="24"/>
          <w:szCs w:val="24"/>
        </w:rPr>
        <w:t>back-up generation and utility line protection.</w:t>
      </w:r>
      <w:r w:rsidR="00853C7F">
        <w:rPr>
          <w:rFonts w:ascii="Arial" w:hAnsi="Arial" w:cs="Arial"/>
          <w:bCs/>
          <w:sz w:val="24"/>
          <w:szCs w:val="24"/>
        </w:rPr>
        <w:t xml:space="preserve">  </w:t>
      </w:r>
    </w:p>
    <w:p w14:paraId="5157F8EF" w14:textId="77777777" w:rsidR="00967BC0" w:rsidRPr="00853C7F" w:rsidRDefault="00967BC0" w:rsidP="00967BC0">
      <w:pPr>
        <w:spacing w:line="480" w:lineRule="auto"/>
        <w:jc w:val="both"/>
        <w:rPr>
          <w:rFonts w:ascii="Arial" w:hAnsi="Arial" w:cs="Arial"/>
          <w:b/>
          <w:sz w:val="24"/>
          <w:szCs w:val="24"/>
        </w:rPr>
      </w:pPr>
      <w:r w:rsidRPr="00853C7F">
        <w:rPr>
          <w:rFonts w:ascii="Arial" w:hAnsi="Arial" w:cs="Arial"/>
          <w:b/>
          <w:sz w:val="24"/>
          <w:szCs w:val="24"/>
        </w:rPr>
        <w:lastRenderedPageBreak/>
        <w:t>Q.</w:t>
      </w:r>
      <w:r w:rsidRPr="00853C7F">
        <w:rPr>
          <w:rFonts w:ascii="Arial" w:hAnsi="Arial" w:cs="Arial"/>
          <w:sz w:val="24"/>
          <w:szCs w:val="24"/>
        </w:rPr>
        <w:tab/>
      </w:r>
      <w:r w:rsidRPr="00853C7F">
        <w:rPr>
          <w:rFonts w:ascii="Arial" w:hAnsi="Arial" w:cs="Arial"/>
          <w:b/>
          <w:sz w:val="24"/>
          <w:szCs w:val="24"/>
        </w:rPr>
        <w:t>What is the purpose of your testimony?</w:t>
      </w:r>
    </w:p>
    <w:p w14:paraId="5A1AF489" w14:textId="20046474" w:rsidR="00373359" w:rsidRDefault="00967BC0" w:rsidP="00373359">
      <w:pPr>
        <w:spacing w:line="480" w:lineRule="auto"/>
        <w:ind w:left="720" w:hanging="720"/>
        <w:jc w:val="both"/>
        <w:rPr>
          <w:rFonts w:ascii="Arial" w:hAnsi="Arial" w:cs="Arial"/>
          <w:sz w:val="24"/>
          <w:szCs w:val="24"/>
        </w:rPr>
      </w:pPr>
      <w:r w:rsidRPr="004B27DD">
        <w:rPr>
          <w:rFonts w:ascii="Arial" w:hAnsi="Arial" w:cs="Arial"/>
          <w:sz w:val="24"/>
          <w:szCs w:val="24"/>
        </w:rPr>
        <w:t>A.</w:t>
      </w:r>
      <w:r w:rsidRPr="00853C7F">
        <w:rPr>
          <w:rFonts w:ascii="Arial" w:hAnsi="Arial" w:cs="Arial"/>
          <w:sz w:val="24"/>
          <w:szCs w:val="24"/>
        </w:rPr>
        <w:t xml:space="preserve"> </w:t>
      </w:r>
      <w:r w:rsidRPr="00853C7F">
        <w:rPr>
          <w:rFonts w:ascii="Arial" w:hAnsi="Arial" w:cs="Arial"/>
          <w:sz w:val="24"/>
          <w:szCs w:val="24"/>
        </w:rPr>
        <w:tab/>
      </w:r>
      <w:r w:rsidR="00D90237">
        <w:rPr>
          <w:rFonts w:ascii="Arial" w:hAnsi="Arial" w:cs="Arial"/>
          <w:sz w:val="24"/>
          <w:szCs w:val="24"/>
        </w:rPr>
        <w:t xml:space="preserve">Duke makes a number of proposals in its electric security plan application (“ESP Application”) that do not comply with Ohio law, and </w:t>
      </w:r>
      <w:r w:rsidR="007A69B4">
        <w:rPr>
          <w:rFonts w:ascii="Arial" w:hAnsi="Arial" w:cs="Arial"/>
          <w:sz w:val="24"/>
          <w:szCs w:val="24"/>
        </w:rPr>
        <w:t xml:space="preserve">that are </w:t>
      </w:r>
      <w:r w:rsidR="00D90237">
        <w:rPr>
          <w:rFonts w:ascii="Arial" w:hAnsi="Arial" w:cs="Arial"/>
          <w:sz w:val="24"/>
          <w:szCs w:val="24"/>
        </w:rPr>
        <w:t>otherwise discriminatory against competitive retail electric service (“CRES”) suppliers</w:t>
      </w:r>
      <w:r w:rsidR="00055DFC">
        <w:rPr>
          <w:rFonts w:ascii="Arial" w:hAnsi="Arial" w:cs="Arial"/>
          <w:sz w:val="24"/>
          <w:szCs w:val="24"/>
        </w:rPr>
        <w:t xml:space="preserve"> and shopping customers</w:t>
      </w:r>
      <w:r w:rsidR="00D90237">
        <w:rPr>
          <w:rFonts w:ascii="Arial" w:hAnsi="Arial" w:cs="Arial"/>
          <w:sz w:val="24"/>
          <w:szCs w:val="24"/>
        </w:rPr>
        <w:t>.  Consequently, the Commission should not approve the ESP Application unless certain modifications are made to the application.</w:t>
      </w:r>
      <w:r w:rsidR="00373359">
        <w:rPr>
          <w:rFonts w:ascii="Arial" w:hAnsi="Arial" w:cs="Arial"/>
          <w:sz w:val="24"/>
          <w:szCs w:val="24"/>
        </w:rPr>
        <w:t xml:space="preserve"> Specifically:</w:t>
      </w:r>
    </w:p>
    <w:p w14:paraId="0A3D8FC4" w14:textId="19D32DF5" w:rsidR="00F22776" w:rsidRPr="00590647" w:rsidRDefault="00373359" w:rsidP="00590647">
      <w:pPr>
        <w:pStyle w:val="ListParagraph"/>
        <w:numPr>
          <w:ilvl w:val="0"/>
          <w:numId w:val="8"/>
        </w:numPr>
        <w:spacing w:line="480" w:lineRule="auto"/>
        <w:jc w:val="both"/>
        <w:rPr>
          <w:rFonts w:ascii="Arial" w:hAnsi="Arial" w:cs="Arial"/>
          <w:sz w:val="24"/>
          <w:szCs w:val="24"/>
        </w:rPr>
      </w:pPr>
      <w:r>
        <w:rPr>
          <w:rFonts w:ascii="Arial" w:hAnsi="Arial" w:cs="Arial"/>
          <w:sz w:val="24"/>
          <w:szCs w:val="24"/>
        </w:rPr>
        <w:t>In the ESP A</w:t>
      </w:r>
      <w:r w:rsidRPr="00373359">
        <w:rPr>
          <w:rFonts w:ascii="Arial" w:hAnsi="Arial" w:cs="Arial"/>
          <w:sz w:val="24"/>
          <w:szCs w:val="24"/>
        </w:rPr>
        <w:t>pplication Duke</w:t>
      </w:r>
      <w:r>
        <w:rPr>
          <w:rFonts w:ascii="Arial" w:hAnsi="Arial" w:cs="Arial"/>
          <w:sz w:val="24"/>
          <w:szCs w:val="24"/>
        </w:rPr>
        <w:t xml:space="preserve"> unreasonably</w:t>
      </w:r>
      <w:r w:rsidRPr="00373359">
        <w:rPr>
          <w:rFonts w:ascii="Arial" w:hAnsi="Arial" w:cs="Arial"/>
          <w:sz w:val="24"/>
          <w:szCs w:val="24"/>
        </w:rPr>
        <w:t xml:space="preserve"> proposes to amend its tariff to </w:t>
      </w:r>
      <w:r>
        <w:rPr>
          <w:rFonts w:ascii="Arial" w:hAnsi="Arial" w:cs="Arial"/>
          <w:sz w:val="24"/>
          <w:szCs w:val="24"/>
        </w:rPr>
        <w:t>prohibit CRES suppliers from including non-</w:t>
      </w:r>
      <w:r w:rsidR="0042071B">
        <w:rPr>
          <w:rFonts w:ascii="Arial" w:hAnsi="Arial" w:cs="Arial"/>
          <w:sz w:val="24"/>
          <w:szCs w:val="24"/>
        </w:rPr>
        <w:t>electric</w:t>
      </w:r>
      <w:r>
        <w:rPr>
          <w:rFonts w:ascii="Arial" w:hAnsi="Arial" w:cs="Arial"/>
          <w:sz w:val="24"/>
          <w:szCs w:val="24"/>
        </w:rPr>
        <w:t xml:space="preserve"> charges on </w:t>
      </w:r>
      <w:r w:rsidR="0021723C">
        <w:rPr>
          <w:rFonts w:ascii="Arial" w:hAnsi="Arial" w:cs="Arial"/>
          <w:sz w:val="24"/>
          <w:szCs w:val="24"/>
        </w:rPr>
        <w:t xml:space="preserve">the utility </w:t>
      </w:r>
      <w:r>
        <w:rPr>
          <w:rFonts w:ascii="Arial" w:hAnsi="Arial" w:cs="Arial"/>
          <w:sz w:val="24"/>
          <w:szCs w:val="24"/>
        </w:rPr>
        <w:t xml:space="preserve">bill.  </w:t>
      </w:r>
      <w:r w:rsidR="0042071B">
        <w:rPr>
          <w:rFonts w:ascii="Arial" w:hAnsi="Arial" w:cs="Arial"/>
          <w:sz w:val="24"/>
          <w:szCs w:val="24"/>
        </w:rPr>
        <w:t xml:space="preserve">However, </w:t>
      </w:r>
      <w:r>
        <w:rPr>
          <w:rFonts w:ascii="Arial" w:hAnsi="Arial" w:cs="Arial"/>
          <w:sz w:val="24"/>
          <w:szCs w:val="24"/>
        </w:rPr>
        <w:t xml:space="preserve">Duke currently </w:t>
      </w:r>
      <w:r w:rsidR="0021723C">
        <w:rPr>
          <w:rFonts w:ascii="Arial" w:hAnsi="Arial" w:cs="Arial"/>
          <w:sz w:val="24"/>
          <w:szCs w:val="24"/>
        </w:rPr>
        <w:t>places</w:t>
      </w:r>
      <w:r>
        <w:rPr>
          <w:rFonts w:ascii="Arial" w:hAnsi="Arial" w:cs="Arial"/>
          <w:sz w:val="24"/>
          <w:szCs w:val="24"/>
        </w:rPr>
        <w:t xml:space="preserve"> non-</w:t>
      </w:r>
      <w:r w:rsidR="0021723C">
        <w:rPr>
          <w:rFonts w:ascii="Arial" w:hAnsi="Arial" w:cs="Arial"/>
          <w:sz w:val="24"/>
          <w:szCs w:val="24"/>
        </w:rPr>
        <w:t xml:space="preserve">electric charges </w:t>
      </w:r>
      <w:r w:rsidR="007C2A07">
        <w:rPr>
          <w:rFonts w:ascii="Arial" w:hAnsi="Arial" w:cs="Arial"/>
          <w:sz w:val="24"/>
          <w:szCs w:val="24"/>
        </w:rPr>
        <w:t xml:space="preserve">for itself and </w:t>
      </w:r>
      <w:r w:rsidR="0021723C">
        <w:rPr>
          <w:rFonts w:ascii="Arial" w:hAnsi="Arial" w:cs="Arial"/>
          <w:sz w:val="24"/>
          <w:szCs w:val="24"/>
        </w:rPr>
        <w:t>its unregulated affiliate on the utility bill</w:t>
      </w:r>
      <w:r w:rsidR="0042071B">
        <w:rPr>
          <w:rFonts w:ascii="Arial" w:hAnsi="Arial" w:cs="Arial"/>
          <w:sz w:val="24"/>
          <w:szCs w:val="24"/>
        </w:rPr>
        <w:t>.  Duke’s proposal to prohibit CRES suppliers</w:t>
      </w:r>
      <w:r w:rsidR="007A69B4">
        <w:rPr>
          <w:rFonts w:ascii="Arial" w:hAnsi="Arial" w:cs="Arial"/>
          <w:sz w:val="24"/>
          <w:szCs w:val="24"/>
        </w:rPr>
        <w:t xml:space="preserve"> from billing for</w:t>
      </w:r>
      <w:r w:rsidR="0042071B">
        <w:rPr>
          <w:rFonts w:ascii="Arial" w:hAnsi="Arial" w:cs="Arial"/>
          <w:sz w:val="24"/>
          <w:szCs w:val="24"/>
        </w:rPr>
        <w:t xml:space="preserve"> non-electric products, while at the same time bill</w:t>
      </w:r>
      <w:r w:rsidR="007A69B4">
        <w:rPr>
          <w:rFonts w:ascii="Arial" w:hAnsi="Arial" w:cs="Arial"/>
          <w:sz w:val="24"/>
          <w:szCs w:val="24"/>
        </w:rPr>
        <w:t>ing</w:t>
      </w:r>
      <w:r w:rsidR="0042071B">
        <w:rPr>
          <w:rFonts w:ascii="Arial" w:hAnsi="Arial" w:cs="Arial"/>
          <w:sz w:val="24"/>
          <w:szCs w:val="24"/>
        </w:rPr>
        <w:t xml:space="preserve"> for its </w:t>
      </w:r>
      <w:r w:rsidR="0021723C">
        <w:rPr>
          <w:rFonts w:ascii="Arial" w:hAnsi="Arial" w:cs="Arial"/>
          <w:sz w:val="24"/>
          <w:szCs w:val="24"/>
        </w:rPr>
        <w:t>affiliate</w:t>
      </w:r>
      <w:r w:rsidR="00905F29">
        <w:rPr>
          <w:rFonts w:ascii="Arial" w:hAnsi="Arial" w:cs="Arial"/>
          <w:sz w:val="24"/>
          <w:szCs w:val="24"/>
        </w:rPr>
        <w:t>’</w:t>
      </w:r>
      <w:r w:rsidR="0021723C">
        <w:rPr>
          <w:rFonts w:ascii="Arial" w:hAnsi="Arial" w:cs="Arial"/>
          <w:sz w:val="24"/>
          <w:szCs w:val="24"/>
        </w:rPr>
        <w:t>s</w:t>
      </w:r>
      <w:r w:rsidR="0042071B">
        <w:rPr>
          <w:rFonts w:ascii="Arial" w:hAnsi="Arial" w:cs="Arial"/>
          <w:sz w:val="24"/>
          <w:szCs w:val="24"/>
        </w:rPr>
        <w:t xml:space="preserve"> non-electric products is discriminatory and </w:t>
      </w:r>
      <w:r w:rsidR="007A69B4">
        <w:rPr>
          <w:rFonts w:ascii="Arial" w:hAnsi="Arial" w:cs="Arial"/>
          <w:sz w:val="24"/>
          <w:szCs w:val="24"/>
        </w:rPr>
        <w:t>contrary to Ohio law</w:t>
      </w:r>
      <w:r w:rsidR="0042071B">
        <w:rPr>
          <w:rFonts w:ascii="Arial" w:hAnsi="Arial" w:cs="Arial"/>
          <w:sz w:val="24"/>
          <w:szCs w:val="24"/>
        </w:rPr>
        <w:t>.  Further,</w:t>
      </w:r>
      <w:r w:rsidR="00055DFC">
        <w:rPr>
          <w:rFonts w:ascii="Arial" w:hAnsi="Arial" w:cs="Arial"/>
          <w:sz w:val="24"/>
          <w:szCs w:val="24"/>
        </w:rPr>
        <w:t xml:space="preserve"> Duke’s proposal would allow it to provide an undue preference and competitive advantage to its affiliate in violation of R.C. 49</w:t>
      </w:r>
      <w:r w:rsidR="00A944A8">
        <w:rPr>
          <w:rFonts w:ascii="Arial" w:hAnsi="Arial" w:cs="Arial"/>
          <w:sz w:val="24"/>
          <w:szCs w:val="24"/>
        </w:rPr>
        <w:t xml:space="preserve">28.17(A)(2) and (3).  </w:t>
      </w:r>
      <w:r w:rsidR="0042071B">
        <w:rPr>
          <w:rFonts w:ascii="Arial" w:hAnsi="Arial" w:cs="Arial"/>
          <w:sz w:val="24"/>
          <w:szCs w:val="24"/>
        </w:rPr>
        <w:t xml:space="preserve"> </w:t>
      </w:r>
      <w:r w:rsidR="00CD6611">
        <w:rPr>
          <w:rFonts w:ascii="Arial" w:hAnsi="Arial" w:cs="Arial"/>
          <w:sz w:val="24"/>
          <w:szCs w:val="24"/>
        </w:rPr>
        <w:t>A</w:t>
      </w:r>
      <w:r w:rsidR="007A69B4">
        <w:rPr>
          <w:rFonts w:ascii="Arial" w:hAnsi="Arial" w:cs="Arial"/>
          <w:sz w:val="24"/>
          <w:szCs w:val="24"/>
        </w:rPr>
        <w:t xml:space="preserve">s Ohio’s competitive markets progress, it is even more important for CRES suppliers </w:t>
      </w:r>
      <w:r w:rsidR="00C914CA">
        <w:rPr>
          <w:rFonts w:ascii="Arial" w:hAnsi="Arial" w:cs="Arial"/>
          <w:sz w:val="24"/>
          <w:szCs w:val="24"/>
        </w:rPr>
        <w:t xml:space="preserve">to be </w:t>
      </w:r>
      <w:r w:rsidR="007734F0">
        <w:rPr>
          <w:rFonts w:ascii="Arial" w:hAnsi="Arial" w:cs="Arial"/>
          <w:sz w:val="24"/>
          <w:szCs w:val="24"/>
        </w:rPr>
        <w:t xml:space="preserve"> able to</w:t>
      </w:r>
      <w:r w:rsidR="007A69B4">
        <w:rPr>
          <w:rFonts w:ascii="Arial" w:hAnsi="Arial" w:cs="Arial"/>
          <w:sz w:val="24"/>
          <w:szCs w:val="24"/>
        </w:rPr>
        <w:t xml:space="preserve"> offer value added products and services, beyond the electric commodity</w:t>
      </w:r>
      <w:r w:rsidR="007734F0">
        <w:rPr>
          <w:rFonts w:ascii="Arial" w:hAnsi="Arial" w:cs="Arial"/>
          <w:sz w:val="24"/>
          <w:szCs w:val="24"/>
        </w:rPr>
        <w:t xml:space="preserve">.  Thus, Duke’s proposal to </w:t>
      </w:r>
      <w:r w:rsidR="00F22776">
        <w:rPr>
          <w:rFonts w:ascii="Arial" w:hAnsi="Arial" w:cs="Arial"/>
          <w:sz w:val="24"/>
          <w:szCs w:val="24"/>
        </w:rPr>
        <w:t>restrict CRES supplier billing</w:t>
      </w:r>
      <w:r w:rsidR="007734F0">
        <w:rPr>
          <w:rFonts w:ascii="Arial" w:hAnsi="Arial" w:cs="Arial"/>
          <w:sz w:val="24"/>
          <w:szCs w:val="24"/>
        </w:rPr>
        <w:t xml:space="preserve"> will</w:t>
      </w:r>
      <w:r w:rsidR="00F22776">
        <w:rPr>
          <w:rFonts w:ascii="Arial" w:hAnsi="Arial" w:cs="Arial"/>
          <w:sz w:val="24"/>
          <w:szCs w:val="24"/>
        </w:rPr>
        <w:t xml:space="preserve"> greatly diminish </w:t>
      </w:r>
      <w:r w:rsidR="00C914CA">
        <w:rPr>
          <w:rFonts w:ascii="Arial" w:hAnsi="Arial" w:cs="Arial"/>
          <w:sz w:val="24"/>
          <w:szCs w:val="24"/>
        </w:rPr>
        <w:t xml:space="preserve">a </w:t>
      </w:r>
      <w:r w:rsidR="00F22776">
        <w:rPr>
          <w:rFonts w:ascii="Arial" w:hAnsi="Arial" w:cs="Arial"/>
          <w:sz w:val="24"/>
          <w:szCs w:val="24"/>
        </w:rPr>
        <w:t>customer</w:t>
      </w:r>
      <w:r w:rsidR="00C914CA">
        <w:rPr>
          <w:rFonts w:ascii="Arial" w:hAnsi="Arial" w:cs="Arial"/>
          <w:sz w:val="24"/>
          <w:szCs w:val="24"/>
        </w:rPr>
        <w:t>’</w:t>
      </w:r>
      <w:r w:rsidR="00F22776">
        <w:rPr>
          <w:rFonts w:ascii="Arial" w:hAnsi="Arial" w:cs="Arial"/>
          <w:sz w:val="24"/>
          <w:szCs w:val="24"/>
        </w:rPr>
        <w:t xml:space="preserve">s ability to receive value added products and </w:t>
      </w:r>
      <w:r w:rsidR="00570545">
        <w:rPr>
          <w:rFonts w:ascii="Arial" w:hAnsi="Arial" w:cs="Arial"/>
          <w:sz w:val="24"/>
          <w:szCs w:val="24"/>
        </w:rPr>
        <w:t>should be rejected</w:t>
      </w:r>
      <w:r w:rsidR="00F22776">
        <w:rPr>
          <w:rFonts w:ascii="Arial" w:hAnsi="Arial" w:cs="Arial"/>
          <w:sz w:val="24"/>
          <w:szCs w:val="24"/>
        </w:rPr>
        <w:t>.</w:t>
      </w:r>
      <w:r w:rsidR="00570545">
        <w:rPr>
          <w:rFonts w:ascii="Arial" w:hAnsi="Arial" w:cs="Arial"/>
          <w:sz w:val="24"/>
          <w:szCs w:val="24"/>
        </w:rPr>
        <w:t xml:space="preserve"> </w:t>
      </w:r>
      <w:r w:rsidR="00590647">
        <w:rPr>
          <w:rFonts w:ascii="Arial" w:hAnsi="Arial" w:cs="Arial"/>
          <w:sz w:val="24"/>
          <w:szCs w:val="24"/>
        </w:rPr>
        <w:t xml:space="preserve"> </w:t>
      </w:r>
    </w:p>
    <w:p w14:paraId="34D463E0" w14:textId="5596D157" w:rsidR="00F22776" w:rsidRDefault="007734F0" w:rsidP="00570545">
      <w:pPr>
        <w:pStyle w:val="ListParagraph"/>
        <w:numPr>
          <w:ilvl w:val="0"/>
          <w:numId w:val="8"/>
        </w:numPr>
        <w:spacing w:line="480" w:lineRule="auto"/>
        <w:jc w:val="both"/>
        <w:rPr>
          <w:rFonts w:ascii="Arial" w:hAnsi="Arial" w:cs="Arial"/>
          <w:sz w:val="24"/>
          <w:szCs w:val="24"/>
        </w:rPr>
      </w:pPr>
      <w:r>
        <w:rPr>
          <w:rFonts w:ascii="Arial" w:hAnsi="Arial" w:cs="Arial"/>
          <w:sz w:val="24"/>
          <w:szCs w:val="24"/>
        </w:rPr>
        <w:t xml:space="preserve"> </w:t>
      </w:r>
      <w:r w:rsidR="007A69B4">
        <w:rPr>
          <w:rFonts w:ascii="Arial" w:hAnsi="Arial" w:cs="Arial"/>
          <w:sz w:val="24"/>
          <w:szCs w:val="24"/>
        </w:rPr>
        <w:t xml:space="preserve"> </w:t>
      </w:r>
      <w:r w:rsidR="00F22776">
        <w:rPr>
          <w:rFonts w:ascii="Arial" w:hAnsi="Arial" w:cs="Arial"/>
          <w:sz w:val="24"/>
          <w:szCs w:val="24"/>
        </w:rPr>
        <w:t xml:space="preserve">While Duke continues to bill for unregulated non-commodity products and services, Duke fails to provide any detail as to how it is allocating costs </w:t>
      </w:r>
      <w:r w:rsidR="0021723C">
        <w:rPr>
          <w:rFonts w:ascii="Arial" w:hAnsi="Arial" w:cs="Arial"/>
          <w:sz w:val="24"/>
          <w:szCs w:val="24"/>
        </w:rPr>
        <w:t>of</w:t>
      </w:r>
      <w:r w:rsidR="00F22776">
        <w:rPr>
          <w:rFonts w:ascii="Arial" w:hAnsi="Arial" w:cs="Arial"/>
          <w:sz w:val="24"/>
          <w:szCs w:val="24"/>
        </w:rPr>
        <w:t xml:space="preserve"> these products and ser</w:t>
      </w:r>
      <w:r w:rsidR="00DD1AFE">
        <w:rPr>
          <w:rFonts w:ascii="Arial" w:hAnsi="Arial" w:cs="Arial"/>
          <w:sz w:val="24"/>
          <w:szCs w:val="24"/>
        </w:rPr>
        <w:t xml:space="preserve">vices.  What is </w:t>
      </w:r>
      <w:r w:rsidR="00E80C15">
        <w:rPr>
          <w:rFonts w:ascii="Arial" w:hAnsi="Arial" w:cs="Arial"/>
          <w:sz w:val="24"/>
          <w:szCs w:val="24"/>
        </w:rPr>
        <w:t>known</w:t>
      </w:r>
      <w:r w:rsidR="00DD1AFE">
        <w:rPr>
          <w:rFonts w:ascii="Arial" w:hAnsi="Arial" w:cs="Arial"/>
          <w:sz w:val="24"/>
          <w:szCs w:val="24"/>
        </w:rPr>
        <w:t xml:space="preserve"> is that Duke</w:t>
      </w:r>
      <w:r w:rsidR="00F22776">
        <w:rPr>
          <w:rFonts w:ascii="Arial" w:hAnsi="Arial" w:cs="Arial"/>
          <w:sz w:val="24"/>
          <w:szCs w:val="24"/>
        </w:rPr>
        <w:t xml:space="preserve"> is utilizing </w:t>
      </w:r>
      <w:r w:rsidR="00F22776">
        <w:rPr>
          <w:rFonts w:ascii="Arial" w:hAnsi="Arial" w:cs="Arial"/>
          <w:sz w:val="24"/>
          <w:szCs w:val="24"/>
        </w:rPr>
        <w:lastRenderedPageBreak/>
        <w:t>distribution assets to support i</w:t>
      </w:r>
      <w:r w:rsidR="00E80C15">
        <w:rPr>
          <w:rFonts w:ascii="Arial" w:hAnsi="Arial" w:cs="Arial"/>
          <w:sz w:val="24"/>
          <w:szCs w:val="24"/>
        </w:rPr>
        <w:t>ts</w:t>
      </w:r>
      <w:r w:rsidR="00F22776">
        <w:rPr>
          <w:rFonts w:ascii="Arial" w:hAnsi="Arial" w:cs="Arial"/>
          <w:sz w:val="24"/>
          <w:szCs w:val="24"/>
        </w:rPr>
        <w:t xml:space="preserve"> unregulated non-commodity products and services.  As part of the ESP application, Duke must demonstrate that it is in compliance with Ohio’s corporate separation requirements.  Duke has not met this requirement as Duke has not </w:t>
      </w:r>
      <w:r w:rsidR="00E80C15">
        <w:rPr>
          <w:rFonts w:ascii="Arial" w:hAnsi="Arial" w:cs="Arial"/>
          <w:sz w:val="24"/>
          <w:szCs w:val="24"/>
        </w:rPr>
        <w:t>demonstrated</w:t>
      </w:r>
      <w:r w:rsidR="00F22776">
        <w:rPr>
          <w:rFonts w:ascii="Arial" w:hAnsi="Arial" w:cs="Arial"/>
          <w:sz w:val="24"/>
          <w:szCs w:val="24"/>
        </w:rPr>
        <w:t xml:space="preserve"> that distribution ratepayers are not unduly subsidizing Duke’s</w:t>
      </w:r>
      <w:r w:rsidR="003437BD">
        <w:rPr>
          <w:rFonts w:ascii="Arial" w:hAnsi="Arial" w:cs="Arial"/>
          <w:sz w:val="24"/>
          <w:szCs w:val="24"/>
        </w:rPr>
        <w:t xml:space="preserve"> affiliate or</w:t>
      </w:r>
      <w:r w:rsidR="00F22776">
        <w:rPr>
          <w:rFonts w:ascii="Arial" w:hAnsi="Arial" w:cs="Arial"/>
          <w:sz w:val="24"/>
          <w:szCs w:val="24"/>
        </w:rPr>
        <w:t xml:space="preserve"> unregulated products and services.  </w:t>
      </w:r>
    </w:p>
    <w:p w14:paraId="219AF466" w14:textId="45ED5277" w:rsidR="000969B1" w:rsidRPr="00570545" w:rsidRDefault="000969B1" w:rsidP="00570545">
      <w:pPr>
        <w:pStyle w:val="ListParagraph"/>
        <w:numPr>
          <w:ilvl w:val="0"/>
          <w:numId w:val="8"/>
        </w:numPr>
        <w:spacing w:line="480" w:lineRule="auto"/>
        <w:jc w:val="both"/>
        <w:rPr>
          <w:rFonts w:ascii="Arial" w:hAnsi="Arial" w:cs="Arial"/>
          <w:sz w:val="24"/>
          <w:szCs w:val="24"/>
        </w:rPr>
      </w:pPr>
      <w:r w:rsidRPr="00590647">
        <w:rPr>
          <w:rFonts w:ascii="Arial" w:hAnsi="Arial" w:cs="Arial"/>
          <w:sz w:val="24"/>
          <w:szCs w:val="24"/>
        </w:rPr>
        <w:t>I r</w:t>
      </w:r>
      <w:r>
        <w:rPr>
          <w:rFonts w:ascii="Arial" w:hAnsi="Arial" w:cs="Arial"/>
          <w:sz w:val="24"/>
          <w:szCs w:val="24"/>
        </w:rPr>
        <w:t xml:space="preserve">ecommend that </w:t>
      </w:r>
      <w:r w:rsidR="007377F4">
        <w:rPr>
          <w:rFonts w:ascii="Arial" w:hAnsi="Arial" w:cs="Arial"/>
          <w:sz w:val="24"/>
          <w:szCs w:val="24"/>
        </w:rPr>
        <w:t xml:space="preserve">the </w:t>
      </w:r>
      <w:r>
        <w:rPr>
          <w:rFonts w:ascii="Arial" w:hAnsi="Arial" w:cs="Arial"/>
          <w:sz w:val="24"/>
          <w:szCs w:val="24"/>
        </w:rPr>
        <w:t xml:space="preserve">Commission </w:t>
      </w:r>
      <w:r w:rsidRPr="00590647">
        <w:rPr>
          <w:rFonts w:ascii="Arial" w:hAnsi="Arial" w:cs="Arial"/>
          <w:sz w:val="24"/>
          <w:szCs w:val="24"/>
        </w:rPr>
        <w:t>direct Duke</w:t>
      </w:r>
      <w:r>
        <w:rPr>
          <w:rFonts w:ascii="Arial" w:hAnsi="Arial" w:cs="Arial"/>
          <w:sz w:val="24"/>
          <w:szCs w:val="24"/>
        </w:rPr>
        <w:t xml:space="preserve"> in this proceeding</w:t>
      </w:r>
      <w:r w:rsidRPr="00590647">
        <w:rPr>
          <w:rFonts w:ascii="Arial" w:hAnsi="Arial" w:cs="Arial"/>
          <w:sz w:val="24"/>
          <w:szCs w:val="24"/>
        </w:rPr>
        <w:t xml:space="preserve"> to allow competitive suppliers to bill for non-comm</w:t>
      </w:r>
      <w:r>
        <w:rPr>
          <w:rFonts w:ascii="Arial" w:hAnsi="Arial" w:cs="Arial"/>
          <w:sz w:val="24"/>
          <w:szCs w:val="24"/>
        </w:rPr>
        <w:t xml:space="preserve">odity services on the utility bill. However, the Commission should also direct Duke to </w:t>
      </w:r>
      <w:r w:rsidR="007C2A07">
        <w:rPr>
          <w:rFonts w:ascii="Arial" w:hAnsi="Arial" w:cs="Arial"/>
          <w:sz w:val="24"/>
          <w:szCs w:val="24"/>
        </w:rPr>
        <w:t>expeditiously</w:t>
      </w:r>
      <w:r>
        <w:rPr>
          <w:rFonts w:ascii="Arial" w:hAnsi="Arial" w:cs="Arial"/>
          <w:sz w:val="24"/>
          <w:szCs w:val="24"/>
        </w:rPr>
        <w:t xml:space="preserve"> develop the capa</w:t>
      </w:r>
      <w:r w:rsidR="007377F4">
        <w:rPr>
          <w:rFonts w:ascii="Arial" w:hAnsi="Arial" w:cs="Arial"/>
          <w:sz w:val="24"/>
          <w:szCs w:val="24"/>
        </w:rPr>
        <w:t>bilities to allow CRES supplier</w:t>
      </w:r>
      <w:r>
        <w:rPr>
          <w:rFonts w:ascii="Arial" w:hAnsi="Arial" w:cs="Arial"/>
          <w:sz w:val="24"/>
          <w:szCs w:val="24"/>
        </w:rPr>
        <w:t>s to provide supplier consolidated billing.  As more fully explained in my testimony, supplier consolidated billing</w:t>
      </w:r>
      <w:r w:rsidRPr="00590647">
        <w:rPr>
          <w:rFonts w:ascii="Arial" w:hAnsi="Arial" w:cs="Arial"/>
          <w:sz w:val="24"/>
          <w:szCs w:val="24"/>
        </w:rPr>
        <w:t xml:space="preserve"> </w:t>
      </w:r>
      <w:r>
        <w:rPr>
          <w:rFonts w:ascii="Arial" w:hAnsi="Arial" w:cs="Arial"/>
          <w:sz w:val="24"/>
          <w:szCs w:val="24"/>
        </w:rPr>
        <w:t xml:space="preserve">would enable CRES suppliers to provide customers with a single bill that includes </w:t>
      </w:r>
      <w:r w:rsidR="00DD0A3E">
        <w:rPr>
          <w:rFonts w:ascii="Arial" w:hAnsi="Arial" w:cs="Arial"/>
          <w:sz w:val="24"/>
          <w:szCs w:val="24"/>
        </w:rPr>
        <w:t>utility distribution</w:t>
      </w:r>
      <w:r>
        <w:rPr>
          <w:rFonts w:ascii="Arial" w:hAnsi="Arial" w:cs="Arial"/>
          <w:sz w:val="24"/>
          <w:szCs w:val="24"/>
        </w:rPr>
        <w:t xml:space="preserve"> charges</w:t>
      </w:r>
      <w:r w:rsidRPr="00590647">
        <w:rPr>
          <w:rFonts w:ascii="Arial" w:hAnsi="Arial" w:cs="Arial"/>
          <w:sz w:val="24"/>
          <w:szCs w:val="24"/>
        </w:rPr>
        <w:t>.</w:t>
      </w:r>
      <w:r>
        <w:rPr>
          <w:rFonts w:ascii="Arial" w:hAnsi="Arial" w:cs="Arial"/>
          <w:sz w:val="24"/>
          <w:szCs w:val="24"/>
        </w:rPr>
        <w:t xml:space="preserve">  </w:t>
      </w:r>
    </w:p>
    <w:p w14:paraId="7B9EE971" w14:textId="4ECCFC7F" w:rsidR="00A4080D" w:rsidRPr="00A4080D" w:rsidRDefault="00F57F2C" w:rsidP="00A944A8">
      <w:pPr>
        <w:pStyle w:val="ListParagraph"/>
        <w:numPr>
          <w:ilvl w:val="0"/>
          <w:numId w:val="8"/>
        </w:numPr>
        <w:spacing w:line="480" w:lineRule="auto"/>
        <w:jc w:val="both"/>
        <w:rPr>
          <w:rFonts w:ascii="Arial" w:hAnsi="Arial" w:cs="Arial"/>
          <w:sz w:val="24"/>
          <w:szCs w:val="24"/>
        </w:rPr>
      </w:pPr>
      <w:r>
        <w:rPr>
          <w:rFonts w:ascii="Arial" w:hAnsi="Arial" w:cs="Arial"/>
          <w:sz w:val="24"/>
          <w:szCs w:val="24"/>
        </w:rPr>
        <w:t>Duke</w:t>
      </w:r>
      <w:r w:rsidR="00DD0A3E">
        <w:rPr>
          <w:rFonts w:ascii="Arial" w:hAnsi="Arial" w:cs="Arial"/>
          <w:sz w:val="24"/>
          <w:szCs w:val="24"/>
        </w:rPr>
        <w:t xml:space="preserve">’s proposed SSO </w:t>
      </w:r>
      <w:r w:rsidR="00A944A8">
        <w:rPr>
          <w:rFonts w:ascii="Arial" w:hAnsi="Arial" w:cs="Arial"/>
          <w:sz w:val="24"/>
          <w:szCs w:val="24"/>
        </w:rPr>
        <w:t xml:space="preserve">does </w:t>
      </w:r>
      <w:r w:rsidR="00DD0A3E">
        <w:rPr>
          <w:rFonts w:ascii="Arial" w:hAnsi="Arial" w:cs="Arial"/>
          <w:sz w:val="24"/>
          <w:szCs w:val="24"/>
        </w:rPr>
        <w:t>not reflect the full cost of providing SSO service in the SSO price</w:t>
      </w:r>
      <w:r w:rsidR="00B9310E">
        <w:rPr>
          <w:rFonts w:ascii="Arial" w:hAnsi="Arial" w:cs="Arial"/>
          <w:sz w:val="24"/>
          <w:szCs w:val="24"/>
        </w:rPr>
        <w:t>.</w:t>
      </w:r>
      <w:r w:rsidR="00DD0A3E">
        <w:rPr>
          <w:rFonts w:ascii="Arial" w:hAnsi="Arial" w:cs="Arial"/>
          <w:sz w:val="24"/>
          <w:szCs w:val="24"/>
        </w:rPr>
        <w:t xml:space="preserve">  Rather, there are a number of costs incurred to support</w:t>
      </w:r>
      <w:r w:rsidR="00B9310E">
        <w:rPr>
          <w:rFonts w:ascii="Arial" w:hAnsi="Arial" w:cs="Arial"/>
          <w:sz w:val="24"/>
          <w:szCs w:val="24"/>
        </w:rPr>
        <w:t xml:space="preserve"> </w:t>
      </w:r>
      <w:r w:rsidR="00DD0A3E">
        <w:rPr>
          <w:rFonts w:ascii="Arial" w:hAnsi="Arial" w:cs="Arial"/>
          <w:sz w:val="24"/>
          <w:szCs w:val="24"/>
        </w:rPr>
        <w:t>the SSO that are recovered through distribution rates.</w:t>
      </w:r>
      <w:r w:rsidR="00B9310E">
        <w:rPr>
          <w:rFonts w:ascii="Arial" w:hAnsi="Arial" w:cs="Arial"/>
          <w:sz w:val="24"/>
          <w:szCs w:val="24"/>
        </w:rPr>
        <w:t xml:space="preserve"> The utilization of distribution rates to subsidize SSO service violates Ohio’s statutes that prohibit subsidies flowing from distribution rates to </w:t>
      </w:r>
      <w:r w:rsidR="00DD0A3E">
        <w:rPr>
          <w:rFonts w:ascii="Arial" w:hAnsi="Arial" w:cs="Arial"/>
          <w:sz w:val="24"/>
          <w:szCs w:val="24"/>
        </w:rPr>
        <w:t>SSO service</w:t>
      </w:r>
      <w:r w:rsidR="00B9310E">
        <w:rPr>
          <w:rFonts w:ascii="Arial" w:hAnsi="Arial" w:cs="Arial"/>
          <w:sz w:val="24"/>
          <w:szCs w:val="24"/>
        </w:rPr>
        <w:t>.</w:t>
      </w:r>
      <w:r w:rsidR="00A944A8">
        <w:rPr>
          <w:rFonts w:ascii="Arial" w:hAnsi="Arial" w:cs="Arial"/>
          <w:sz w:val="24"/>
          <w:szCs w:val="24"/>
        </w:rPr>
        <w:t xml:space="preserve">  Moreover, R.C. 4928.02(A) and (B) provides that it is the state policy to </w:t>
      </w:r>
      <w:r w:rsidR="007C2A07">
        <w:rPr>
          <w:rFonts w:ascii="Arial" w:hAnsi="Arial" w:cs="Arial"/>
          <w:sz w:val="24"/>
          <w:szCs w:val="24"/>
        </w:rPr>
        <w:t>“</w:t>
      </w:r>
      <w:r w:rsidR="00A944A8">
        <w:rPr>
          <w:rFonts w:ascii="Arial" w:hAnsi="Arial" w:cs="Arial"/>
          <w:sz w:val="24"/>
          <w:szCs w:val="24"/>
        </w:rPr>
        <w:t>[e]</w:t>
      </w:r>
      <w:r w:rsidR="00A944A8" w:rsidRPr="00A944A8">
        <w:rPr>
          <w:rFonts w:ascii="Arial" w:hAnsi="Arial" w:cs="Arial"/>
          <w:sz w:val="24"/>
          <w:szCs w:val="24"/>
        </w:rPr>
        <w:t xml:space="preserve">nsure the availability to consumers of adequate, reliable, safe, efficient, </w:t>
      </w:r>
      <w:r w:rsidR="00A944A8" w:rsidRPr="007C2A07">
        <w:rPr>
          <w:rFonts w:ascii="Arial" w:hAnsi="Arial" w:cs="Arial"/>
          <w:i/>
          <w:sz w:val="24"/>
          <w:szCs w:val="24"/>
        </w:rPr>
        <w:t>nondiscriminatory</w:t>
      </w:r>
      <w:r w:rsidR="00A944A8">
        <w:rPr>
          <w:rFonts w:ascii="Arial" w:hAnsi="Arial" w:cs="Arial"/>
          <w:sz w:val="24"/>
          <w:szCs w:val="24"/>
        </w:rPr>
        <w:t xml:space="preserve"> . . . . </w:t>
      </w:r>
      <w:r w:rsidR="00A944A8">
        <w:rPr>
          <w:rFonts w:ascii="Arial" w:hAnsi="Arial" w:cs="Arial"/>
          <w:i/>
          <w:sz w:val="24"/>
          <w:szCs w:val="24"/>
        </w:rPr>
        <w:t>unbundled and comparable retail electric services</w:t>
      </w:r>
      <w:r w:rsidR="00A944A8">
        <w:rPr>
          <w:rFonts w:ascii="Arial" w:hAnsi="Arial" w:cs="Arial"/>
          <w:sz w:val="24"/>
          <w:szCs w:val="24"/>
        </w:rPr>
        <w:t>.” (emphasis added).</w:t>
      </w:r>
      <w:r w:rsidR="00B9310E">
        <w:rPr>
          <w:rFonts w:ascii="Arial" w:hAnsi="Arial" w:cs="Arial"/>
          <w:sz w:val="24"/>
          <w:szCs w:val="24"/>
        </w:rPr>
        <w:t xml:space="preserve">  As such, I recommend that the Commission unbundle the costs recovered through distribution rates </w:t>
      </w:r>
      <w:r w:rsidR="00590647">
        <w:rPr>
          <w:rFonts w:ascii="Arial" w:hAnsi="Arial" w:cs="Arial"/>
          <w:sz w:val="24"/>
          <w:szCs w:val="24"/>
        </w:rPr>
        <w:t xml:space="preserve">required to support the SSO and </w:t>
      </w:r>
      <w:r w:rsidR="00590647">
        <w:rPr>
          <w:rFonts w:ascii="Arial" w:hAnsi="Arial" w:cs="Arial"/>
          <w:sz w:val="24"/>
          <w:szCs w:val="24"/>
        </w:rPr>
        <w:lastRenderedPageBreak/>
        <w:t>include those costs in the SSO price</w:t>
      </w:r>
      <w:r w:rsidR="00A944A8">
        <w:rPr>
          <w:rFonts w:ascii="Arial" w:hAnsi="Arial" w:cs="Arial"/>
          <w:sz w:val="24"/>
          <w:szCs w:val="24"/>
        </w:rPr>
        <w:t xml:space="preserve">. My recommendation would address the current disparity in pricing structure of the SSO and CRES products, which is non-comparable and discriminates against shopping customers.  </w:t>
      </w:r>
    </w:p>
    <w:p w14:paraId="26C2F4D7" w14:textId="13C5EDF0" w:rsidR="00A964D4" w:rsidRDefault="00A4080D" w:rsidP="00D90237">
      <w:pPr>
        <w:spacing w:line="480" w:lineRule="auto"/>
        <w:ind w:left="720" w:hanging="720"/>
        <w:jc w:val="both"/>
        <w:rPr>
          <w:rFonts w:ascii="Arial" w:hAnsi="Arial" w:cs="Arial"/>
          <w:b/>
          <w:sz w:val="24"/>
          <w:szCs w:val="24"/>
          <w:u w:val="single"/>
        </w:rPr>
      </w:pPr>
      <w:r>
        <w:rPr>
          <w:rFonts w:ascii="Arial" w:hAnsi="Arial" w:cs="Arial"/>
          <w:sz w:val="24"/>
          <w:szCs w:val="24"/>
        </w:rPr>
        <w:t>II.</w:t>
      </w:r>
      <w:r>
        <w:rPr>
          <w:rFonts w:ascii="Arial" w:hAnsi="Arial" w:cs="Arial"/>
          <w:sz w:val="24"/>
          <w:szCs w:val="24"/>
        </w:rPr>
        <w:tab/>
      </w:r>
      <w:r w:rsidRPr="00A4080D">
        <w:rPr>
          <w:rFonts w:ascii="Arial" w:hAnsi="Arial" w:cs="Arial"/>
          <w:b/>
          <w:sz w:val="24"/>
          <w:szCs w:val="24"/>
          <w:u w:val="single"/>
        </w:rPr>
        <w:t>UTILITY BILLING</w:t>
      </w:r>
    </w:p>
    <w:p w14:paraId="53322548" w14:textId="28FF0746" w:rsidR="00A4080D" w:rsidRDefault="00A4080D" w:rsidP="00D90237">
      <w:pPr>
        <w:spacing w:line="480" w:lineRule="auto"/>
        <w:ind w:left="720" w:hanging="720"/>
        <w:jc w:val="both"/>
        <w:rPr>
          <w:rFonts w:ascii="Arial" w:hAnsi="Arial" w:cs="Arial"/>
          <w:b/>
          <w:sz w:val="24"/>
          <w:szCs w:val="24"/>
        </w:rPr>
      </w:pPr>
      <w:r w:rsidRPr="00A4080D">
        <w:rPr>
          <w:rFonts w:ascii="Arial" w:hAnsi="Arial" w:cs="Arial"/>
          <w:b/>
          <w:sz w:val="24"/>
          <w:szCs w:val="24"/>
        </w:rPr>
        <w:t>Q.</w:t>
      </w:r>
      <w:r w:rsidRPr="00A4080D">
        <w:rPr>
          <w:rFonts w:ascii="Arial" w:hAnsi="Arial" w:cs="Arial"/>
          <w:b/>
          <w:sz w:val="24"/>
          <w:szCs w:val="24"/>
        </w:rPr>
        <w:tab/>
      </w:r>
      <w:r w:rsidR="00282AEE">
        <w:rPr>
          <w:rFonts w:ascii="Arial" w:hAnsi="Arial" w:cs="Arial"/>
          <w:b/>
          <w:sz w:val="24"/>
          <w:szCs w:val="24"/>
        </w:rPr>
        <w:t>Can you please explain the proposal Duke has made that would prohibit</w:t>
      </w:r>
      <w:r w:rsidRPr="00A4080D">
        <w:rPr>
          <w:rFonts w:ascii="Arial" w:hAnsi="Arial" w:cs="Arial"/>
          <w:b/>
          <w:sz w:val="24"/>
          <w:szCs w:val="24"/>
        </w:rPr>
        <w:t xml:space="preserve"> CRES suppliers </w:t>
      </w:r>
      <w:r w:rsidR="00857F1D">
        <w:rPr>
          <w:rFonts w:ascii="Arial" w:hAnsi="Arial" w:cs="Arial"/>
          <w:b/>
          <w:sz w:val="24"/>
          <w:szCs w:val="24"/>
        </w:rPr>
        <w:t xml:space="preserve">from billing </w:t>
      </w:r>
      <w:r w:rsidRPr="00A4080D">
        <w:rPr>
          <w:rFonts w:ascii="Arial" w:hAnsi="Arial" w:cs="Arial"/>
          <w:b/>
          <w:sz w:val="24"/>
          <w:szCs w:val="24"/>
        </w:rPr>
        <w:t>non-commodity services</w:t>
      </w:r>
      <w:r w:rsidR="00282AEE">
        <w:rPr>
          <w:rFonts w:ascii="Arial" w:hAnsi="Arial" w:cs="Arial"/>
          <w:b/>
          <w:sz w:val="24"/>
          <w:szCs w:val="24"/>
        </w:rPr>
        <w:t xml:space="preserve"> on the utility bill</w:t>
      </w:r>
      <w:r w:rsidRPr="00A4080D">
        <w:rPr>
          <w:rFonts w:ascii="Arial" w:hAnsi="Arial" w:cs="Arial"/>
          <w:b/>
          <w:sz w:val="24"/>
          <w:szCs w:val="24"/>
        </w:rPr>
        <w:t>?</w:t>
      </w:r>
    </w:p>
    <w:p w14:paraId="36C64F44" w14:textId="2200CCFA" w:rsidR="00A4080D" w:rsidRDefault="00A4080D" w:rsidP="00D90237">
      <w:pPr>
        <w:spacing w:line="480" w:lineRule="auto"/>
        <w:ind w:left="720" w:hanging="720"/>
        <w:jc w:val="both"/>
        <w:rPr>
          <w:rFonts w:ascii="Arial" w:eastAsia="Times New Roman" w:hAnsi="Arial" w:cs="Arial"/>
          <w:sz w:val="24"/>
          <w:szCs w:val="24"/>
        </w:rPr>
      </w:pPr>
      <w:r w:rsidRPr="00A4080D">
        <w:rPr>
          <w:rFonts w:ascii="Arial" w:hAnsi="Arial" w:cs="Arial"/>
          <w:sz w:val="24"/>
          <w:szCs w:val="24"/>
        </w:rPr>
        <w:t>A.</w:t>
      </w:r>
      <w:r w:rsidRPr="00A4080D">
        <w:rPr>
          <w:rFonts w:ascii="Arial" w:hAnsi="Arial" w:cs="Arial"/>
          <w:sz w:val="24"/>
          <w:szCs w:val="24"/>
        </w:rPr>
        <w:tab/>
      </w:r>
      <w:r w:rsidR="00282AEE">
        <w:rPr>
          <w:rFonts w:ascii="Arial" w:hAnsi="Arial" w:cs="Arial"/>
          <w:sz w:val="24"/>
          <w:szCs w:val="24"/>
        </w:rPr>
        <w:t xml:space="preserve">Yes. </w:t>
      </w:r>
      <w:r w:rsidR="00905F29">
        <w:rPr>
          <w:rFonts w:ascii="Arial" w:eastAsia="Times New Roman" w:hAnsi="Arial" w:cs="Arial"/>
          <w:sz w:val="24"/>
          <w:szCs w:val="24"/>
        </w:rPr>
        <w:t xml:space="preserve">On page 8 of his testimony, </w:t>
      </w:r>
      <w:r w:rsidRPr="00A4080D">
        <w:rPr>
          <w:rFonts w:ascii="Arial" w:eastAsia="Times New Roman" w:hAnsi="Arial" w:cs="Arial"/>
          <w:sz w:val="24"/>
          <w:szCs w:val="24"/>
        </w:rPr>
        <w:t>Witness Daniel Jones</w:t>
      </w:r>
      <w:r w:rsidR="00905F29">
        <w:rPr>
          <w:rFonts w:ascii="Arial" w:eastAsia="Times New Roman" w:hAnsi="Arial" w:cs="Arial"/>
          <w:sz w:val="24"/>
          <w:szCs w:val="24"/>
        </w:rPr>
        <w:t xml:space="preserve"> states that</w:t>
      </w:r>
      <w:r w:rsidR="00DD0A3E">
        <w:rPr>
          <w:rFonts w:ascii="Arial" w:eastAsia="Times New Roman" w:hAnsi="Arial" w:cs="Arial"/>
          <w:sz w:val="24"/>
          <w:szCs w:val="24"/>
        </w:rPr>
        <w:t xml:space="preserve"> in the ESP Application</w:t>
      </w:r>
      <w:r w:rsidR="00905F29">
        <w:rPr>
          <w:rFonts w:ascii="Arial" w:eastAsia="Times New Roman" w:hAnsi="Arial" w:cs="Arial"/>
          <w:sz w:val="24"/>
          <w:szCs w:val="24"/>
        </w:rPr>
        <w:t xml:space="preserve"> Duke is proposing to amend its</w:t>
      </w:r>
      <w:r>
        <w:rPr>
          <w:rFonts w:ascii="Arial" w:eastAsia="Times New Roman" w:hAnsi="Arial" w:cs="Arial"/>
          <w:sz w:val="24"/>
          <w:szCs w:val="24"/>
        </w:rPr>
        <w:t xml:space="preserve"> tariff to prohibit CRES suppliers from</w:t>
      </w:r>
      <w:r w:rsidR="005B3669">
        <w:rPr>
          <w:rFonts w:ascii="Arial" w:eastAsia="Times New Roman" w:hAnsi="Arial" w:cs="Arial"/>
          <w:sz w:val="24"/>
          <w:szCs w:val="24"/>
        </w:rPr>
        <w:t xml:space="preserve"> using the bill-</w:t>
      </w:r>
      <w:r w:rsidR="00020388">
        <w:rPr>
          <w:rFonts w:ascii="Arial" w:eastAsia="Times New Roman" w:hAnsi="Arial" w:cs="Arial"/>
          <w:sz w:val="24"/>
          <w:szCs w:val="24"/>
        </w:rPr>
        <w:t>ready function to</w:t>
      </w:r>
      <w:r>
        <w:rPr>
          <w:rFonts w:ascii="Arial" w:eastAsia="Times New Roman" w:hAnsi="Arial" w:cs="Arial"/>
          <w:sz w:val="24"/>
          <w:szCs w:val="24"/>
        </w:rPr>
        <w:t xml:space="preserve"> </w:t>
      </w:r>
      <w:r w:rsidR="00020388">
        <w:rPr>
          <w:rFonts w:ascii="Arial" w:eastAsia="Times New Roman" w:hAnsi="Arial" w:cs="Arial"/>
          <w:sz w:val="24"/>
          <w:szCs w:val="24"/>
        </w:rPr>
        <w:t>bill for non-electric charges</w:t>
      </w:r>
      <w:r w:rsidR="00282AEE">
        <w:rPr>
          <w:rFonts w:ascii="Arial" w:eastAsia="Times New Roman" w:hAnsi="Arial" w:cs="Arial"/>
          <w:sz w:val="24"/>
          <w:szCs w:val="24"/>
        </w:rPr>
        <w:t xml:space="preserve">.  </w:t>
      </w:r>
    </w:p>
    <w:p w14:paraId="1CB13353" w14:textId="1F225422" w:rsidR="00020388" w:rsidRPr="00020388" w:rsidRDefault="00020388" w:rsidP="00D90237">
      <w:pPr>
        <w:spacing w:line="480" w:lineRule="auto"/>
        <w:ind w:left="720" w:hanging="720"/>
        <w:jc w:val="both"/>
        <w:rPr>
          <w:rFonts w:ascii="Arial" w:hAnsi="Arial" w:cs="Arial"/>
          <w:b/>
          <w:sz w:val="24"/>
          <w:szCs w:val="24"/>
        </w:rPr>
      </w:pPr>
      <w:r w:rsidRPr="00020388">
        <w:rPr>
          <w:rFonts w:ascii="Arial" w:hAnsi="Arial" w:cs="Arial"/>
          <w:b/>
          <w:sz w:val="24"/>
          <w:szCs w:val="24"/>
        </w:rPr>
        <w:t>Q.</w:t>
      </w:r>
      <w:r w:rsidRPr="00020388">
        <w:rPr>
          <w:rFonts w:ascii="Arial" w:hAnsi="Arial" w:cs="Arial"/>
          <w:b/>
          <w:sz w:val="24"/>
          <w:szCs w:val="24"/>
        </w:rPr>
        <w:tab/>
      </w:r>
      <w:r w:rsidR="007F043F">
        <w:rPr>
          <w:rFonts w:ascii="Arial" w:hAnsi="Arial" w:cs="Arial"/>
          <w:b/>
          <w:sz w:val="24"/>
          <w:szCs w:val="24"/>
        </w:rPr>
        <w:t>Why is it important that CRES providers have the ability to offer non-commodity products and services to customers</w:t>
      </w:r>
      <w:r w:rsidRPr="00020388">
        <w:rPr>
          <w:rFonts w:ascii="Arial" w:hAnsi="Arial" w:cs="Arial"/>
          <w:b/>
          <w:sz w:val="24"/>
          <w:szCs w:val="24"/>
        </w:rPr>
        <w:t>?</w:t>
      </w:r>
    </w:p>
    <w:p w14:paraId="134F66EF" w14:textId="4C77434B" w:rsidR="00020388" w:rsidRPr="00A4080D" w:rsidRDefault="007F043F" w:rsidP="00D90237">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 </w:t>
      </w:r>
      <w:r w:rsidR="00020388">
        <w:rPr>
          <w:rFonts w:ascii="Arial" w:hAnsi="Arial" w:cs="Arial"/>
          <w:sz w:val="24"/>
          <w:szCs w:val="24"/>
        </w:rPr>
        <w:t>One of the major benefits of competition is that it encourages</w:t>
      </w:r>
      <w:r>
        <w:rPr>
          <w:rFonts w:ascii="Arial" w:hAnsi="Arial" w:cs="Arial"/>
          <w:sz w:val="24"/>
          <w:szCs w:val="24"/>
        </w:rPr>
        <w:t xml:space="preserve"> the development of</w:t>
      </w:r>
      <w:r w:rsidR="00020388">
        <w:rPr>
          <w:rFonts w:ascii="Arial" w:hAnsi="Arial" w:cs="Arial"/>
          <w:sz w:val="24"/>
          <w:szCs w:val="24"/>
        </w:rPr>
        <w:t xml:space="preserve"> innovat</w:t>
      </w:r>
      <w:r w:rsidR="00C914CA">
        <w:rPr>
          <w:rFonts w:ascii="Arial" w:hAnsi="Arial" w:cs="Arial"/>
          <w:sz w:val="24"/>
          <w:szCs w:val="24"/>
        </w:rPr>
        <w:t>ive</w:t>
      </w:r>
      <w:r w:rsidR="00020388">
        <w:rPr>
          <w:rFonts w:ascii="Arial" w:hAnsi="Arial" w:cs="Arial"/>
          <w:sz w:val="24"/>
          <w:szCs w:val="24"/>
        </w:rPr>
        <w:t xml:space="preserve"> products and ser</w:t>
      </w:r>
      <w:r w:rsidR="00060E00">
        <w:rPr>
          <w:rFonts w:ascii="Arial" w:hAnsi="Arial" w:cs="Arial"/>
          <w:sz w:val="24"/>
          <w:szCs w:val="24"/>
        </w:rPr>
        <w:t xml:space="preserve">vices </w:t>
      </w:r>
      <w:r>
        <w:rPr>
          <w:rFonts w:ascii="Arial" w:hAnsi="Arial" w:cs="Arial"/>
          <w:sz w:val="24"/>
          <w:szCs w:val="24"/>
        </w:rPr>
        <w:t>that add value to customers</w:t>
      </w:r>
      <w:r w:rsidR="00E0102F">
        <w:rPr>
          <w:rFonts w:ascii="Arial" w:hAnsi="Arial" w:cs="Arial"/>
          <w:sz w:val="24"/>
          <w:szCs w:val="24"/>
        </w:rPr>
        <w:t xml:space="preserve"> beyond</w:t>
      </w:r>
      <w:r w:rsidR="00060E00">
        <w:rPr>
          <w:rFonts w:ascii="Arial" w:hAnsi="Arial" w:cs="Arial"/>
          <w:sz w:val="24"/>
          <w:szCs w:val="24"/>
        </w:rPr>
        <w:t xml:space="preserve"> the electric commodity</w:t>
      </w:r>
      <w:r>
        <w:rPr>
          <w:rFonts w:ascii="Arial" w:hAnsi="Arial" w:cs="Arial"/>
          <w:sz w:val="24"/>
          <w:szCs w:val="24"/>
        </w:rPr>
        <w:t>. As competitive markets and technology evolve</w:t>
      </w:r>
      <w:r w:rsidR="003437BD">
        <w:rPr>
          <w:rFonts w:ascii="Arial" w:hAnsi="Arial" w:cs="Arial"/>
          <w:sz w:val="24"/>
          <w:szCs w:val="24"/>
        </w:rPr>
        <w:t>,</w:t>
      </w:r>
      <w:r>
        <w:rPr>
          <w:rFonts w:ascii="Arial" w:hAnsi="Arial" w:cs="Arial"/>
          <w:sz w:val="24"/>
          <w:szCs w:val="24"/>
        </w:rPr>
        <w:t xml:space="preserve"> customers </w:t>
      </w:r>
      <w:r w:rsidR="00060E00">
        <w:rPr>
          <w:rFonts w:ascii="Arial" w:hAnsi="Arial" w:cs="Arial"/>
          <w:sz w:val="24"/>
          <w:szCs w:val="24"/>
        </w:rPr>
        <w:t>will start seeing</w:t>
      </w:r>
      <w:r>
        <w:rPr>
          <w:rFonts w:ascii="Arial" w:hAnsi="Arial" w:cs="Arial"/>
          <w:sz w:val="24"/>
          <w:szCs w:val="24"/>
        </w:rPr>
        <w:t xml:space="preserve"> electricity as more than just the commodity, but rather a package of products and services that include the electric commodity.  CRES suppliers such as IGS are </w:t>
      </w:r>
      <w:r w:rsidR="00280866">
        <w:rPr>
          <w:rFonts w:ascii="Arial" w:hAnsi="Arial" w:cs="Arial"/>
          <w:sz w:val="24"/>
          <w:szCs w:val="24"/>
        </w:rPr>
        <w:t>starting to</w:t>
      </w:r>
      <w:r>
        <w:rPr>
          <w:rFonts w:ascii="Arial" w:hAnsi="Arial" w:cs="Arial"/>
          <w:sz w:val="24"/>
          <w:szCs w:val="24"/>
        </w:rPr>
        <w:t xml:space="preserve"> </w:t>
      </w:r>
      <w:r w:rsidR="00280866">
        <w:rPr>
          <w:rFonts w:ascii="Arial" w:hAnsi="Arial" w:cs="Arial"/>
          <w:sz w:val="24"/>
          <w:szCs w:val="24"/>
        </w:rPr>
        <w:t>develop</w:t>
      </w:r>
      <w:r>
        <w:rPr>
          <w:rFonts w:ascii="Arial" w:hAnsi="Arial" w:cs="Arial"/>
          <w:sz w:val="24"/>
          <w:szCs w:val="24"/>
        </w:rPr>
        <w:t xml:space="preserve"> new products and services that add value to customers.  </w:t>
      </w:r>
      <w:r w:rsidR="00060E00">
        <w:rPr>
          <w:rFonts w:ascii="Arial" w:hAnsi="Arial" w:cs="Arial"/>
          <w:sz w:val="24"/>
          <w:szCs w:val="24"/>
        </w:rPr>
        <w:t xml:space="preserve">The most basic value added products and services include fixed or hedged electricity prices and renewable electric products.  </w:t>
      </w:r>
      <w:r w:rsidR="00720589">
        <w:rPr>
          <w:rFonts w:ascii="Arial" w:hAnsi="Arial" w:cs="Arial"/>
          <w:sz w:val="24"/>
          <w:szCs w:val="24"/>
        </w:rPr>
        <w:t>T</w:t>
      </w:r>
      <w:r w:rsidR="00060E00">
        <w:rPr>
          <w:rFonts w:ascii="Arial" w:hAnsi="Arial" w:cs="Arial"/>
          <w:sz w:val="24"/>
          <w:szCs w:val="24"/>
        </w:rPr>
        <w:t>he market is evolving to offer</w:t>
      </w:r>
      <w:r w:rsidR="00720589">
        <w:rPr>
          <w:rFonts w:ascii="Arial" w:hAnsi="Arial" w:cs="Arial"/>
          <w:sz w:val="24"/>
          <w:szCs w:val="24"/>
        </w:rPr>
        <w:t xml:space="preserve"> even</w:t>
      </w:r>
      <w:r w:rsidR="00060E00">
        <w:rPr>
          <w:rFonts w:ascii="Arial" w:hAnsi="Arial" w:cs="Arial"/>
          <w:sz w:val="24"/>
          <w:szCs w:val="24"/>
        </w:rPr>
        <w:t xml:space="preserve"> more sophisticated electric </w:t>
      </w:r>
      <w:r w:rsidR="003437BD">
        <w:rPr>
          <w:rFonts w:ascii="Arial" w:hAnsi="Arial" w:cs="Arial"/>
          <w:sz w:val="24"/>
          <w:szCs w:val="24"/>
        </w:rPr>
        <w:t>products and services including</w:t>
      </w:r>
      <w:r w:rsidR="00060E00">
        <w:rPr>
          <w:rFonts w:ascii="Arial" w:hAnsi="Arial" w:cs="Arial"/>
          <w:sz w:val="24"/>
          <w:szCs w:val="24"/>
        </w:rPr>
        <w:t xml:space="preserve"> electricity bundled with energy efficiency, demand response</w:t>
      </w:r>
      <w:r w:rsidR="00280866">
        <w:rPr>
          <w:rFonts w:ascii="Arial" w:hAnsi="Arial" w:cs="Arial"/>
          <w:sz w:val="24"/>
          <w:szCs w:val="24"/>
        </w:rPr>
        <w:t>, direct</w:t>
      </w:r>
      <w:r w:rsidR="00060E00">
        <w:rPr>
          <w:rFonts w:ascii="Arial" w:hAnsi="Arial" w:cs="Arial"/>
          <w:sz w:val="24"/>
          <w:szCs w:val="24"/>
        </w:rPr>
        <w:t xml:space="preserve"> load control, smart thermostats, distributed solar generation and other forms of on-site </w:t>
      </w:r>
      <w:r w:rsidR="00060E00">
        <w:rPr>
          <w:rFonts w:ascii="Arial" w:hAnsi="Arial" w:cs="Arial"/>
          <w:sz w:val="24"/>
          <w:szCs w:val="24"/>
        </w:rPr>
        <w:lastRenderedPageBreak/>
        <w:t>generation, micro-grids, battery storage technology, produc</w:t>
      </w:r>
      <w:r w:rsidR="00857F1D">
        <w:rPr>
          <w:rFonts w:ascii="Arial" w:hAnsi="Arial" w:cs="Arial"/>
          <w:sz w:val="24"/>
          <w:szCs w:val="24"/>
        </w:rPr>
        <w:t>ts bundled with loyalty rewards and</w:t>
      </w:r>
      <w:r w:rsidR="00060E00">
        <w:rPr>
          <w:rFonts w:ascii="Arial" w:hAnsi="Arial" w:cs="Arial"/>
          <w:sz w:val="24"/>
          <w:szCs w:val="24"/>
        </w:rPr>
        <w:t xml:space="preserve"> products bundled with home protection</w:t>
      </w:r>
      <w:r w:rsidR="00DD1AFE">
        <w:rPr>
          <w:rFonts w:ascii="Arial" w:hAnsi="Arial" w:cs="Arial"/>
          <w:sz w:val="24"/>
          <w:szCs w:val="24"/>
        </w:rPr>
        <w:t>,</w:t>
      </w:r>
      <w:r w:rsidR="00060E00">
        <w:rPr>
          <w:rFonts w:ascii="Arial" w:hAnsi="Arial" w:cs="Arial"/>
          <w:sz w:val="24"/>
          <w:szCs w:val="24"/>
        </w:rPr>
        <w:t xml:space="preserve"> </w:t>
      </w:r>
      <w:r w:rsidR="00280866">
        <w:rPr>
          <w:rFonts w:ascii="Arial" w:hAnsi="Arial" w:cs="Arial"/>
          <w:sz w:val="24"/>
          <w:szCs w:val="24"/>
        </w:rPr>
        <w:t xml:space="preserve">to name a few. These </w:t>
      </w:r>
      <w:r w:rsidR="00E80C15">
        <w:rPr>
          <w:rFonts w:ascii="Arial" w:hAnsi="Arial" w:cs="Arial"/>
          <w:sz w:val="24"/>
          <w:szCs w:val="24"/>
        </w:rPr>
        <w:t>value added</w:t>
      </w:r>
      <w:r w:rsidR="00280866">
        <w:rPr>
          <w:rFonts w:ascii="Arial" w:hAnsi="Arial" w:cs="Arial"/>
          <w:sz w:val="24"/>
          <w:szCs w:val="24"/>
        </w:rPr>
        <w:t xml:space="preserve"> products and services not only add value to customers, but also many of these products enable customers to use electricity more efficiently</w:t>
      </w:r>
      <w:r w:rsidR="002515F4">
        <w:rPr>
          <w:rFonts w:ascii="Arial" w:hAnsi="Arial" w:cs="Arial"/>
          <w:sz w:val="24"/>
          <w:szCs w:val="24"/>
        </w:rPr>
        <w:t>, reduce customer’s energy costs</w:t>
      </w:r>
      <w:r w:rsidR="00280866">
        <w:rPr>
          <w:rFonts w:ascii="Arial" w:hAnsi="Arial" w:cs="Arial"/>
          <w:sz w:val="24"/>
          <w:szCs w:val="24"/>
        </w:rPr>
        <w:t xml:space="preserve"> and enhance electric reliability on the grid.</w:t>
      </w:r>
    </w:p>
    <w:p w14:paraId="74114D2E" w14:textId="5ECA6AD8" w:rsidR="007F043F" w:rsidRDefault="007F043F" w:rsidP="007F043F">
      <w:pPr>
        <w:spacing w:line="480" w:lineRule="auto"/>
        <w:ind w:left="720" w:hanging="720"/>
        <w:jc w:val="both"/>
        <w:rPr>
          <w:rFonts w:ascii="Arial" w:hAnsi="Arial" w:cs="Arial"/>
          <w:b/>
          <w:sz w:val="24"/>
          <w:szCs w:val="24"/>
        </w:rPr>
      </w:pPr>
      <w:r w:rsidRPr="00020388">
        <w:rPr>
          <w:rFonts w:ascii="Arial" w:hAnsi="Arial" w:cs="Arial"/>
          <w:b/>
          <w:sz w:val="24"/>
          <w:szCs w:val="24"/>
        </w:rPr>
        <w:t>Q.</w:t>
      </w:r>
      <w:r w:rsidRPr="00020388">
        <w:rPr>
          <w:rFonts w:ascii="Arial" w:hAnsi="Arial" w:cs="Arial"/>
          <w:b/>
          <w:sz w:val="24"/>
          <w:szCs w:val="24"/>
        </w:rPr>
        <w:tab/>
        <w:t>Is Duke’s proposal to prohibi</w:t>
      </w:r>
      <w:r w:rsidR="0021723C">
        <w:rPr>
          <w:rFonts w:ascii="Arial" w:hAnsi="Arial" w:cs="Arial"/>
          <w:b/>
          <w:sz w:val="24"/>
          <w:szCs w:val="24"/>
        </w:rPr>
        <w:t>t billing for CRES non-electric</w:t>
      </w:r>
      <w:r w:rsidRPr="00020388">
        <w:rPr>
          <w:rFonts w:ascii="Arial" w:hAnsi="Arial" w:cs="Arial"/>
          <w:b/>
          <w:sz w:val="24"/>
          <w:szCs w:val="24"/>
        </w:rPr>
        <w:t xml:space="preserve"> products reasonable?</w:t>
      </w:r>
    </w:p>
    <w:p w14:paraId="1A34BFC7" w14:textId="17C0D49D" w:rsidR="00280866" w:rsidRDefault="00280866" w:rsidP="007F043F">
      <w:pPr>
        <w:spacing w:line="480" w:lineRule="auto"/>
        <w:ind w:left="720" w:hanging="720"/>
        <w:jc w:val="both"/>
        <w:rPr>
          <w:rFonts w:ascii="Arial" w:hAnsi="Arial" w:cs="Arial"/>
          <w:sz w:val="24"/>
          <w:szCs w:val="24"/>
        </w:rPr>
      </w:pPr>
      <w:r w:rsidRPr="00280866">
        <w:rPr>
          <w:rFonts w:ascii="Arial" w:hAnsi="Arial" w:cs="Arial"/>
          <w:sz w:val="24"/>
          <w:szCs w:val="24"/>
        </w:rPr>
        <w:t>A.</w:t>
      </w:r>
      <w:r w:rsidRPr="00280866">
        <w:rPr>
          <w:rFonts w:ascii="Arial" w:hAnsi="Arial" w:cs="Arial"/>
          <w:sz w:val="24"/>
          <w:szCs w:val="24"/>
        </w:rPr>
        <w:tab/>
      </w:r>
      <w:r>
        <w:rPr>
          <w:rFonts w:ascii="Arial" w:hAnsi="Arial" w:cs="Arial"/>
          <w:sz w:val="24"/>
          <w:szCs w:val="24"/>
        </w:rPr>
        <w:t xml:space="preserve">No.  The markets that </w:t>
      </w:r>
      <w:r w:rsidR="00B7508E">
        <w:rPr>
          <w:rFonts w:ascii="Arial" w:hAnsi="Arial" w:cs="Arial"/>
          <w:sz w:val="24"/>
          <w:szCs w:val="24"/>
        </w:rPr>
        <w:t>enable CRES suppliers</w:t>
      </w:r>
      <w:r>
        <w:rPr>
          <w:rFonts w:ascii="Arial" w:hAnsi="Arial" w:cs="Arial"/>
          <w:sz w:val="24"/>
          <w:szCs w:val="24"/>
        </w:rPr>
        <w:t xml:space="preserve"> </w:t>
      </w:r>
      <w:r w:rsidR="00B7508E">
        <w:rPr>
          <w:rFonts w:ascii="Arial" w:hAnsi="Arial" w:cs="Arial"/>
          <w:sz w:val="24"/>
          <w:szCs w:val="24"/>
        </w:rPr>
        <w:t xml:space="preserve">to offer value added products and services are the markets </w:t>
      </w:r>
      <w:r>
        <w:rPr>
          <w:rFonts w:ascii="Arial" w:hAnsi="Arial" w:cs="Arial"/>
          <w:sz w:val="24"/>
          <w:szCs w:val="24"/>
        </w:rPr>
        <w:t>most likely to see a proliferation</w:t>
      </w:r>
      <w:r w:rsidR="00B7508E">
        <w:rPr>
          <w:rFonts w:ascii="Arial" w:hAnsi="Arial" w:cs="Arial"/>
          <w:sz w:val="24"/>
          <w:szCs w:val="24"/>
        </w:rPr>
        <w:t xml:space="preserve"> of</w:t>
      </w:r>
      <w:r>
        <w:rPr>
          <w:rFonts w:ascii="Arial" w:hAnsi="Arial" w:cs="Arial"/>
          <w:sz w:val="24"/>
          <w:szCs w:val="24"/>
        </w:rPr>
        <w:t xml:space="preserve"> these products and services to customers.  Duke’s proposal would </w:t>
      </w:r>
      <w:r w:rsidR="00282AEE">
        <w:rPr>
          <w:rFonts w:ascii="Arial" w:hAnsi="Arial" w:cs="Arial"/>
          <w:sz w:val="24"/>
          <w:szCs w:val="24"/>
        </w:rPr>
        <w:t>limit</w:t>
      </w:r>
      <w:r>
        <w:rPr>
          <w:rFonts w:ascii="Arial" w:hAnsi="Arial" w:cs="Arial"/>
          <w:sz w:val="24"/>
          <w:szCs w:val="24"/>
        </w:rPr>
        <w:t xml:space="preserve"> CRES supplier</w:t>
      </w:r>
      <w:r w:rsidR="00BF70C6">
        <w:rPr>
          <w:rFonts w:ascii="Arial" w:hAnsi="Arial" w:cs="Arial"/>
          <w:sz w:val="24"/>
          <w:szCs w:val="24"/>
        </w:rPr>
        <w:t>s</w:t>
      </w:r>
      <w:r w:rsidR="00DD0A3E">
        <w:rPr>
          <w:rFonts w:ascii="Arial" w:hAnsi="Arial" w:cs="Arial"/>
          <w:sz w:val="24"/>
          <w:szCs w:val="24"/>
        </w:rPr>
        <w:t>’ ability to offer</w:t>
      </w:r>
      <w:r>
        <w:rPr>
          <w:rFonts w:ascii="Arial" w:hAnsi="Arial" w:cs="Arial"/>
          <w:sz w:val="24"/>
          <w:szCs w:val="24"/>
        </w:rPr>
        <w:t xml:space="preserve"> value added products and service to customers</w:t>
      </w:r>
      <w:r w:rsidR="00EA6440">
        <w:rPr>
          <w:rFonts w:ascii="Arial" w:hAnsi="Arial" w:cs="Arial"/>
          <w:sz w:val="24"/>
          <w:szCs w:val="24"/>
        </w:rPr>
        <w:t>.</w:t>
      </w:r>
      <w:r>
        <w:rPr>
          <w:rFonts w:ascii="Arial" w:hAnsi="Arial" w:cs="Arial"/>
          <w:sz w:val="24"/>
          <w:szCs w:val="24"/>
        </w:rPr>
        <w:t xml:space="preserve"> </w:t>
      </w:r>
      <w:r w:rsidR="00EA6440">
        <w:rPr>
          <w:rFonts w:ascii="Arial" w:hAnsi="Arial" w:cs="Arial"/>
          <w:sz w:val="24"/>
          <w:szCs w:val="24"/>
        </w:rPr>
        <w:t>Thus</w:t>
      </w:r>
      <w:r w:rsidR="00E0102F">
        <w:rPr>
          <w:rFonts w:ascii="Arial" w:hAnsi="Arial" w:cs="Arial"/>
          <w:sz w:val="24"/>
          <w:szCs w:val="24"/>
        </w:rPr>
        <w:t>,</w:t>
      </w:r>
      <w:r w:rsidR="00EA6440">
        <w:rPr>
          <w:rFonts w:ascii="Arial" w:hAnsi="Arial" w:cs="Arial"/>
          <w:sz w:val="24"/>
          <w:szCs w:val="24"/>
        </w:rPr>
        <w:t xml:space="preserve"> Duke’s proposal</w:t>
      </w:r>
      <w:r>
        <w:rPr>
          <w:rFonts w:ascii="Arial" w:hAnsi="Arial" w:cs="Arial"/>
          <w:sz w:val="24"/>
          <w:szCs w:val="24"/>
        </w:rPr>
        <w:t xml:space="preserve"> would be a </w:t>
      </w:r>
      <w:r w:rsidR="00C914CA">
        <w:rPr>
          <w:rFonts w:ascii="Arial" w:hAnsi="Arial" w:cs="Arial"/>
          <w:sz w:val="24"/>
          <w:szCs w:val="24"/>
        </w:rPr>
        <w:t xml:space="preserve">regressive </w:t>
      </w:r>
      <w:r>
        <w:rPr>
          <w:rFonts w:ascii="Arial" w:hAnsi="Arial" w:cs="Arial"/>
          <w:sz w:val="24"/>
          <w:szCs w:val="24"/>
        </w:rPr>
        <w:t>step backwards for customers and competition</w:t>
      </w:r>
      <w:r w:rsidR="00FC5170">
        <w:rPr>
          <w:rFonts w:ascii="Arial" w:hAnsi="Arial" w:cs="Arial"/>
          <w:sz w:val="24"/>
          <w:szCs w:val="24"/>
        </w:rPr>
        <w:t>.</w:t>
      </w:r>
    </w:p>
    <w:p w14:paraId="23BC1F4F" w14:textId="012F64AB" w:rsidR="00FC5170" w:rsidRPr="00FC5170" w:rsidRDefault="00FC5170" w:rsidP="007F043F">
      <w:pPr>
        <w:spacing w:line="480" w:lineRule="auto"/>
        <w:ind w:left="720" w:hanging="720"/>
        <w:jc w:val="both"/>
        <w:rPr>
          <w:rFonts w:ascii="Arial" w:hAnsi="Arial" w:cs="Arial"/>
          <w:b/>
          <w:sz w:val="24"/>
          <w:szCs w:val="24"/>
        </w:rPr>
      </w:pPr>
      <w:r w:rsidRPr="00FC5170">
        <w:rPr>
          <w:rFonts w:ascii="Arial" w:hAnsi="Arial" w:cs="Arial"/>
          <w:b/>
          <w:sz w:val="24"/>
          <w:szCs w:val="24"/>
        </w:rPr>
        <w:t>Q.</w:t>
      </w:r>
      <w:r w:rsidRPr="00FC5170">
        <w:rPr>
          <w:rFonts w:ascii="Arial" w:hAnsi="Arial" w:cs="Arial"/>
          <w:b/>
          <w:sz w:val="24"/>
          <w:szCs w:val="24"/>
        </w:rPr>
        <w:tab/>
        <w:t>Why does Duke claim it needs to prohibit CRES suppliers from billing for non-commodity products and services on the EDU bill?</w:t>
      </w:r>
    </w:p>
    <w:p w14:paraId="2D7880D4" w14:textId="5BCB7279" w:rsidR="00FC5170" w:rsidRDefault="00FC5170" w:rsidP="007F043F">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Duke</w:t>
      </w:r>
      <w:r w:rsidR="00DD0A3E">
        <w:rPr>
          <w:rFonts w:ascii="Arial" w:hAnsi="Arial" w:cs="Arial"/>
          <w:sz w:val="24"/>
          <w:szCs w:val="24"/>
        </w:rPr>
        <w:t>’s Witness Jones</w:t>
      </w:r>
      <w:r>
        <w:rPr>
          <w:rFonts w:ascii="Arial" w:hAnsi="Arial" w:cs="Arial"/>
          <w:sz w:val="24"/>
          <w:szCs w:val="24"/>
        </w:rPr>
        <w:t xml:space="preserve"> claims that </w:t>
      </w:r>
      <w:r w:rsidR="00DD0A3E">
        <w:rPr>
          <w:rFonts w:ascii="Arial" w:hAnsi="Arial" w:cs="Arial"/>
          <w:sz w:val="24"/>
          <w:szCs w:val="24"/>
        </w:rPr>
        <w:t>Duke</w:t>
      </w:r>
      <w:r>
        <w:rPr>
          <w:rFonts w:ascii="Arial" w:hAnsi="Arial" w:cs="Arial"/>
          <w:sz w:val="24"/>
          <w:szCs w:val="24"/>
        </w:rPr>
        <w:t xml:space="preserve"> needs to prohibit CRES suppliers from billing for non-commodity charges because Duke does not want CRES suppliers to be able to include those charges in the purchase of receivables program</w:t>
      </w:r>
      <w:r w:rsidR="0088506C">
        <w:rPr>
          <w:rFonts w:ascii="Arial" w:hAnsi="Arial" w:cs="Arial"/>
          <w:sz w:val="24"/>
          <w:szCs w:val="24"/>
        </w:rPr>
        <w:t xml:space="preserve"> (“POR”)</w:t>
      </w:r>
      <w:r>
        <w:rPr>
          <w:rFonts w:ascii="Arial" w:hAnsi="Arial" w:cs="Arial"/>
          <w:sz w:val="24"/>
          <w:szCs w:val="24"/>
        </w:rPr>
        <w:t xml:space="preserve">.  </w:t>
      </w:r>
    </w:p>
    <w:p w14:paraId="20FD270C" w14:textId="3BDE6E1B" w:rsidR="00FC5170" w:rsidRPr="00FC5170" w:rsidRDefault="00282AEE" w:rsidP="007F043F">
      <w:pPr>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t>Is Duke’s rational</w:t>
      </w:r>
      <w:r w:rsidR="00FC5170" w:rsidRPr="00FC5170">
        <w:rPr>
          <w:rFonts w:ascii="Arial" w:hAnsi="Arial" w:cs="Arial"/>
          <w:b/>
          <w:sz w:val="24"/>
          <w:szCs w:val="24"/>
        </w:rPr>
        <w:t xml:space="preserve"> </w:t>
      </w:r>
      <w:r>
        <w:rPr>
          <w:rFonts w:ascii="Arial" w:hAnsi="Arial" w:cs="Arial"/>
          <w:b/>
          <w:sz w:val="24"/>
          <w:szCs w:val="24"/>
        </w:rPr>
        <w:t xml:space="preserve">for prohibiting </w:t>
      </w:r>
      <w:r w:rsidR="00FC5170" w:rsidRPr="00FC5170">
        <w:rPr>
          <w:rFonts w:ascii="Arial" w:hAnsi="Arial" w:cs="Arial"/>
          <w:b/>
          <w:sz w:val="24"/>
          <w:szCs w:val="24"/>
        </w:rPr>
        <w:t>CRES suppliers from billing for non-commodity charges</w:t>
      </w:r>
      <w:r>
        <w:rPr>
          <w:rFonts w:ascii="Arial" w:hAnsi="Arial" w:cs="Arial"/>
          <w:b/>
          <w:sz w:val="24"/>
          <w:szCs w:val="24"/>
        </w:rPr>
        <w:t xml:space="preserve"> reasonable</w:t>
      </w:r>
      <w:r w:rsidR="00FC5170" w:rsidRPr="00FC5170">
        <w:rPr>
          <w:rFonts w:ascii="Arial" w:hAnsi="Arial" w:cs="Arial"/>
          <w:b/>
          <w:sz w:val="24"/>
          <w:szCs w:val="24"/>
        </w:rPr>
        <w:t>?</w:t>
      </w:r>
    </w:p>
    <w:p w14:paraId="0F4604E6" w14:textId="192E6886" w:rsidR="00FC5170" w:rsidRDefault="00FC5170" w:rsidP="007F043F">
      <w:pPr>
        <w:spacing w:line="480" w:lineRule="auto"/>
        <w:ind w:left="720" w:hanging="720"/>
        <w:jc w:val="both"/>
        <w:rPr>
          <w:rFonts w:ascii="Arial" w:hAnsi="Arial" w:cs="Arial"/>
          <w:sz w:val="24"/>
          <w:szCs w:val="24"/>
        </w:rPr>
      </w:pPr>
      <w:r>
        <w:rPr>
          <w:rFonts w:ascii="Arial" w:hAnsi="Arial" w:cs="Arial"/>
          <w:sz w:val="24"/>
          <w:szCs w:val="24"/>
        </w:rPr>
        <w:lastRenderedPageBreak/>
        <w:t>A.</w:t>
      </w:r>
      <w:r>
        <w:rPr>
          <w:rFonts w:ascii="Arial" w:hAnsi="Arial" w:cs="Arial"/>
          <w:sz w:val="24"/>
          <w:szCs w:val="24"/>
        </w:rPr>
        <w:tab/>
        <w:t xml:space="preserve">No. If </w:t>
      </w:r>
      <w:r w:rsidR="00DD0A3E">
        <w:rPr>
          <w:rFonts w:ascii="Arial" w:hAnsi="Arial" w:cs="Arial"/>
          <w:sz w:val="24"/>
          <w:szCs w:val="24"/>
        </w:rPr>
        <w:t>the Commission</w:t>
      </w:r>
      <w:r>
        <w:rPr>
          <w:rFonts w:ascii="Arial" w:hAnsi="Arial" w:cs="Arial"/>
          <w:sz w:val="24"/>
          <w:szCs w:val="24"/>
        </w:rPr>
        <w:t xml:space="preserve"> does not wish</w:t>
      </w:r>
      <w:r w:rsidR="00DD0A3E">
        <w:rPr>
          <w:rFonts w:ascii="Arial" w:hAnsi="Arial" w:cs="Arial"/>
          <w:sz w:val="24"/>
          <w:szCs w:val="24"/>
        </w:rPr>
        <w:t xml:space="preserve"> Duke</w:t>
      </w:r>
      <w:r>
        <w:rPr>
          <w:rFonts w:ascii="Arial" w:hAnsi="Arial" w:cs="Arial"/>
          <w:sz w:val="24"/>
          <w:szCs w:val="24"/>
        </w:rPr>
        <w:t xml:space="preserve"> to include non-</w:t>
      </w:r>
      <w:r w:rsidR="004534AF">
        <w:rPr>
          <w:rFonts w:ascii="Arial" w:hAnsi="Arial" w:cs="Arial"/>
          <w:sz w:val="24"/>
          <w:szCs w:val="24"/>
        </w:rPr>
        <w:t>electric</w:t>
      </w:r>
      <w:r>
        <w:rPr>
          <w:rFonts w:ascii="Arial" w:hAnsi="Arial" w:cs="Arial"/>
          <w:sz w:val="24"/>
          <w:szCs w:val="24"/>
        </w:rPr>
        <w:t xml:space="preserve"> charges in the </w:t>
      </w:r>
      <w:r w:rsidR="0088506C">
        <w:rPr>
          <w:rFonts w:ascii="Arial" w:hAnsi="Arial" w:cs="Arial"/>
          <w:sz w:val="24"/>
          <w:szCs w:val="24"/>
        </w:rPr>
        <w:t xml:space="preserve">POR </w:t>
      </w:r>
      <w:r>
        <w:rPr>
          <w:rFonts w:ascii="Arial" w:hAnsi="Arial" w:cs="Arial"/>
          <w:sz w:val="24"/>
          <w:szCs w:val="24"/>
        </w:rPr>
        <w:t>program</w:t>
      </w:r>
      <w:r w:rsidR="008723F2">
        <w:rPr>
          <w:rFonts w:ascii="Arial" w:hAnsi="Arial" w:cs="Arial"/>
          <w:sz w:val="24"/>
          <w:szCs w:val="24"/>
        </w:rPr>
        <w:t>,</w:t>
      </w:r>
      <w:r>
        <w:rPr>
          <w:rFonts w:ascii="Arial" w:hAnsi="Arial" w:cs="Arial"/>
          <w:sz w:val="24"/>
          <w:szCs w:val="24"/>
        </w:rPr>
        <w:t xml:space="preserve"> it could simply </w:t>
      </w:r>
      <w:r w:rsidR="00CD6611">
        <w:rPr>
          <w:rFonts w:ascii="Arial" w:hAnsi="Arial" w:cs="Arial"/>
          <w:sz w:val="24"/>
          <w:szCs w:val="24"/>
        </w:rPr>
        <w:t>o</w:t>
      </w:r>
      <w:r w:rsidR="00DD0A3E">
        <w:rPr>
          <w:rFonts w:ascii="Arial" w:hAnsi="Arial" w:cs="Arial"/>
          <w:sz w:val="24"/>
          <w:szCs w:val="24"/>
        </w:rPr>
        <w:t>rder Duke to file a modified tariff that</w:t>
      </w:r>
      <w:r>
        <w:rPr>
          <w:rFonts w:ascii="Arial" w:hAnsi="Arial" w:cs="Arial"/>
          <w:sz w:val="24"/>
          <w:szCs w:val="24"/>
        </w:rPr>
        <w:t xml:space="preserve"> exclude</w:t>
      </w:r>
      <w:r w:rsidR="00DD0A3E">
        <w:rPr>
          <w:rFonts w:ascii="Arial" w:hAnsi="Arial" w:cs="Arial"/>
          <w:sz w:val="24"/>
          <w:szCs w:val="24"/>
        </w:rPr>
        <w:t>s</w:t>
      </w:r>
      <w:r>
        <w:rPr>
          <w:rFonts w:ascii="Arial" w:hAnsi="Arial" w:cs="Arial"/>
          <w:sz w:val="24"/>
          <w:szCs w:val="24"/>
        </w:rPr>
        <w:t xml:space="preserve"> non-</w:t>
      </w:r>
      <w:r w:rsidR="00DD0A3E">
        <w:rPr>
          <w:rFonts w:ascii="Arial" w:hAnsi="Arial" w:cs="Arial"/>
          <w:sz w:val="24"/>
          <w:szCs w:val="24"/>
        </w:rPr>
        <w:t>electric</w:t>
      </w:r>
      <w:r>
        <w:rPr>
          <w:rFonts w:ascii="Arial" w:hAnsi="Arial" w:cs="Arial"/>
          <w:sz w:val="24"/>
          <w:szCs w:val="24"/>
        </w:rPr>
        <w:t xml:space="preserve"> charges from its </w:t>
      </w:r>
      <w:r w:rsidR="0088506C">
        <w:rPr>
          <w:rFonts w:ascii="Arial" w:hAnsi="Arial" w:cs="Arial"/>
          <w:sz w:val="24"/>
          <w:szCs w:val="24"/>
        </w:rPr>
        <w:t>POR</w:t>
      </w:r>
      <w:r w:rsidR="008723F2">
        <w:rPr>
          <w:rFonts w:ascii="Arial" w:hAnsi="Arial" w:cs="Arial"/>
          <w:sz w:val="24"/>
          <w:szCs w:val="24"/>
        </w:rPr>
        <w:t xml:space="preserve"> program</w:t>
      </w:r>
      <w:r>
        <w:rPr>
          <w:rFonts w:ascii="Arial" w:hAnsi="Arial" w:cs="Arial"/>
          <w:sz w:val="24"/>
          <w:szCs w:val="24"/>
        </w:rPr>
        <w:t xml:space="preserve"> but still allow CRES </w:t>
      </w:r>
      <w:r w:rsidR="00DD0A3E">
        <w:rPr>
          <w:rFonts w:ascii="Arial" w:hAnsi="Arial" w:cs="Arial"/>
          <w:sz w:val="24"/>
          <w:szCs w:val="24"/>
        </w:rPr>
        <w:t xml:space="preserve">suppliers </w:t>
      </w:r>
      <w:r>
        <w:rPr>
          <w:rFonts w:ascii="Arial" w:hAnsi="Arial" w:cs="Arial"/>
          <w:sz w:val="24"/>
          <w:szCs w:val="24"/>
        </w:rPr>
        <w:t>to bill for non-</w:t>
      </w:r>
      <w:r w:rsidR="004534AF">
        <w:rPr>
          <w:rFonts w:ascii="Arial" w:hAnsi="Arial" w:cs="Arial"/>
          <w:sz w:val="24"/>
          <w:szCs w:val="24"/>
        </w:rPr>
        <w:t>electric</w:t>
      </w:r>
      <w:r>
        <w:rPr>
          <w:rFonts w:ascii="Arial" w:hAnsi="Arial" w:cs="Arial"/>
          <w:sz w:val="24"/>
          <w:szCs w:val="24"/>
        </w:rPr>
        <w:t xml:space="preserve"> charges.</w:t>
      </w:r>
    </w:p>
    <w:p w14:paraId="4465726D" w14:textId="29FA7D38" w:rsidR="0088506C" w:rsidRPr="0088506C" w:rsidRDefault="0088506C" w:rsidP="007F043F">
      <w:pPr>
        <w:spacing w:line="480" w:lineRule="auto"/>
        <w:ind w:left="720" w:hanging="720"/>
        <w:jc w:val="both"/>
        <w:rPr>
          <w:rFonts w:ascii="Arial" w:hAnsi="Arial" w:cs="Arial"/>
          <w:b/>
          <w:sz w:val="24"/>
          <w:szCs w:val="24"/>
        </w:rPr>
      </w:pPr>
      <w:r w:rsidRPr="0088506C">
        <w:rPr>
          <w:rFonts w:ascii="Arial" w:hAnsi="Arial" w:cs="Arial"/>
          <w:b/>
          <w:sz w:val="24"/>
          <w:szCs w:val="24"/>
        </w:rPr>
        <w:t>Q.</w:t>
      </w:r>
      <w:r w:rsidRPr="0088506C">
        <w:rPr>
          <w:rFonts w:ascii="Arial" w:hAnsi="Arial" w:cs="Arial"/>
          <w:b/>
          <w:sz w:val="24"/>
          <w:szCs w:val="24"/>
        </w:rPr>
        <w:tab/>
        <w:t>Does Duke currently bill for non-</w:t>
      </w:r>
      <w:r w:rsidR="0021723C">
        <w:rPr>
          <w:rFonts w:ascii="Arial" w:hAnsi="Arial" w:cs="Arial"/>
          <w:b/>
          <w:sz w:val="24"/>
          <w:szCs w:val="24"/>
        </w:rPr>
        <w:t xml:space="preserve">electric </w:t>
      </w:r>
      <w:r w:rsidRPr="0088506C">
        <w:rPr>
          <w:rFonts w:ascii="Arial" w:hAnsi="Arial" w:cs="Arial"/>
          <w:b/>
          <w:sz w:val="24"/>
          <w:szCs w:val="24"/>
        </w:rPr>
        <w:t>products and services?</w:t>
      </w:r>
    </w:p>
    <w:p w14:paraId="464B4DAE" w14:textId="3A1BF914" w:rsidR="0088506C" w:rsidRPr="00BF70C6" w:rsidRDefault="0088506C" w:rsidP="007F043F">
      <w:pPr>
        <w:spacing w:line="480" w:lineRule="auto"/>
        <w:ind w:left="720" w:hanging="720"/>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t xml:space="preserve">Yes. </w:t>
      </w:r>
      <w:r w:rsidR="00E0102F">
        <w:rPr>
          <w:rFonts w:ascii="Arial" w:hAnsi="Arial" w:cs="Arial"/>
          <w:sz w:val="24"/>
          <w:szCs w:val="24"/>
        </w:rPr>
        <w:t>I am aware of</w:t>
      </w:r>
      <w:r w:rsidRPr="00FA3665">
        <w:rPr>
          <w:rFonts w:ascii="Arial" w:hAnsi="Arial" w:cs="Arial"/>
          <w:sz w:val="24"/>
          <w:szCs w:val="24"/>
        </w:rPr>
        <w:t xml:space="preserve"> two unregulated non-</w:t>
      </w:r>
      <w:r w:rsidR="003437BD">
        <w:rPr>
          <w:rFonts w:ascii="Arial" w:hAnsi="Arial" w:cs="Arial"/>
          <w:sz w:val="24"/>
          <w:szCs w:val="24"/>
        </w:rPr>
        <w:t xml:space="preserve">electric </w:t>
      </w:r>
      <w:r w:rsidR="00E0102F">
        <w:rPr>
          <w:rFonts w:ascii="Arial" w:hAnsi="Arial" w:cs="Arial"/>
          <w:sz w:val="24"/>
          <w:szCs w:val="24"/>
        </w:rPr>
        <w:t>prod</w:t>
      </w:r>
      <w:r w:rsidR="003437BD">
        <w:rPr>
          <w:rFonts w:ascii="Arial" w:hAnsi="Arial" w:cs="Arial"/>
          <w:sz w:val="24"/>
          <w:szCs w:val="24"/>
        </w:rPr>
        <w:t>ucts</w:t>
      </w:r>
      <w:r w:rsidR="00C15B9D">
        <w:rPr>
          <w:rFonts w:ascii="Arial" w:hAnsi="Arial" w:cs="Arial"/>
          <w:sz w:val="24"/>
          <w:szCs w:val="24"/>
        </w:rPr>
        <w:t xml:space="preserve"> offer</w:t>
      </w:r>
      <w:r w:rsidR="008723F2">
        <w:rPr>
          <w:rFonts w:ascii="Arial" w:hAnsi="Arial" w:cs="Arial"/>
          <w:sz w:val="24"/>
          <w:szCs w:val="24"/>
        </w:rPr>
        <w:t>ed</w:t>
      </w:r>
      <w:r w:rsidR="00C15B9D">
        <w:rPr>
          <w:rFonts w:ascii="Arial" w:hAnsi="Arial" w:cs="Arial"/>
          <w:sz w:val="24"/>
          <w:szCs w:val="24"/>
        </w:rPr>
        <w:t xml:space="preserve"> through Duke’s affiliate</w:t>
      </w:r>
      <w:r w:rsidR="003437BD">
        <w:rPr>
          <w:rFonts w:ascii="Arial" w:hAnsi="Arial" w:cs="Arial"/>
          <w:sz w:val="24"/>
          <w:szCs w:val="24"/>
        </w:rPr>
        <w:t xml:space="preserve"> that Duke currently places on </w:t>
      </w:r>
      <w:r w:rsidR="00CA0AFC">
        <w:rPr>
          <w:rFonts w:ascii="Arial" w:hAnsi="Arial" w:cs="Arial"/>
          <w:sz w:val="24"/>
          <w:szCs w:val="24"/>
        </w:rPr>
        <w:t xml:space="preserve">the </w:t>
      </w:r>
      <w:r w:rsidR="00E0102F">
        <w:rPr>
          <w:rFonts w:ascii="Arial" w:hAnsi="Arial" w:cs="Arial"/>
          <w:sz w:val="24"/>
          <w:szCs w:val="24"/>
        </w:rPr>
        <w:t>utility bill</w:t>
      </w:r>
      <w:r w:rsidRPr="00FA3665">
        <w:rPr>
          <w:rFonts w:ascii="Arial" w:hAnsi="Arial" w:cs="Arial"/>
          <w:sz w:val="24"/>
          <w:szCs w:val="24"/>
        </w:rPr>
        <w:t>.  Those products are StrikeStop service and Underground Protection service.  StrikeStop service is</w:t>
      </w:r>
      <w:r>
        <w:rPr>
          <w:rFonts w:ascii="Arial" w:hAnsi="Arial" w:cs="Arial"/>
          <w:sz w:val="24"/>
          <w:szCs w:val="24"/>
        </w:rPr>
        <w:t xml:space="preserve"> an insurance</w:t>
      </w:r>
      <w:r w:rsidRPr="00FA3665">
        <w:rPr>
          <w:rFonts w:ascii="Arial" w:hAnsi="Arial" w:cs="Arial"/>
          <w:sz w:val="24"/>
          <w:szCs w:val="24"/>
        </w:rPr>
        <w:t xml:space="preserve"> service that </w:t>
      </w:r>
      <w:r>
        <w:rPr>
          <w:rFonts w:ascii="Arial" w:hAnsi="Arial" w:cs="Arial"/>
          <w:sz w:val="24"/>
          <w:szCs w:val="24"/>
        </w:rPr>
        <w:t>provides coverage for</w:t>
      </w:r>
      <w:r w:rsidRPr="00FA3665">
        <w:rPr>
          <w:rFonts w:ascii="Arial" w:hAnsi="Arial" w:cs="Arial"/>
          <w:sz w:val="24"/>
          <w:szCs w:val="24"/>
        </w:rPr>
        <w:t xml:space="preserve"> damage</w:t>
      </w:r>
      <w:r>
        <w:rPr>
          <w:rFonts w:ascii="Arial" w:hAnsi="Arial" w:cs="Arial"/>
          <w:sz w:val="24"/>
          <w:szCs w:val="24"/>
        </w:rPr>
        <w:t xml:space="preserve"> caused</w:t>
      </w:r>
      <w:r w:rsidRPr="00FA3665">
        <w:rPr>
          <w:rFonts w:ascii="Arial" w:hAnsi="Arial" w:cs="Arial"/>
          <w:sz w:val="24"/>
          <w:szCs w:val="24"/>
        </w:rPr>
        <w:t xml:space="preserve"> to the customer</w:t>
      </w:r>
      <w:r w:rsidR="00E0102F">
        <w:rPr>
          <w:rFonts w:ascii="Arial" w:hAnsi="Arial" w:cs="Arial"/>
          <w:sz w:val="24"/>
          <w:szCs w:val="24"/>
        </w:rPr>
        <w:t>’</w:t>
      </w:r>
      <w:r w:rsidRPr="00FA3665">
        <w:rPr>
          <w:rFonts w:ascii="Arial" w:hAnsi="Arial" w:cs="Arial"/>
          <w:sz w:val="24"/>
          <w:szCs w:val="24"/>
        </w:rPr>
        <w:t>s home</w:t>
      </w:r>
      <w:r>
        <w:rPr>
          <w:rFonts w:ascii="Arial" w:hAnsi="Arial" w:cs="Arial"/>
          <w:sz w:val="24"/>
          <w:szCs w:val="24"/>
        </w:rPr>
        <w:t xml:space="preserve"> from electric surges</w:t>
      </w:r>
      <w:r w:rsidRPr="00FA3665">
        <w:rPr>
          <w:rFonts w:ascii="Arial" w:hAnsi="Arial" w:cs="Arial"/>
          <w:sz w:val="24"/>
          <w:szCs w:val="24"/>
        </w:rPr>
        <w:t xml:space="preserve">.  Underground Protection service is an insurance service </w:t>
      </w:r>
      <w:r>
        <w:rPr>
          <w:rFonts w:ascii="Arial" w:hAnsi="Arial" w:cs="Arial"/>
          <w:sz w:val="24"/>
          <w:szCs w:val="24"/>
        </w:rPr>
        <w:t xml:space="preserve">that covers damage to </w:t>
      </w:r>
      <w:r w:rsidR="008723F2">
        <w:rPr>
          <w:rFonts w:ascii="Arial" w:hAnsi="Arial" w:cs="Arial"/>
          <w:sz w:val="24"/>
          <w:szCs w:val="24"/>
        </w:rPr>
        <w:t xml:space="preserve">the </w:t>
      </w:r>
      <w:r>
        <w:rPr>
          <w:rFonts w:ascii="Arial" w:hAnsi="Arial" w:cs="Arial"/>
          <w:sz w:val="24"/>
          <w:szCs w:val="24"/>
        </w:rPr>
        <w:t>customer</w:t>
      </w:r>
      <w:r w:rsidR="00DD1AFE">
        <w:rPr>
          <w:rFonts w:ascii="Arial" w:hAnsi="Arial" w:cs="Arial"/>
          <w:sz w:val="24"/>
          <w:szCs w:val="24"/>
        </w:rPr>
        <w:t>’</w:t>
      </w:r>
      <w:r>
        <w:rPr>
          <w:rFonts w:ascii="Arial" w:hAnsi="Arial" w:cs="Arial"/>
          <w:sz w:val="24"/>
          <w:szCs w:val="24"/>
        </w:rPr>
        <w:t>s underground electric lines. Duke advertises the</w:t>
      </w:r>
      <w:r w:rsidR="00EA6440">
        <w:rPr>
          <w:rFonts w:ascii="Arial" w:hAnsi="Arial" w:cs="Arial"/>
          <w:sz w:val="24"/>
          <w:szCs w:val="24"/>
        </w:rPr>
        <w:t>se</w:t>
      </w:r>
      <w:r>
        <w:rPr>
          <w:rFonts w:ascii="Arial" w:hAnsi="Arial" w:cs="Arial"/>
          <w:sz w:val="24"/>
          <w:szCs w:val="24"/>
        </w:rPr>
        <w:t xml:space="preserve"> services on its website and advertises that these services are billed on the utility bill.</w:t>
      </w:r>
      <w:r w:rsidR="00165074">
        <w:rPr>
          <w:rStyle w:val="FootnoteReference"/>
          <w:rFonts w:ascii="Arial" w:hAnsi="Arial" w:cs="Arial"/>
          <w:sz w:val="24"/>
          <w:szCs w:val="24"/>
        </w:rPr>
        <w:footnoteReference w:id="1"/>
      </w:r>
      <w:r w:rsidR="00BF70C6">
        <w:rPr>
          <w:rFonts w:ascii="Arial" w:hAnsi="Arial" w:cs="Arial"/>
          <w:sz w:val="24"/>
          <w:szCs w:val="24"/>
        </w:rPr>
        <w:t xml:space="preserve">  </w:t>
      </w:r>
    </w:p>
    <w:p w14:paraId="6B273FA8" w14:textId="1E1A957C" w:rsidR="00AB46BB" w:rsidRDefault="00AB46BB" w:rsidP="007F043F">
      <w:pPr>
        <w:spacing w:line="480" w:lineRule="auto"/>
        <w:ind w:left="720" w:hanging="720"/>
        <w:jc w:val="both"/>
        <w:rPr>
          <w:rFonts w:ascii="Arial" w:hAnsi="Arial" w:cs="Arial"/>
          <w:b/>
          <w:sz w:val="24"/>
          <w:szCs w:val="24"/>
        </w:rPr>
      </w:pPr>
      <w:r w:rsidRPr="00AB46BB">
        <w:rPr>
          <w:rFonts w:ascii="Arial" w:hAnsi="Arial" w:cs="Arial"/>
          <w:b/>
          <w:sz w:val="24"/>
          <w:szCs w:val="24"/>
        </w:rPr>
        <w:t>Q.</w:t>
      </w:r>
      <w:r w:rsidRPr="00AB46BB">
        <w:rPr>
          <w:rFonts w:ascii="Arial" w:hAnsi="Arial" w:cs="Arial"/>
          <w:b/>
          <w:sz w:val="24"/>
          <w:szCs w:val="24"/>
        </w:rPr>
        <w:tab/>
      </w:r>
      <w:r w:rsidR="0021723C">
        <w:rPr>
          <w:rFonts w:ascii="Arial" w:hAnsi="Arial" w:cs="Arial"/>
          <w:b/>
          <w:sz w:val="24"/>
          <w:szCs w:val="24"/>
        </w:rPr>
        <w:t>Who is</w:t>
      </w:r>
      <w:r w:rsidRPr="00AB46BB">
        <w:rPr>
          <w:rFonts w:ascii="Arial" w:hAnsi="Arial" w:cs="Arial"/>
          <w:b/>
          <w:sz w:val="24"/>
          <w:szCs w:val="24"/>
        </w:rPr>
        <w:t xml:space="preserve"> the provider of StrikeStop and Underground protection?</w:t>
      </w:r>
    </w:p>
    <w:p w14:paraId="3F4ACD05" w14:textId="73CC0764" w:rsidR="00AB46BB" w:rsidRPr="00AB46BB" w:rsidRDefault="00AB46BB" w:rsidP="007F043F">
      <w:pPr>
        <w:spacing w:line="480" w:lineRule="auto"/>
        <w:ind w:left="720" w:hanging="720"/>
        <w:jc w:val="both"/>
        <w:rPr>
          <w:rFonts w:ascii="Arial" w:hAnsi="Arial" w:cs="Arial"/>
          <w:sz w:val="24"/>
          <w:szCs w:val="24"/>
        </w:rPr>
      </w:pPr>
      <w:r w:rsidRPr="00AB46BB">
        <w:rPr>
          <w:rFonts w:ascii="Arial" w:hAnsi="Arial" w:cs="Arial"/>
          <w:sz w:val="24"/>
          <w:szCs w:val="24"/>
        </w:rPr>
        <w:t>A.</w:t>
      </w:r>
      <w:r w:rsidRPr="00AB46BB">
        <w:rPr>
          <w:rFonts w:ascii="Arial" w:hAnsi="Arial" w:cs="Arial"/>
          <w:sz w:val="24"/>
          <w:szCs w:val="24"/>
        </w:rPr>
        <w:tab/>
      </w:r>
      <w:r>
        <w:rPr>
          <w:rFonts w:ascii="Arial" w:hAnsi="Arial" w:cs="Arial"/>
          <w:sz w:val="24"/>
          <w:szCs w:val="24"/>
        </w:rPr>
        <w:t xml:space="preserve">Duke’s affiliate Duke Energy One, Inc. (“Duke Energy One”) is the provider of StrikeStop and </w:t>
      </w:r>
      <w:r w:rsidR="0021723C">
        <w:rPr>
          <w:rFonts w:ascii="Arial" w:hAnsi="Arial" w:cs="Arial"/>
          <w:sz w:val="24"/>
          <w:szCs w:val="24"/>
        </w:rPr>
        <w:t xml:space="preserve">Underground Protection service.  The Terms of Sale linked to Duke’s website indicate that Duke Energy One is the provider of StrikeStop and Underground Protection.  Attached as </w:t>
      </w:r>
      <w:r w:rsidR="0021723C" w:rsidRPr="00165074">
        <w:rPr>
          <w:rFonts w:ascii="Arial" w:hAnsi="Arial" w:cs="Arial"/>
          <w:sz w:val="24"/>
          <w:szCs w:val="24"/>
        </w:rPr>
        <w:t>Exhibit (</w:t>
      </w:r>
      <w:r w:rsidR="005B3669">
        <w:rPr>
          <w:rFonts w:ascii="Arial" w:hAnsi="Arial" w:cs="Arial"/>
          <w:sz w:val="24"/>
          <w:szCs w:val="24"/>
        </w:rPr>
        <w:t>MW-</w:t>
      </w:r>
      <w:r w:rsidR="00165074" w:rsidRPr="00165074">
        <w:rPr>
          <w:rFonts w:ascii="Arial" w:hAnsi="Arial" w:cs="Arial"/>
          <w:sz w:val="24"/>
          <w:szCs w:val="24"/>
        </w:rPr>
        <w:t>1</w:t>
      </w:r>
      <w:r w:rsidR="0021723C" w:rsidRPr="00165074">
        <w:rPr>
          <w:rFonts w:ascii="Arial" w:hAnsi="Arial" w:cs="Arial"/>
          <w:sz w:val="24"/>
          <w:szCs w:val="24"/>
        </w:rPr>
        <w:t>)</w:t>
      </w:r>
      <w:r w:rsidR="0021723C">
        <w:rPr>
          <w:rFonts w:ascii="Arial" w:hAnsi="Arial" w:cs="Arial"/>
          <w:sz w:val="24"/>
          <w:szCs w:val="24"/>
        </w:rPr>
        <w:t xml:space="preserve"> is a copy of StrikeStop Terms of Service.  Also, Duke Exhibit MEH-2 </w:t>
      </w:r>
      <w:r w:rsidR="008723F2">
        <w:rPr>
          <w:rFonts w:ascii="Arial" w:hAnsi="Arial" w:cs="Arial"/>
          <w:sz w:val="24"/>
          <w:szCs w:val="24"/>
        </w:rPr>
        <w:t>on</w:t>
      </w:r>
      <w:r w:rsidR="0021723C">
        <w:rPr>
          <w:rFonts w:ascii="Arial" w:hAnsi="Arial" w:cs="Arial"/>
          <w:sz w:val="24"/>
          <w:szCs w:val="24"/>
        </w:rPr>
        <w:t xml:space="preserve"> page 30 lists Duke Energy One as an affiliated company of Duke.</w:t>
      </w:r>
    </w:p>
    <w:p w14:paraId="6294E64A" w14:textId="72DC4164" w:rsidR="00FC5170" w:rsidRPr="00FC5170" w:rsidRDefault="00FC5170" w:rsidP="007F043F">
      <w:pPr>
        <w:spacing w:line="480" w:lineRule="auto"/>
        <w:ind w:left="720" w:hanging="720"/>
        <w:jc w:val="both"/>
        <w:rPr>
          <w:rFonts w:ascii="Arial" w:hAnsi="Arial" w:cs="Arial"/>
          <w:b/>
          <w:sz w:val="24"/>
          <w:szCs w:val="24"/>
        </w:rPr>
      </w:pPr>
      <w:r w:rsidRPr="00FC5170">
        <w:rPr>
          <w:rFonts w:ascii="Arial" w:hAnsi="Arial" w:cs="Arial"/>
          <w:b/>
          <w:sz w:val="24"/>
          <w:szCs w:val="24"/>
        </w:rPr>
        <w:lastRenderedPageBreak/>
        <w:t>Q.</w:t>
      </w:r>
      <w:r w:rsidRPr="00FC5170">
        <w:rPr>
          <w:rFonts w:ascii="Arial" w:hAnsi="Arial" w:cs="Arial"/>
          <w:b/>
          <w:sz w:val="24"/>
          <w:szCs w:val="24"/>
        </w:rPr>
        <w:tab/>
      </w:r>
      <w:r w:rsidR="002515F4">
        <w:rPr>
          <w:rFonts w:ascii="Arial" w:hAnsi="Arial" w:cs="Arial"/>
          <w:b/>
          <w:sz w:val="24"/>
          <w:szCs w:val="24"/>
        </w:rPr>
        <w:t xml:space="preserve">Does </w:t>
      </w:r>
      <w:r w:rsidR="005909CF">
        <w:rPr>
          <w:rFonts w:ascii="Arial" w:hAnsi="Arial" w:cs="Arial"/>
          <w:b/>
          <w:sz w:val="24"/>
          <w:szCs w:val="24"/>
        </w:rPr>
        <w:t>the fact that Duke already bill</w:t>
      </w:r>
      <w:r w:rsidR="008723F2">
        <w:rPr>
          <w:rFonts w:ascii="Arial" w:hAnsi="Arial" w:cs="Arial"/>
          <w:b/>
          <w:sz w:val="24"/>
          <w:szCs w:val="24"/>
        </w:rPr>
        <w:t>s</w:t>
      </w:r>
      <w:r w:rsidR="002515F4">
        <w:rPr>
          <w:rFonts w:ascii="Arial" w:hAnsi="Arial" w:cs="Arial"/>
          <w:b/>
          <w:sz w:val="24"/>
          <w:szCs w:val="24"/>
        </w:rPr>
        <w:t xml:space="preserve"> for</w:t>
      </w:r>
      <w:r w:rsidRPr="00FC5170">
        <w:rPr>
          <w:rFonts w:ascii="Arial" w:hAnsi="Arial" w:cs="Arial"/>
          <w:b/>
          <w:sz w:val="24"/>
          <w:szCs w:val="24"/>
        </w:rPr>
        <w:t xml:space="preserve"> </w:t>
      </w:r>
      <w:r w:rsidR="00FB1973">
        <w:rPr>
          <w:rFonts w:ascii="Arial" w:hAnsi="Arial" w:cs="Arial"/>
          <w:b/>
          <w:sz w:val="24"/>
          <w:szCs w:val="24"/>
        </w:rPr>
        <w:t xml:space="preserve">unregulated </w:t>
      </w:r>
      <w:r w:rsidRPr="00FC5170">
        <w:rPr>
          <w:rFonts w:ascii="Arial" w:hAnsi="Arial" w:cs="Arial"/>
          <w:b/>
          <w:sz w:val="24"/>
          <w:szCs w:val="24"/>
        </w:rPr>
        <w:t>non-</w:t>
      </w:r>
      <w:r w:rsidR="00FB1973">
        <w:rPr>
          <w:rFonts w:ascii="Arial" w:hAnsi="Arial" w:cs="Arial"/>
          <w:b/>
          <w:sz w:val="24"/>
          <w:szCs w:val="24"/>
        </w:rPr>
        <w:t>electric</w:t>
      </w:r>
      <w:r w:rsidRPr="00FC5170">
        <w:rPr>
          <w:rFonts w:ascii="Arial" w:hAnsi="Arial" w:cs="Arial"/>
          <w:b/>
          <w:sz w:val="24"/>
          <w:szCs w:val="24"/>
        </w:rPr>
        <w:t xml:space="preserve"> charges</w:t>
      </w:r>
      <w:r w:rsidR="002515F4">
        <w:rPr>
          <w:rFonts w:ascii="Arial" w:hAnsi="Arial" w:cs="Arial"/>
          <w:b/>
          <w:sz w:val="24"/>
          <w:szCs w:val="24"/>
        </w:rPr>
        <w:t xml:space="preserve"> on its bill</w:t>
      </w:r>
      <w:r w:rsidR="003437BD">
        <w:rPr>
          <w:rFonts w:ascii="Arial" w:hAnsi="Arial" w:cs="Arial"/>
          <w:b/>
          <w:sz w:val="24"/>
          <w:szCs w:val="24"/>
        </w:rPr>
        <w:t xml:space="preserve"> for an a</w:t>
      </w:r>
      <w:r w:rsidR="0021723C">
        <w:rPr>
          <w:rFonts w:ascii="Arial" w:hAnsi="Arial" w:cs="Arial"/>
          <w:b/>
          <w:sz w:val="24"/>
          <w:szCs w:val="24"/>
        </w:rPr>
        <w:t>ffiliate</w:t>
      </w:r>
      <w:r w:rsidR="002515F4">
        <w:rPr>
          <w:rFonts w:ascii="Arial" w:hAnsi="Arial" w:cs="Arial"/>
          <w:b/>
          <w:sz w:val="24"/>
          <w:szCs w:val="24"/>
        </w:rPr>
        <w:t xml:space="preserve"> indicate that Duke already has the ability to exclude non-</w:t>
      </w:r>
      <w:r w:rsidR="00FB1973">
        <w:rPr>
          <w:rFonts w:ascii="Arial" w:hAnsi="Arial" w:cs="Arial"/>
          <w:b/>
          <w:sz w:val="24"/>
          <w:szCs w:val="24"/>
        </w:rPr>
        <w:t>electric</w:t>
      </w:r>
      <w:r w:rsidR="002515F4">
        <w:rPr>
          <w:rFonts w:ascii="Arial" w:hAnsi="Arial" w:cs="Arial"/>
          <w:b/>
          <w:sz w:val="24"/>
          <w:szCs w:val="24"/>
        </w:rPr>
        <w:t xml:space="preserve"> charges from the POR program, and otherwise ensure</w:t>
      </w:r>
      <w:r w:rsidR="00E0102F">
        <w:rPr>
          <w:rFonts w:ascii="Arial" w:hAnsi="Arial" w:cs="Arial"/>
          <w:b/>
          <w:sz w:val="24"/>
          <w:szCs w:val="24"/>
        </w:rPr>
        <w:t>s</w:t>
      </w:r>
      <w:r w:rsidR="002515F4">
        <w:rPr>
          <w:rFonts w:ascii="Arial" w:hAnsi="Arial" w:cs="Arial"/>
          <w:b/>
          <w:sz w:val="24"/>
          <w:szCs w:val="24"/>
        </w:rPr>
        <w:t xml:space="preserve"> non-commodity charges do not trigger customer shut off</w:t>
      </w:r>
      <w:r w:rsidRPr="00FC5170">
        <w:rPr>
          <w:rFonts w:ascii="Arial" w:hAnsi="Arial" w:cs="Arial"/>
          <w:b/>
          <w:sz w:val="24"/>
          <w:szCs w:val="24"/>
        </w:rPr>
        <w:t>?</w:t>
      </w:r>
    </w:p>
    <w:p w14:paraId="050B1107" w14:textId="73502933" w:rsidR="00FC5170" w:rsidRDefault="00FC5170" w:rsidP="007F043F">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Yes.  </w:t>
      </w:r>
      <w:r w:rsidR="00E80C15">
        <w:rPr>
          <w:rFonts w:ascii="Arial" w:hAnsi="Arial" w:cs="Arial"/>
          <w:sz w:val="24"/>
          <w:szCs w:val="24"/>
        </w:rPr>
        <w:t xml:space="preserve">In discovery RESA asked </w:t>
      </w:r>
      <w:r w:rsidR="00282AEE">
        <w:rPr>
          <w:rFonts w:ascii="Arial" w:hAnsi="Arial" w:cs="Arial"/>
          <w:sz w:val="24"/>
          <w:szCs w:val="24"/>
        </w:rPr>
        <w:t>Duke</w:t>
      </w:r>
      <w:r w:rsidR="00E80C15">
        <w:rPr>
          <w:rFonts w:ascii="Arial" w:hAnsi="Arial" w:cs="Arial"/>
          <w:sz w:val="24"/>
          <w:szCs w:val="24"/>
        </w:rPr>
        <w:t xml:space="preserve"> how it</w:t>
      </w:r>
      <w:r w:rsidR="00282AEE">
        <w:rPr>
          <w:rFonts w:ascii="Arial" w:hAnsi="Arial" w:cs="Arial"/>
          <w:sz w:val="24"/>
          <w:szCs w:val="24"/>
        </w:rPr>
        <w:t xml:space="preserve"> treats the uncollectible expense for </w:t>
      </w:r>
      <w:r w:rsidR="0088506C">
        <w:rPr>
          <w:rFonts w:ascii="Arial" w:hAnsi="Arial" w:cs="Arial"/>
          <w:sz w:val="24"/>
          <w:szCs w:val="24"/>
        </w:rPr>
        <w:t>its StrikeStop and Underground Protection services</w:t>
      </w:r>
      <w:r w:rsidR="00FB1973">
        <w:rPr>
          <w:rFonts w:ascii="Arial" w:hAnsi="Arial" w:cs="Arial"/>
          <w:sz w:val="24"/>
          <w:szCs w:val="24"/>
        </w:rPr>
        <w:t>. In its response to these questions</w:t>
      </w:r>
      <w:r w:rsidR="008723F2">
        <w:rPr>
          <w:rFonts w:ascii="Arial" w:hAnsi="Arial" w:cs="Arial"/>
          <w:sz w:val="24"/>
          <w:szCs w:val="24"/>
        </w:rPr>
        <w:t>,</w:t>
      </w:r>
      <w:r w:rsidR="00FB1973">
        <w:rPr>
          <w:rFonts w:ascii="Arial" w:hAnsi="Arial" w:cs="Arial"/>
          <w:sz w:val="24"/>
          <w:szCs w:val="24"/>
        </w:rPr>
        <w:t xml:space="preserve"> Duke </w:t>
      </w:r>
      <w:r w:rsidR="007C2A07">
        <w:rPr>
          <w:rFonts w:ascii="Arial" w:hAnsi="Arial" w:cs="Arial"/>
          <w:sz w:val="24"/>
          <w:szCs w:val="24"/>
        </w:rPr>
        <w:t>indicates that it excludes these charges from its uncollectible expense rider and that these charges cannot trigger customer disconnect</w:t>
      </w:r>
      <w:r w:rsidR="00BF70C6">
        <w:rPr>
          <w:rFonts w:ascii="Arial" w:hAnsi="Arial" w:cs="Arial"/>
          <w:sz w:val="24"/>
          <w:szCs w:val="24"/>
        </w:rPr>
        <w:t xml:space="preserve">.  </w:t>
      </w:r>
      <w:r w:rsidR="007C2A07">
        <w:rPr>
          <w:rFonts w:ascii="Arial" w:hAnsi="Arial" w:cs="Arial"/>
          <w:sz w:val="24"/>
          <w:szCs w:val="24"/>
        </w:rPr>
        <w:t>Since</w:t>
      </w:r>
      <w:r w:rsidR="0088506C">
        <w:rPr>
          <w:rFonts w:ascii="Arial" w:hAnsi="Arial" w:cs="Arial"/>
          <w:sz w:val="24"/>
          <w:szCs w:val="24"/>
        </w:rPr>
        <w:t xml:space="preserve"> Duke already does not recover the uncollectible expense from all distribution customers</w:t>
      </w:r>
      <w:r w:rsidR="00E0102F">
        <w:rPr>
          <w:rFonts w:ascii="Arial" w:hAnsi="Arial" w:cs="Arial"/>
          <w:sz w:val="24"/>
          <w:szCs w:val="24"/>
        </w:rPr>
        <w:t xml:space="preserve"> and</w:t>
      </w:r>
      <w:r w:rsidR="0088506C">
        <w:rPr>
          <w:rFonts w:ascii="Arial" w:hAnsi="Arial" w:cs="Arial"/>
          <w:sz w:val="24"/>
          <w:szCs w:val="24"/>
        </w:rPr>
        <w:t xml:space="preserve"> does not disconnect customers for failing to pay its non-commodity charges</w:t>
      </w:r>
      <w:r w:rsidR="00E0102F">
        <w:rPr>
          <w:rFonts w:ascii="Arial" w:hAnsi="Arial" w:cs="Arial"/>
          <w:sz w:val="24"/>
          <w:szCs w:val="24"/>
        </w:rPr>
        <w:t>,</w:t>
      </w:r>
      <w:r w:rsidR="0088506C">
        <w:rPr>
          <w:rFonts w:ascii="Arial" w:hAnsi="Arial" w:cs="Arial"/>
          <w:sz w:val="24"/>
          <w:szCs w:val="24"/>
        </w:rPr>
        <w:t xml:space="preserve"> it would indicate Duke has the ability to differentiate between </w:t>
      </w:r>
      <w:r w:rsidR="00FB1973">
        <w:rPr>
          <w:rFonts w:ascii="Arial" w:hAnsi="Arial" w:cs="Arial"/>
          <w:sz w:val="24"/>
          <w:szCs w:val="24"/>
        </w:rPr>
        <w:t xml:space="preserve">unregulated </w:t>
      </w:r>
      <w:r w:rsidR="0088506C">
        <w:rPr>
          <w:rFonts w:ascii="Arial" w:hAnsi="Arial" w:cs="Arial"/>
          <w:sz w:val="24"/>
          <w:szCs w:val="24"/>
        </w:rPr>
        <w:t>non-</w:t>
      </w:r>
      <w:r w:rsidR="00FB1973">
        <w:rPr>
          <w:rFonts w:ascii="Arial" w:hAnsi="Arial" w:cs="Arial"/>
          <w:sz w:val="24"/>
          <w:szCs w:val="24"/>
        </w:rPr>
        <w:t>electric</w:t>
      </w:r>
      <w:r w:rsidR="0088506C">
        <w:rPr>
          <w:rFonts w:ascii="Arial" w:hAnsi="Arial" w:cs="Arial"/>
          <w:sz w:val="24"/>
          <w:szCs w:val="24"/>
        </w:rPr>
        <w:t xml:space="preserve"> charges and electric commodity charges.  </w:t>
      </w:r>
    </w:p>
    <w:p w14:paraId="7034897B" w14:textId="4B6D6D7B" w:rsidR="00FA3665" w:rsidRPr="00282AEE" w:rsidRDefault="00FA3665" w:rsidP="007F043F">
      <w:pPr>
        <w:spacing w:line="480" w:lineRule="auto"/>
        <w:ind w:left="720" w:hanging="720"/>
        <w:jc w:val="both"/>
        <w:rPr>
          <w:rFonts w:ascii="Arial" w:hAnsi="Arial" w:cs="Arial"/>
          <w:b/>
          <w:sz w:val="24"/>
          <w:szCs w:val="24"/>
        </w:rPr>
      </w:pPr>
      <w:r w:rsidRPr="00282AEE">
        <w:rPr>
          <w:rFonts w:ascii="Arial" w:hAnsi="Arial" w:cs="Arial"/>
          <w:b/>
          <w:sz w:val="24"/>
          <w:szCs w:val="24"/>
        </w:rPr>
        <w:t>Q.</w:t>
      </w:r>
      <w:r w:rsidRPr="00282AEE">
        <w:rPr>
          <w:rFonts w:ascii="Arial" w:hAnsi="Arial" w:cs="Arial"/>
          <w:b/>
          <w:sz w:val="24"/>
          <w:szCs w:val="24"/>
        </w:rPr>
        <w:tab/>
        <w:t>Do you know if Duke bills for any other non-</w:t>
      </w:r>
      <w:r w:rsidR="003437BD">
        <w:rPr>
          <w:rFonts w:ascii="Arial" w:hAnsi="Arial" w:cs="Arial"/>
          <w:b/>
          <w:sz w:val="24"/>
          <w:szCs w:val="24"/>
        </w:rPr>
        <w:t>electric</w:t>
      </w:r>
      <w:r w:rsidRPr="00282AEE">
        <w:rPr>
          <w:rFonts w:ascii="Arial" w:hAnsi="Arial" w:cs="Arial"/>
          <w:b/>
          <w:sz w:val="24"/>
          <w:szCs w:val="24"/>
        </w:rPr>
        <w:t xml:space="preserve"> products and services?</w:t>
      </w:r>
    </w:p>
    <w:p w14:paraId="1C64CE73" w14:textId="7726AC03" w:rsidR="00FA3665" w:rsidRPr="00FA3665" w:rsidRDefault="00FA3665" w:rsidP="007F043F">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7C2A07">
        <w:rPr>
          <w:rFonts w:ascii="Arial" w:hAnsi="Arial" w:cs="Arial"/>
          <w:sz w:val="24"/>
          <w:szCs w:val="24"/>
        </w:rPr>
        <w:t>Yes</w:t>
      </w:r>
      <w:r w:rsidR="00C15B9D">
        <w:rPr>
          <w:rFonts w:ascii="Arial" w:hAnsi="Arial" w:cs="Arial"/>
          <w:sz w:val="24"/>
          <w:szCs w:val="24"/>
        </w:rPr>
        <w:t>. I</w:t>
      </w:r>
      <w:r w:rsidR="007C2A07">
        <w:rPr>
          <w:rFonts w:ascii="Arial" w:hAnsi="Arial" w:cs="Arial"/>
          <w:sz w:val="24"/>
          <w:szCs w:val="24"/>
        </w:rPr>
        <w:t>n discovery</w:t>
      </w:r>
      <w:r w:rsidR="008723F2">
        <w:rPr>
          <w:rFonts w:ascii="Arial" w:hAnsi="Arial" w:cs="Arial"/>
          <w:sz w:val="24"/>
          <w:szCs w:val="24"/>
        </w:rPr>
        <w:t>,</w:t>
      </w:r>
      <w:r w:rsidR="007C2A07">
        <w:rPr>
          <w:rFonts w:ascii="Arial" w:hAnsi="Arial" w:cs="Arial"/>
          <w:sz w:val="24"/>
          <w:szCs w:val="24"/>
        </w:rPr>
        <w:t xml:space="preserve"> Duke indicated that it bills for a service that provides maintenance of customer sited lighting</w:t>
      </w:r>
      <w:r w:rsidR="00390BD8">
        <w:rPr>
          <w:rFonts w:ascii="Arial" w:hAnsi="Arial" w:cs="Arial"/>
          <w:sz w:val="24"/>
          <w:szCs w:val="24"/>
        </w:rPr>
        <w:t>.</w:t>
      </w:r>
      <w:r w:rsidR="007C2A07">
        <w:rPr>
          <w:rFonts w:ascii="Arial" w:hAnsi="Arial" w:cs="Arial"/>
          <w:sz w:val="24"/>
          <w:szCs w:val="24"/>
        </w:rPr>
        <w:t xml:space="preserve">  Duke indicates that it provides this non-electric service to customers directly. </w:t>
      </w:r>
      <w:r w:rsidR="00282AEE">
        <w:rPr>
          <w:rFonts w:ascii="Arial" w:hAnsi="Arial" w:cs="Arial"/>
          <w:sz w:val="24"/>
          <w:szCs w:val="24"/>
        </w:rPr>
        <w:t xml:space="preserve"> </w:t>
      </w:r>
    </w:p>
    <w:p w14:paraId="53341C7F" w14:textId="3A1F0719" w:rsidR="00390BD8" w:rsidRDefault="00390BD8" w:rsidP="00390BD8">
      <w:pPr>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t xml:space="preserve">Is it </w:t>
      </w:r>
      <w:r w:rsidR="00905F29">
        <w:rPr>
          <w:rFonts w:ascii="Arial" w:hAnsi="Arial" w:cs="Arial"/>
          <w:b/>
          <w:sz w:val="24"/>
          <w:szCs w:val="24"/>
        </w:rPr>
        <w:t>reasonable</w:t>
      </w:r>
      <w:r>
        <w:rPr>
          <w:rFonts w:ascii="Arial" w:hAnsi="Arial" w:cs="Arial"/>
          <w:b/>
          <w:sz w:val="24"/>
          <w:szCs w:val="24"/>
        </w:rPr>
        <w:t xml:space="preserve"> that Duke is seeking to prohibit CRES suppliers from billing non-</w:t>
      </w:r>
      <w:r w:rsidR="00CD6611">
        <w:rPr>
          <w:rFonts w:ascii="Arial" w:hAnsi="Arial" w:cs="Arial"/>
          <w:b/>
          <w:sz w:val="24"/>
          <w:szCs w:val="24"/>
        </w:rPr>
        <w:t>elect</w:t>
      </w:r>
      <w:r w:rsidR="00CA0AFC">
        <w:rPr>
          <w:rFonts w:ascii="Arial" w:hAnsi="Arial" w:cs="Arial"/>
          <w:b/>
          <w:sz w:val="24"/>
          <w:szCs w:val="24"/>
        </w:rPr>
        <w:t>r</w:t>
      </w:r>
      <w:r w:rsidR="00CD6611">
        <w:rPr>
          <w:rFonts w:ascii="Arial" w:hAnsi="Arial" w:cs="Arial"/>
          <w:b/>
          <w:sz w:val="24"/>
          <w:szCs w:val="24"/>
        </w:rPr>
        <w:t xml:space="preserve">ic </w:t>
      </w:r>
      <w:r>
        <w:rPr>
          <w:rFonts w:ascii="Arial" w:hAnsi="Arial" w:cs="Arial"/>
          <w:b/>
          <w:sz w:val="24"/>
          <w:szCs w:val="24"/>
        </w:rPr>
        <w:t>charges while at the same time</w:t>
      </w:r>
      <w:r w:rsidR="0021723C">
        <w:rPr>
          <w:rFonts w:ascii="Arial" w:hAnsi="Arial" w:cs="Arial"/>
          <w:b/>
          <w:sz w:val="24"/>
          <w:szCs w:val="24"/>
        </w:rPr>
        <w:t xml:space="preserve"> allowing its</w:t>
      </w:r>
      <w:r w:rsidR="007C2A07">
        <w:rPr>
          <w:rFonts w:ascii="Arial" w:hAnsi="Arial" w:cs="Arial"/>
          <w:b/>
          <w:sz w:val="24"/>
          <w:szCs w:val="24"/>
        </w:rPr>
        <w:t>elf and its</w:t>
      </w:r>
      <w:r w:rsidR="0021723C">
        <w:rPr>
          <w:rFonts w:ascii="Arial" w:hAnsi="Arial" w:cs="Arial"/>
          <w:b/>
          <w:sz w:val="24"/>
          <w:szCs w:val="24"/>
        </w:rPr>
        <w:t xml:space="preserve"> unregulated affiliate to bill for non-electric</w:t>
      </w:r>
      <w:r>
        <w:rPr>
          <w:rFonts w:ascii="Arial" w:hAnsi="Arial" w:cs="Arial"/>
          <w:b/>
          <w:sz w:val="24"/>
          <w:szCs w:val="24"/>
        </w:rPr>
        <w:t xml:space="preserve"> charges on the utility bill</w:t>
      </w:r>
      <w:r w:rsidRPr="00282AEE">
        <w:rPr>
          <w:rFonts w:ascii="Arial" w:hAnsi="Arial" w:cs="Arial"/>
          <w:b/>
          <w:sz w:val="24"/>
          <w:szCs w:val="24"/>
        </w:rPr>
        <w:t>?</w:t>
      </w:r>
    </w:p>
    <w:p w14:paraId="345F4DF9" w14:textId="4336D217" w:rsidR="00390BD8" w:rsidRDefault="00390BD8" w:rsidP="00390BD8">
      <w:pPr>
        <w:spacing w:line="480" w:lineRule="auto"/>
        <w:ind w:left="720" w:hanging="720"/>
        <w:jc w:val="both"/>
        <w:rPr>
          <w:rFonts w:ascii="Arial" w:hAnsi="Arial" w:cs="Arial"/>
          <w:sz w:val="24"/>
          <w:szCs w:val="24"/>
        </w:rPr>
      </w:pPr>
      <w:r w:rsidRPr="00390BD8">
        <w:rPr>
          <w:rFonts w:ascii="Arial" w:hAnsi="Arial" w:cs="Arial"/>
          <w:sz w:val="24"/>
          <w:szCs w:val="24"/>
        </w:rPr>
        <w:t>A.</w:t>
      </w:r>
      <w:r w:rsidRPr="00390BD8">
        <w:rPr>
          <w:rFonts w:ascii="Arial" w:hAnsi="Arial" w:cs="Arial"/>
          <w:sz w:val="24"/>
          <w:szCs w:val="24"/>
        </w:rPr>
        <w:tab/>
      </w:r>
      <w:r w:rsidR="00905F29">
        <w:rPr>
          <w:rFonts w:ascii="Arial" w:hAnsi="Arial" w:cs="Arial"/>
          <w:sz w:val="24"/>
          <w:szCs w:val="24"/>
        </w:rPr>
        <w:t>No</w:t>
      </w:r>
      <w:r>
        <w:rPr>
          <w:rFonts w:ascii="Arial" w:hAnsi="Arial" w:cs="Arial"/>
          <w:sz w:val="24"/>
          <w:szCs w:val="24"/>
        </w:rPr>
        <w:t xml:space="preserve">. It is unreasonable and discriminatory that Duke is willing to bill </w:t>
      </w:r>
      <w:r w:rsidR="00FB1973">
        <w:rPr>
          <w:rFonts w:ascii="Arial" w:hAnsi="Arial" w:cs="Arial"/>
          <w:sz w:val="24"/>
          <w:szCs w:val="24"/>
        </w:rPr>
        <w:t xml:space="preserve">unregulated </w:t>
      </w:r>
      <w:r>
        <w:rPr>
          <w:rFonts w:ascii="Arial" w:hAnsi="Arial" w:cs="Arial"/>
          <w:sz w:val="24"/>
          <w:szCs w:val="24"/>
        </w:rPr>
        <w:t>non-</w:t>
      </w:r>
      <w:r w:rsidR="003437BD">
        <w:rPr>
          <w:rFonts w:ascii="Arial" w:hAnsi="Arial" w:cs="Arial"/>
          <w:sz w:val="24"/>
          <w:szCs w:val="24"/>
        </w:rPr>
        <w:t xml:space="preserve">electric </w:t>
      </w:r>
      <w:r>
        <w:rPr>
          <w:rFonts w:ascii="Arial" w:hAnsi="Arial" w:cs="Arial"/>
          <w:sz w:val="24"/>
          <w:szCs w:val="24"/>
        </w:rPr>
        <w:t>charges</w:t>
      </w:r>
      <w:r w:rsidR="003437BD">
        <w:rPr>
          <w:rFonts w:ascii="Arial" w:hAnsi="Arial" w:cs="Arial"/>
          <w:sz w:val="24"/>
          <w:szCs w:val="24"/>
        </w:rPr>
        <w:t xml:space="preserve"> for its</w:t>
      </w:r>
      <w:r w:rsidR="007C2A07">
        <w:rPr>
          <w:rFonts w:ascii="Arial" w:hAnsi="Arial" w:cs="Arial"/>
          <w:sz w:val="24"/>
          <w:szCs w:val="24"/>
        </w:rPr>
        <w:t>elf and its</w:t>
      </w:r>
      <w:r w:rsidR="003437BD">
        <w:rPr>
          <w:rFonts w:ascii="Arial" w:hAnsi="Arial" w:cs="Arial"/>
          <w:sz w:val="24"/>
          <w:szCs w:val="24"/>
        </w:rPr>
        <w:t xml:space="preserve"> affiliate</w:t>
      </w:r>
      <w:r w:rsidR="00FB1973">
        <w:rPr>
          <w:rFonts w:ascii="Arial" w:hAnsi="Arial" w:cs="Arial"/>
          <w:sz w:val="24"/>
          <w:szCs w:val="24"/>
        </w:rPr>
        <w:t>,</w:t>
      </w:r>
      <w:r>
        <w:rPr>
          <w:rFonts w:ascii="Arial" w:hAnsi="Arial" w:cs="Arial"/>
          <w:sz w:val="24"/>
          <w:szCs w:val="24"/>
        </w:rPr>
        <w:t xml:space="preserve"> but </w:t>
      </w:r>
      <w:r w:rsidR="00E80C15">
        <w:rPr>
          <w:rFonts w:ascii="Arial" w:hAnsi="Arial" w:cs="Arial"/>
          <w:sz w:val="24"/>
          <w:szCs w:val="24"/>
        </w:rPr>
        <w:t>at the same time</w:t>
      </w:r>
      <w:r w:rsidR="00FB1973">
        <w:rPr>
          <w:rFonts w:ascii="Arial" w:hAnsi="Arial" w:cs="Arial"/>
          <w:sz w:val="24"/>
          <w:szCs w:val="24"/>
        </w:rPr>
        <w:t>,</w:t>
      </w:r>
      <w:r>
        <w:rPr>
          <w:rFonts w:ascii="Arial" w:hAnsi="Arial" w:cs="Arial"/>
          <w:sz w:val="24"/>
          <w:szCs w:val="24"/>
        </w:rPr>
        <w:t xml:space="preserve"> seeking to prohibit CRES providers from </w:t>
      </w:r>
      <w:r w:rsidR="00FB1973">
        <w:rPr>
          <w:rFonts w:ascii="Arial" w:hAnsi="Arial" w:cs="Arial"/>
          <w:sz w:val="24"/>
          <w:szCs w:val="24"/>
        </w:rPr>
        <w:t>placing non-electric charges on the utility</w:t>
      </w:r>
      <w:r w:rsidR="00905F29">
        <w:rPr>
          <w:rFonts w:ascii="Arial" w:hAnsi="Arial" w:cs="Arial"/>
          <w:sz w:val="24"/>
          <w:szCs w:val="24"/>
        </w:rPr>
        <w:t xml:space="preserve"> bill</w:t>
      </w:r>
      <w:r>
        <w:rPr>
          <w:rFonts w:ascii="Arial" w:hAnsi="Arial" w:cs="Arial"/>
          <w:sz w:val="24"/>
          <w:szCs w:val="24"/>
        </w:rPr>
        <w:t>.</w:t>
      </w:r>
      <w:r w:rsidR="00BF70C6">
        <w:rPr>
          <w:rFonts w:ascii="Arial" w:hAnsi="Arial" w:cs="Arial"/>
          <w:sz w:val="24"/>
          <w:szCs w:val="24"/>
        </w:rPr>
        <w:t xml:space="preserve">  </w:t>
      </w:r>
    </w:p>
    <w:p w14:paraId="6ED3B27A" w14:textId="72C61495" w:rsidR="00E555FF" w:rsidRPr="00E555FF" w:rsidRDefault="00E555FF" w:rsidP="00390BD8">
      <w:pPr>
        <w:spacing w:line="480" w:lineRule="auto"/>
        <w:ind w:left="720" w:hanging="720"/>
        <w:jc w:val="both"/>
        <w:rPr>
          <w:rFonts w:ascii="Arial" w:hAnsi="Arial" w:cs="Arial"/>
          <w:b/>
          <w:sz w:val="24"/>
          <w:szCs w:val="24"/>
        </w:rPr>
      </w:pPr>
      <w:r w:rsidRPr="00E555FF">
        <w:rPr>
          <w:rFonts w:ascii="Arial" w:hAnsi="Arial" w:cs="Arial"/>
          <w:b/>
          <w:sz w:val="24"/>
          <w:szCs w:val="24"/>
        </w:rPr>
        <w:lastRenderedPageBreak/>
        <w:t>Q.</w:t>
      </w:r>
      <w:r w:rsidRPr="00E555FF">
        <w:rPr>
          <w:rFonts w:ascii="Arial" w:hAnsi="Arial" w:cs="Arial"/>
          <w:b/>
          <w:sz w:val="24"/>
          <w:szCs w:val="24"/>
        </w:rPr>
        <w:tab/>
      </w:r>
      <w:r w:rsidR="00DD0A3E">
        <w:rPr>
          <w:rFonts w:ascii="Arial" w:hAnsi="Arial" w:cs="Arial"/>
          <w:b/>
          <w:sz w:val="24"/>
          <w:szCs w:val="24"/>
        </w:rPr>
        <w:t>Do you recommend that the Commission accept</w:t>
      </w:r>
      <w:r w:rsidRPr="00E555FF">
        <w:rPr>
          <w:rFonts w:ascii="Arial" w:hAnsi="Arial" w:cs="Arial"/>
          <w:b/>
          <w:sz w:val="24"/>
          <w:szCs w:val="24"/>
        </w:rPr>
        <w:t xml:space="preserve"> Duke’s proposal to modify its tariff to prohibit CRES suppliers from billing non-commodity charges on the utility bill?</w:t>
      </w:r>
    </w:p>
    <w:p w14:paraId="285389B5" w14:textId="3D691B58" w:rsidR="00E555FF" w:rsidRDefault="00E555FF" w:rsidP="00390BD8">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r>
      <w:r w:rsidR="00DD0A3E">
        <w:rPr>
          <w:rFonts w:ascii="Arial" w:hAnsi="Arial" w:cs="Arial"/>
          <w:sz w:val="24"/>
          <w:szCs w:val="24"/>
        </w:rPr>
        <w:t xml:space="preserve">No.  </w:t>
      </w:r>
      <w:r>
        <w:rPr>
          <w:rFonts w:ascii="Arial" w:hAnsi="Arial" w:cs="Arial"/>
          <w:sz w:val="24"/>
          <w:szCs w:val="24"/>
        </w:rPr>
        <w:t>I recommend that the Commission reject Duke’s proposal to modify its tariff to prohibit CRES suppliers from offering non-</w:t>
      </w:r>
      <w:r w:rsidR="003437BD">
        <w:rPr>
          <w:rFonts w:ascii="Arial" w:hAnsi="Arial" w:cs="Arial"/>
          <w:sz w:val="24"/>
          <w:szCs w:val="24"/>
        </w:rPr>
        <w:t>electric</w:t>
      </w:r>
      <w:r>
        <w:rPr>
          <w:rFonts w:ascii="Arial" w:hAnsi="Arial" w:cs="Arial"/>
          <w:sz w:val="24"/>
          <w:szCs w:val="24"/>
        </w:rPr>
        <w:t xml:space="preserve"> charges on the utility bill.  Duke’s proposal will significantly restrict CRES suppliers</w:t>
      </w:r>
      <w:r w:rsidR="00CA0AFC">
        <w:rPr>
          <w:rFonts w:ascii="Arial" w:hAnsi="Arial" w:cs="Arial"/>
          <w:sz w:val="24"/>
          <w:szCs w:val="24"/>
        </w:rPr>
        <w:t>’</w:t>
      </w:r>
      <w:r>
        <w:rPr>
          <w:rFonts w:ascii="Arial" w:hAnsi="Arial" w:cs="Arial"/>
          <w:sz w:val="24"/>
          <w:szCs w:val="24"/>
        </w:rPr>
        <w:t xml:space="preserve"> ability to differentiate their electric commodity products with value added products and services.  Ultimately this will limit the number of val</w:t>
      </w:r>
      <w:r w:rsidR="00E0102F">
        <w:rPr>
          <w:rFonts w:ascii="Arial" w:hAnsi="Arial" w:cs="Arial"/>
          <w:sz w:val="24"/>
          <w:szCs w:val="24"/>
        </w:rPr>
        <w:t>ue added products and service</w:t>
      </w:r>
      <w:r w:rsidR="00CA0AFC">
        <w:rPr>
          <w:rFonts w:ascii="Arial" w:hAnsi="Arial" w:cs="Arial"/>
          <w:sz w:val="24"/>
          <w:szCs w:val="24"/>
        </w:rPr>
        <w:t>s</w:t>
      </w:r>
      <w:r w:rsidR="00E0102F">
        <w:rPr>
          <w:rFonts w:ascii="Arial" w:hAnsi="Arial" w:cs="Arial"/>
          <w:sz w:val="24"/>
          <w:szCs w:val="24"/>
        </w:rPr>
        <w:t xml:space="preserve"> available</w:t>
      </w:r>
      <w:r w:rsidR="00E80C15">
        <w:rPr>
          <w:rFonts w:ascii="Arial" w:hAnsi="Arial" w:cs="Arial"/>
          <w:sz w:val="24"/>
          <w:szCs w:val="24"/>
        </w:rPr>
        <w:t xml:space="preserve"> to</w:t>
      </w:r>
      <w:r>
        <w:rPr>
          <w:rFonts w:ascii="Arial" w:hAnsi="Arial" w:cs="Arial"/>
          <w:sz w:val="24"/>
          <w:szCs w:val="24"/>
        </w:rPr>
        <w:t xml:space="preserve"> customers in the Duke market, to the detriment of</w:t>
      </w:r>
      <w:r w:rsidR="00E0102F">
        <w:rPr>
          <w:rFonts w:ascii="Arial" w:hAnsi="Arial" w:cs="Arial"/>
          <w:sz w:val="24"/>
          <w:szCs w:val="24"/>
        </w:rPr>
        <w:t xml:space="preserve"> all</w:t>
      </w:r>
      <w:r>
        <w:rPr>
          <w:rFonts w:ascii="Arial" w:hAnsi="Arial" w:cs="Arial"/>
          <w:sz w:val="24"/>
          <w:szCs w:val="24"/>
        </w:rPr>
        <w:t xml:space="preserve"> Duke customers. </w:t>
      </w:r>
      <w:r w:rsidR="00841D52">
        <w:rPr>
          <w:rFonts w:ascii="Arial" w:hAnsi="Arial" w:cs="Arial"/>
          <w:sz w:val="24"/>
          <w:szCs w:val="24"/>
        </w:rPr>
        <w:t xml:space="preserve"> </w:t>
      </w:r>
      <w:r w:rsidR="0091614A">
        <w:rPr>
          <w:rFonts w:ascii="Arial" w:hAnsi="Arial" w:cs="Arial"/>
          <w:sz w:val="24"/>
          <w:szCs w:val="24"/>
        </w:rPr>
        <w:t>T</w:t>
      </w:r>
      <w:r w:rsidR="00FB1973">
        <w:rPr>
          <w:rFonts w:ascii="Arial" w:hAnsi="Arial" w:cs="Arial"/>
          <w:sz w:val="24"/>
          <w:szCs w:val="24"/>
        </w:rPr>
        <w:t>he</w:t>
      </w:r>
      <w:r>
        <w:rPr>
          <w:rFonts w:ascii="Arial" w:hAnsi="Arial" w:cs="Arial"/>
          <w:sz w:val="24"/>
          <w:szCs w:val="24"/>
        </w:rPr>
        <w:t xml:space="preserve"> Commission should also reject Duke’s proposal given t</w:t>
      </w:r>
      <w:r w:rsidR="00E0102F">
        <w:rPr>
          <w:rFonts w:ascii="Arial" w:hAnsi="Arial" w:cs="Arial"/>
          <w:sz w:val="24"/>
          <w:szCs w:val="24"/>
        </w:rPr>
        <w:t xml:space="preserve">hat </w:t>
      </w:r>
      <w:r w:rsidR="0091614A">
        <w:rPr>
          <w:rFonts w:ascii="Arial" w:hAnsi="Arial" w:cs="Arial"/>
          <w:sz w:val="24"/>
          <w:szCs w:val="24"/>
        </w:rPr>
        <w:t xml:space="preserve">Duke </w:t>
      </w:r>
      <w:r w:rsidR="00D36ADB">
        <w:rPr>
          <w:rFonts w:ascii="Arial" w:hAnsi="Arial" w:cs="Arial"/>
          <w:sz w:val="24"/>
          <w:szCs w:val="24"/>
        </w:rPr>
        <w:t xml:space="preserve">grants preferential access to the utility bill for its </w:t>
      </w:r>
      <w:r w:rsidR="003437BD">
        <w:rPr>
          <w:rFonts w:ascii="Arial" w:hAnsi="Arial" w:cs="Arial"/>
          <w:sz w:val="24"/>
          <w:szCs w:val="24"/>
        </w:rPr>
        <w:t>affiliate</w:t>
      </w:r>
      <w:r w:rsidR="00DD0A3E">
        <w:rPr>
          <w:rFonts w:ascii="Arial" w:hAnsi="Arial" w:cs="Arial"/>
          <w:sz w:val="24"/>
          <w:szCs w:val="24"/>
        </w:rPr>
        <w:t>’</w:t>
      </w:r>
      <w:r w:rsidR="003437BD">
        <w:rPr>
          <w:rFonts w:ascii="Arial" w:hAnsi="Arial" w:cs="Arial"/>
          <w:sz w:val="24"/>
          <w:szCs w:val="24"/>
        </w:rPr>
        <w:t>s</w:t>
      </w:r>
      <w:r w:rsidR="00D36ADB">
        <w:rPr>
          <w:rFonts w:ascii="Arial" w:hAnsi="Arial" w:cs="Arial"/>
          <w:sz w:val="24"/>
          <w:szCs w:val="24"/>
        </w:rPr>
        <w:t xml:space="preserve"> unregulated products </w:t>
      </w:r>
      <w:r w:rsidR="0091614A">
        <w:rPr>
          <w:rFonts w:ascii="Arial" w:hAnsi="Arial" w:cs="Arial"/>
          <w:sz w:val="24"/>
          <w:szCs w:val="24"/>
        </w:rPr>
        <w:t>but now is attempting</w:t>
      </w:r>
      <w:r w:rsidR="00D36ADB">
        <w:rPr>
          <w:rFonts w:ascii="Arial" w:hAnsi="Arial" w:cs="Arial"/>
          <w:sz w:val="24"/>
          <w:szCs w:val="24"/>
        </w:rPr>
        <w:t xml:space="preserve"> </w:t>
      </w:r>
      <w:r w:rsidR="00036D3C">
        <w:rPr>
          <w:rFonts w:ascii="Arial" w:hAnsi="Arial" w:cs="Arial"/>
          <w:sz w:val="24"/>
          <w:szCs w:val="24"/>
        </w:rPr>
        <w:t xml:space="preserve">to </w:t>
      </w:r>
      <w:r w:rsidR="00D36ADB">
        <w:rPr>
          <w:rFonts w:ascii="Arial" w:hAnsi="Arial" w:cs="Arial"/>
          <w:sz w:val="24"/>
          <w:szCs w:val="24"/>
        </w:rPr>
        <w:t>exclud</w:t>
      </w:r>
      <w:r w:rsidR="00BF70C6">
        <w:rPr>
          <w:rFonts w:ascii="Arial" w:hAnsi="Arial" w:cs="Arial"/>
          <w:sz w:val="24"/>
          <w:szCs w:val="24"/>
        </w:rPr>
        <w:t>e</w:t>
      </w:r>
      <w:r w:rsidR="00D36ADB">
        <w:rPr>
          <w:rFonts w:ascii="Arial" w:hAnsi="Arial" w:cs="Arial"/>
          <w:sz w:val="24"/>
          <w:szCs w:val="24"/>
        </w:rPr>
        <w:t xml:space="preserve"> other competitive products from the bill</w:t>
      </w:r>
      <w:r>
        <w:rPr>
          <w:rFonts w:ascii="Arial" w:hAnsi="Arial" w:cs="Arial"/>
          <w:sz w:val="24"/>
          <w:szCs w:val="24"/>
        </w:rPr>
        <w:t>.</w:t>
      </w:r>
    </w:p>
    <w:p w14:paraId="3401FA95" w14:textId="4269A0A7" w:rsidR="00841D52" w:rsidRDefault="00841D52" w:rsidP="00390BD8">
      <w:pPr>
        <w:spacing w:line="480" w:lineRule="auto"/>
        <w:ind w:left="720" w:hanging="720"/>
        <w:jc w:val="both"/>
        <w:rPr>
          <w:rFonts w:ascii="Arial" w:hAnsi="Arial" w:cs="Arial"/>
          <w:b/>
          <w:sz w:val="24"/>
          <w:szCs w:val="24"/>
        </w:rPr>
      </w:pPr>
      <w:r w:rsidRPr="00841D52">
        <w:rPr>
          <w:rFonts w:ascii="Arial" w:hAnsi="Arial" w:cs="Arial"/>
          <w:b/>
          <w:sz w:val="24"/>
          <w:szCs w:val="24"/>
        </w:rPr>
        <w:t>Q.</w:t>
      </w:r>
      <w:r w:rsidRPr="00841D52">
        <w:rPr>
          <w:rFonts w:ascii="Arial" w:hAnsi="Arial" w:cs="Arial"/>
          <w:b/>
          <w:sz w:val="24"/>
          <w:szCs w:val="24"/>
        </w:rPr>
        <w:tab/>
        <w:t>Are there any other recommendations you have with respect to non-electric billing?</w:t>
      </w:r>
    </w:p>
    <w:p w14:paraId="549CECF6" w14:textId="323BFDB9" w:rsidR="00841D52" w:rsidRPr="00841D52" w:rsidRDefault="00841D52" w:rsidP="00390BD8">
      <w:pPr>
        <w:spacing w:line="480" w:lineRule="auto"/>
        <w:ind w:left="720" w:hanging="720"/>
        <w:jc w:val="both"/>
        <w:rPr>
          <w:rFonts w:ascii="Arial" w:hAnsi="Arial" w:cs="Arial"/>
          <w:sz w:val="24"/>
          <w:szCs w:val="24"/>
        </w:rPr>
      </w:pPr>
      <w:r w:rsidRPr="00841D52">
        <w:rPr>
          <w:rFonts w:ascii="Arial" w:hAnsi="Arial" w:cs="Arial"/>
          <w:sz w:val="24"/>
          <w:szCs w:val="24"/>
        </w:rPr>
        <w:t>A.</w:t>
      </w:r>
      <w:r w:rsidRPr="00841D52">
        <w:rPr>
          <w:rFonts w:ascii="Arial" w:hAnsi="Arial" w:cs="Arial"/>
          <w:sz w:val="24"/>
          <w:szCs w:val="24"/>
        </w:rPr>
        <w:tab/>
      </w:r>
      <w:r>
        <w:rPr>
          <w:rFonts w:ascii="Arial" w:hAnsi="Arial" w:cs="Arial"/>
          <w:sz w:val="24"/>
          <w:szCs w:val="24"/>
        </w:rPr>
        <w:t>The Commission should also require that Duke update its tariff to</w:t>
      </w:r>
      <w:r w:rsidR="007C2A07">
        <w:rPr>
          <w:rFonts w:ascii="Arial" w:hAnsi="Arial" w:cs="Arial"/>
          <w:sz w:val="24"/>
          <w:szCs w:val="24"/>
        </w:rPr>
        <w:t xml:space="preserve"> explicitly allow CRES providers to use the bill-ready function to bill for non-electric charges and to</w:t>
      </w:r>
      <w:r>
        <w:rPr>
          <w:rFonts w:ascii="Arial" w:hAnsi="Arial" w:cs="Arial"/>
          <w:sz w:val="24"/>
          <w:szCs w:val="24"/>
        </w:rPr>
        <w:t xml:space="preserve"> excl</w:t>
      </w:r>
      <w:r w:rsidR="0091614A">
        <w:rPr>
          <w:rFonts w:ascii="Arial" w:hAnsi="Arial" w:cs="Arial"/>
          <w:sz w:val="24"/>
          <w:szCs w:val="24"/>
        </w:rPr>
        <w:t xml:space="preserve">ude non-electric charges </w:t>
      </w:r>
      <w:r>
        <w:rPr>
          <w:rFonts w:ascii="Arial" w:hAnsi="Arial" w:cs="Arial"/>
          <w:sz w:val="24"/>
          <w:szCs w:val="24"/>
        </w:rPr>
        <w:t>from Duke’s POR program.  The Commission should also direct Duke to update its tariffs to treat CRES non-electric charges with respect to payment priority in the same manner Duke treats the non-electric charges for its affiliate Duke Energy One.</w:t>
      </w:r>
    </w:p>
    <w:p w14:paraId="513F9E0D" w14:textId="5EF3805E" w:rsidR="002515F4" w:rsidRPr="002515F4" w:rsidRDefault="002515F4" w:rsidP="00390BD8">
      <w:pPr>
        <w:spacing w:line="480" w:lineRule="auto"/>
        <w:ind w:left="720" w:hanging="720"/>
        <w:jc w:val="both"/>
        <w:rPr>
          <w:rFonts w:ascii="Arial" w:hAnsi="Arial" w:cs="Arial"/>
          <w:b/>
          <w:sz w:val="24"/>
          <w:szCs w:val="24"/>
        </w:rPr>
      </w:pPr>
      <w:r w:rsidRPr="002515F4">
        <w:rPr>
          <w:rFonts w:ascii="Arial" w:hAnsi="Arial" w:cs="Arial"/>
          <w:b/>
          <w:sz w:val="24"/>
          <w:szCs w:val="24"/>
        </w:rPr>
        <w:t>III.</w:t>
      </w:r>
      <w:r w:rsidRPr="002515F4">
        <w:rPr>
          <w:rFonts w:ascii="Arial" w:hAnsi="Arial" w:cs="Arial"/>
          <w:b/>
          <w:sz w:val="24"/>
          <w:szCs w:val="24"/>
        </w:rPr>
        <w:tab/>
      </w:r>
      <w:r w:rsidRPr="002515F4">
        <w:rPr>
          <w:rFonts w:ascii="Arial" w:hAnsi="Arial" w:cs="Arial"/>
          <w:b/>
          <w:sz w:val="24"/>
          <w:szCs w:val="24"/>
          <w:u w:val="single"/>
        </w:rPr>
        <w:t>CORPORATE SEP</w:t>
      </w:r>
      <w:r w:rsidR="00BF70C6">
        <w:rPr>
          <w:rFonts w:ascii="Arial" w:hAnsi="Arial" w:cs="Arial"/>
          <w:b/>
          <w:sz w:val="24"/>
          <w:szCs w:val="24"/>
          <w:u w:val="single"/>
        </w:rPr>
        <w:t>A</w:t>
      </w:r>
      <w:r w:rsidRPr="002515F4">
        <w:rPr>
          <w:rFonts w:ascii="Arial" w:hAnsi="Arial" w:cs="Arial"/>
          <w:b/>
          <w:sz w:val="24"/>
          <w:szCs w:val="24"/>
          <w:u w:val="single"/>
        </w:rPr>
        <w:t>RATION</w:t>
      </w:r>
    </w:p>
    <w:p w14:paraId="3D62DBD0" w14:textId="64863DEC" w:rsidR="00390BD8" w:rsidRDefault="00390BD8" w:rsidP="00390BD8">
      <w:pPr>
        <w:spacing w:line="480" w:lineRule="auto"/>
        <w:ind w:left="720" w:hanging="720"/>
        <w:jc w:val="both"/>
        <w:rPr>
          <w:rFonts w:ascii="Arial" w:hAnsi="Arial" w:cs="Arial"/>
          <w:b/>
          <w:sz w:val="24"/>
          <w:szCs w:val="24"/>
        </w:rPr>
      </w:pPr>
      <w:r w:rsidRPr="00390BD8">
        <w:rPr>
          <w:rFonts w:ascii="Arial" w:hAnsi="Arial" w:cs="Arial"/>
          <w:b/>
          <w:sz w:val="24"/>
          <w:szCs w:val="24"/>
        </w:rPr>
        <w:lastRenderedPageBreak/>
        <w:t>Q.</w:t>
      </w:r>
      <w:r w:rsidRPr="00390BD8">
        <w:rPr>
          <w:rFonts w:ascii="Arial" w:hAnsi="Arial" w:cs="Arial"/>
          <w:b/>
          <w:sz w:val="24"/>
          <w:szCs w:val="24"/>
        </w:rPr>
        <w:tab/>
        <w:t>Why is it important that Duke provide information about the non-</w:t>
      </w:r>
      <w:r w:rsidR="003437BD">
        <w:rPr>
          <w:rFonts w:ascii="Arial" w:hAnsi="Arial" w:cs="Arial"/>
          <w:b/>
          <w:sz w:val="24"/>
          <w:szCs w:val="24"/>
        </w:rPr>
        <w:t>electric</w:t>
      </w:r>
      <w:r w:rsidRPr="00390BD8">
        <w:rPr>
          <w:rFonts w:ascii="Arial" w:hAnsi="Arial" w:cs="Arial"/>
          <w:b/>
          <w:sz w:val="24"/>
          <w:szCs w:val="24"/>
        </w:rPr>
        <w:t xml:space="preserve"> charges it is currently billing on the utility bill?   </w:t>
      </w:r>
    </w:p>
    <w:p w14:paraId="3F226C0C" w14:textId="54BF6B16" w:rsidR="00D70AA5" w:rsidRDefault="00390BD8" w:rsidP="00390BD8">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First, </w:t>
      </w:r>
      <w:r w:rsidR="00F04A76">
        <w:rPr>
          <w:rFonts w:ascii="Arial" w:hAnsi="Arial" w:cs="Arial"/>
          <w:sz w:val="24"/>
          <w:szCs w:val="24"/>
        </w:rPr>
        <w:t xml:space="preserve">Duke’s willingness </w:t>
      </w:r>
      <w:r w:rsidR="0091614A">
        <w:rPr>
          <w:rFonts w:ascii="Arial" w:hAnsi="Arial" w:cs="Arial"/>
          <w:sz w:val="24"/>
          <w:szCs w:val="24"/>
        </w:rPr>
        <w:t>to place affiliate</w:t>
      </w:r>
      <w:r w:rsidR="00F04A76">
        <w:rPr>
          <w:rFonts w:ascii="Arial" w:hAnsi="Arial" w:cs="Arial"/>
          <w:sz w:val="24"/>
          <w:szCs w:val="24"/>
        </w:rPr>
        <w:t xml:space="preserve"> non-</w:t>
      </w:r>
      <w:r w:rsidR="003437BD">
        <w:rPr>
          <w:rFonts w:ascii="Arial" w:hAnsi="Arial" w:cs="Arial"/>
          <w:sz w:val="24"/>
          <w:szCs w:val="24"/>
        </w:rPr>
        <w:t>electric</w:t>
      </w:r>
      <w:r w:rsidR="00F04A76">
        <w:rPr>
          <w:rFonts w:ascii="Arial" w:hAnsi="Arial" w:cs="Arial"/>
          <w:sz w:val="24"/>
          <w:szCs w:val="24"/>
        </w:rPr>
        <w:t xml:space="preserve"> charges on the utility bill is directly relevant </w:t>
      </w:r>
      <w:r w:rsidR="00EA6440">
        <w:rPr>
          <w:rFonts w:ascii="Arial" w:hAnsi="Arial" w:cs="Arial"/>
          <w:sz w:val="24"/>
          <w:szCs w:val="24"/>
        </w:rPr>
        <w:t>to the</w:t>
      </w:r>
      <w:r w:rsidR="00F04A76">
        <w:rPr>
          <w:rFonts w:ascii="Arial" w:hAnsi="Arial" w:cs="Arial"/>
          <w:sz w:val="24"/>
          <w:szCs w:val="24"/>
        </w:rPr>
        <w:t xml:space="preserve"> reasonab</w:t>
      </w:r>
      <w:r w:rsidR="00EA6440">
        <w:rPr>
          <w:rFonts w:ascii="Arial" w:hAnsi="Arial" w:cs="Arial"/>
          <w:sz w:val="24"/>
          <w:szCs w:val="24"/>
        </w:rPr>
        <w:t>le</w:t>
      </w:r>
      <w:r w:rsidR="00D36ADB">
        <w:rPr>
          <w:rFonts w:ascii="Arial" w:hAnsi="Arial" w:cs="Arial"/>
          <w:sz w:val="24"/>
          <w:szCs w:val="24"/>
        </w:rPr>
        <w:t>ness</w:t>
      </w:r>
      <w:r w:rsidR="00EA6440">
        <w:rPr>
          <w:rFonts w:ascii="Arial" w:hAnsi="Arial" w:cs="Arial"/>
          <w:sz w:val="24"/>
          <w:szCs w:val="24"/>
        </w:rPr>
        <w:t xml:space="preserve"> of</w:t>
      </w:r>
      <w:r w:rsidR="00F04A76">
        <w:rPr>
          <w:rFonts w:ascii="Arial" w:hAnsi="Arial" w:cs="Arial"/>
          <w:sz w:val="24"/>
          <w:szCs w:val="24"/>
        </w:rPr>
        <w:t xml:space="preserve"> Duke’s proposal to prohibit CRES providers from placing non-</w:t>
      </w:r>
      <w:r w:rsidR="00841D52">
        <w:rPr>
          <w:rFonts w:ascii="Arial" w:hAnsi="Arial" w:cs="Arial"/>
          <w:sz w:val="24"/>
          <w:szCs w:val="24"/>
        </w:rPr>
        <w:t xml:space="preserve">electric </w:t>
      </w:r>
      <w:r w:rsidR="00F04A76">
        <w:rPr>
          <w:rFonts w:ascii="Arial" w:hAnsi="Arial" w:cs="Arial"/>
          <w:sz w:val="24"/>
          <w:szCs w:val="24"/>
        </w:rPr>
        <w:t>charges on the utility bill.  Second</w:t>
      </w:r>
      <w:r w:rsidR="00CA0AFC">
        <w:rPr>
          <w:rFonts w:ascii="Arial" w:hAnsi="Arial" w:cs="Arial"/>
          <w:sz w:val="24"/>
          <w:szCs w:val="24"/>
        </w:rPr>
        <w:t>,</w:t>
      </w:r>
      <w:r w:rsidR="00F04A76">
        <w:rPr>
          <w:rFonts w:ascii="Arial" w:hAnsi="Arial" w:cs="Arial"/>
          <w:sz w:val="24"/>
          <w:szCs w:val="24"/>
        </w:rPr>
        <w:t xml:space="preserve"> R.C. </w:t>
      </w:r>
      <w:r w:rsidR="00341416">
        <w:rPr>
          <w:rFonts w:ascii="Arial" w:hAnsi="Arial" w:cs="Arial"/>
          <w:sz w:val="24"/>
          <w:szCs w:val="24"/>
        </w:rPr>
        <w:t xml:space="preserve">4928.17 </w:t>
      </w:r>
      <w:r w:rsidR="00F04A76">
        <w:rPr>
          <w:rFonts w:ascii="Arial" w:hAnsi="Arial" w:cs="Arial"/>
          <w:sz w:val="24"/>
          <w:szCs w:val="24"/>
        </w:rPr>
        <w:t>requires that Duke demonstrate in its ESP Application that it is in compliance with Ohio’s corporate separation statutes</w:t>
      </w:r>
      <w:r w:rsidR="00341416">
        <w:rPr>
          <w:rFonts w:ascii="Arial" w:hAnsi="Arial" w:cs="Arial"/>
          <w:sz w:val="24"/>
          <w:szCs w:val="24"/>
        </w:rPr>
        <w:t xml:space="preserve"> and Duke’s corporate separation plan</w:t>
      </w:r>
      <w:r w:rsidR="00F04A76">
        <w:rPr>
          <w:rFonts w:ascii="Arial" w:hAnsi="Arial" w:cs="Arial"/>
          <w:sz w:val="24"/>
          <w:szCs w:val="24"/>
        </w:rPr>
        <w:t xml:space="preserve">.  </w:t>
      </w:r>
      <w:r w:rsidR="00E0102F">
        <w:rPr>
          <w:rFonts w:ascii="Arial" w:hAnsi="Arial" w:cs="Arial"/>
          <w:sz w:val="24"/>
          <w:szCs w:val="24"/>
        </w:rPr>
        <w:t>However,</w:t>
      </w:r>
      <w:r w:rsidR="00F04A76">
        <w:rPr>
          <w:rFonts w:ascii="Arial" w:hAnsi="Arial" w:cs="Arial"/>
          <w:sz w:val="24"/>
          <w:szCs w:val="24"/>
        </w:rPr>
        <w:t xml:space="preserve"> </w:t>
      </w:r>
      <w:r w:rsidR="007C2A07">
        <w:rPr>
          <w:rFonts w:ascii="Arial" w:hAnsi="Arial" w:cs="Arial"/>
          <w:sz w:val="24"/>
          <w:szCs w:val="24"/>
        </w:rPr>
        <w:t>in discovery</w:t>
      </w:r>
      <w:r w:rsidR="00036D3C">
        <w:rPr>
          <w:rFonts w:ascii="Arial" w:hAnsi="Arial" w:cs="Arial"/>
          <w:sz w:val="24"/>
          <w:szCs w:val="24"/>
        </w:rPr>
        <w:t>,</w:t>
      </w:r>
      <w:r w:rsidR="007C2A07">
        <w:rPr>
          <w:rFonts w:ascii="Arial" w:hAnsi="Arial" w:cs="Arial"/>
          <w:sz w:val="24"/>
          <w:szCs w:val="24"/>
        </w:rPr>
        <w:t xml:space="preserve"> Duke has indicated that it does not have any billing agreements with Duke Energy One to bill for StrikeStop and Underground Protection service, nor is it clear whether Duke is allocating costs for billing for these services.</w:t>
      </w:r>
      <w:r w:rsidR="00E0102F">
        <w:rPr>
          <w:rFonts w:ascii="Arial" w:hAnsi="Arial" w:cs="Arial"/>
          <w:sz w:val="24"/>
          <w:szCs w:val="24"/>
        </w:rPr>
        <w:t xml:space="preserve"> W</w:t>
      </w:r>
      <w:r w:rsidR="00F04A76">
        <w:rPr>
          <w:rFonts w:ascii="Arial" w:hAnsi="Arial" w:cs="Arial"/>
          <w:sz w:val="24"/>
          <w:szCs w:val="24"/>
        </w:rPr>
        <w:t xml:space="preserve">hat </w:t>
      </w:r>
      <w:r w:rsidR="00F04A76" w:rsidRPr="00F04A76">
        <w:rPr>
          <w:rFonts w:ascii="Arial" w:hAnsi="Arial" w:cs="Arial"/>
          <w:i/>
          <w:sz w:val="24"/>
          <w:szCs w:val="24"/>
        </w:rPr>
        <w:t>is</w:t>
      </w:r>
      <w:r w:rsidR="00F04A76">
        <w:rPr>
          <w:rFonts w:ascii="Arial" w:hAnsi="Arial" w:cs="Arial"/>
          <w:sz w:val="24"/>
          <w:szCs w:val="24"/>
        </w:rPr>
        <w:t xml:space="preserve"> known </w:t>
      </w:r>
      <w:r w:rsidR="00E0102F">
        <w:rPr>
          <w:rFonts w:ascii="Arial" w:hAnsi="Arial" w:cs="Arial"/>
          <w:sz w:val="24"/>
          <w:szCs w:val="24"/>
        </w:rPr>
        <w:t xml:space="preserve">though </w:t>
      </w:r>
      <w:r w:rsidR="00F04A76">
        <w:rPr>
          <w:rFonts w:ascii="Arial" w:hAnsi="Arial" w:cs="Arial"/>
          <w:sz w:val="24"/>
          <w:szCs w:val="24"/>
        </w:rPr>
        <w:t>is that 1) Duke currently bills for non-</w:t>
      </w:r>
      <w:r w:rsidR="003437BD">
        <w:rPr>
          <w:rFonts w:ascii="Arial" w:hAnsi="Arial" w:cs="Arial"/>
          <w:sz w:val="24"/>
          <w:szCs w:val="24"/>
        </w:rPr>
        <w:t>electric</w:t>
      </w:r>
      <w:r w:rsidR="00F04A76">
        <w:rPr>
          <w:rFonts w:ascii="Arial" w:hAnsi="Arial" w:cs="Arial"/>
          <w:sz w:val="24"/>
          <w:szCs w:val="24"/>
        </w:rPr>
        <w:t xml:space="preserve"> products and services</w:t>
      </w:r>
      <w:r w:rsidR="003437BD">
        <w:rPr>
          <w:rFonts w:ascii="Arial" w:hAnsi="Arial" w:cs="Arial"/>
          <w:sz w:val="24"/>
          <w:szCs w:val="24"/>
        </w:rPr>
        <w:t xml:space="preserve"> for its affiliate, 2) the non-electric</w:t>
      </w:r>
      <w:r w:rsidR="00F04A76">
        <w:rPr>
          <w:rFonts w:ascii="Arial" w:hAnsi="Arial" w:cs="Arial"/>
          <w:sz w:val="24"/>
          <w:szCs w:val="24"/>
        </w:rPr>
        <w:t xml:space="preserve"> products and services Duke bills are unregulated, 3) Duke is leveraging regulated</w:t>
      </w:r>
      <w:r w:rsidR="00EA6440">
        <w:rPr>
          <w:rFonts w:ascii="Arial" w:hAnsi="Arial" w:cs="Arial"/>
          <w:sz w:val="24"/>
          <w:szCs w:val="24"/>
        </w:rPr>
        <w:t xml:space="preserve"> distribution ratepayer </w:t>
      </w:r>
      <w:r w:rsidR="00F04A76">
        <w:rPr>
          <w:rFonts w:ascii="Arial" w:hAnsi="Arial" w:cs="Arial"/>
          <w:sz w:val="24"/>
          <w:szCs w:val="24"/>
        </w:rPr>
        <w:t>assets</w:t>
      </w:r>
      <w:r w:rsidR="00EA6440">
        <w:rPr>
          <w:rFonts w:ascii="Arial" w:hAnsi="Arial" w:cs="Arial"/>
          <w:sz w:val="24"/>
          <w:szCs w:val="24"/>
        </w:rPr>
        <w:t xml:space="preserve"> </w:t>
      </w:r>
      <w:r w:rsidR="00FC4821">
        <w:rPr>
          <w:rFonts w:ascii="Arial" w:hAnsi="Arial" w:cs="Arial"/>
          <w:sz w:val="24"/>
          <w:szCs w:val="24"/>
        </w:rPr>
        <w:t xml:space="preserve">to </w:t>
      </w:r>
      <w:r w:rsidR="003437BD">
        <w:rPr>
          <w:rFonts w:ascii="Arial" w:hAnsi="Arial" w:cs="Arial"/>
          <w:sz w:val="24"/>
          <w:szCs w:val="24"/>
        </w:rPr>
        <w:t>offer</w:t>
      </w:r>
      <w:r w:rsidR="00F04A76">
        <w:rPr>
          <w:rFonts w:ascii="Arial" w:hAnsi="Arial" w:cs="Arial"/>
          <w:sz w:val="24"/>
          <w:szCs w:val="24"/>
        </w:rPr>
        <w:t xml:space="preserve"> un-regulated </w:t>
      </w:r>
      <w:r w:rsidR="00357689">
        <w:rPr>
          <w:rFonts w:ascii="Arial" w:hAnsi="Arial" w:cs="Arial"/>
          <w:sz w:val="24"/>
          <w:szCs w:val="24"/>
        </w:rPr>
        <w:t>non-electric</w:t>
      </w:r>
      <w:r w:rsidR="00F04A76">
        <w:rPr>
          <w:rFonts w:ascii="Arial" w:hAnsi="Arial" w:cs="Arial"/>
          <w:sz w:val="24"/>
          <w:szCs w:val="24"/>
        </w:rPr>
        <w:t xml:space="preserve"> products and services</w:t>
      </w:r>
      <w:r w:rsidR="003437BD">
        <w:rPr>
          <w:rFonts w:ascii="Arial" w:hAnsi="Arial" w:cs="Arial"/>
          <w:sz w:val="24"/>
          <w:szCs w:val="24"/>
        </w:rPr>
        <w:t xml:space="preserve"> for its affiliate</w:t>
      </w:r>
      <w:r w:rsidR="00F04A76">
        <w:rPr>
          <w:rFonts w:ascii="Arial" w:hAnsi="Arial" w:cs="Arial"/>
          <w:sz w:val="24"/>
          <w:szCs w:val="24"/>
        </w:rPr>
        <w:t xml:space="preserve"> 4) there are costs Duke incur</w:t>
      </w:r>
      <w:r w:rsidR="00FC4821">
        <w:rPr>
          <w:rFonts w:ascii="Arial" w:hAnsi="Arial" w:cs="Arial"/>
          <w:sz w:val="24"/>
          <w:szCs w:val="24"/>
        </w:rPr>
        <w:t>s</w:t>
      </w:r>
      <w:r w:rsidR="00EA6440">
        <w:rPr>
          <w:rFonts w:ascii="Arial" w:hAnsi="Arial" w:cs="Arial"/>
          <w:sz w:val="24"/>
          <w:szCs w:val="24"/>
        </w:rPr>
        <w:t xml:space="preserve"> to</w:t>
      </w:r>
      <w:r w:rsidR="00F04A76">
        <w:rPr>
          <w:rFonts w:ascii="Arial" w:hAnsi="Arial" w:cs="Arial"/>
          <w:sz w:val="24"/>
          <w:szCs w:val="24"/>
        </w:rPr>
        <w:t xml:space="preserve"> </w:t>
      </w:r>
      <w:r w:rsidR="003437BD">
        <w:rPr>
          <w:rFonts w:ascii="Arial" w:hAnsi="Arial" w:cs="Arial"/>
          <w:sz w:val="24"/>
          <w:szCs w:val="24"/>
        </w:rPr>
        <w:t>offer</w:t>
      </w:r>
      <w:r w:rsidR="00F04A76">
        <w:rPr>
          <w:rFonts w:ascii="Arial" w:hAnsi="Arial" w:cs="Arial"/>
          <w:sz w:val="24"/>
          <w:szCs w:val="24"/>
        </w:rPr>
        <w:t xml:space="preserve"> these unregulated products and services to customers and 5) Ohio’s corporate separation statute</w:t>
      </w:r>
      <w:r w:rsidR="00CA0AFC">
        <w:rPr>
          <w:rFonts w:ascii="Arial" w:hAnsi="Arial" w:cs="Arial"/>
          <w:sz w:val="24"/>
          <w:szCs w:val="24"/>
        </w:rPr>
        <w:t>.</w:t>
      </w:r>
      <w:r w:rsidR="00DC4CB7">
        <w:rPr>
          <w:rFonts w:ascii="Arial" w:hAnsi="Arial" w:cs="Arial"/>
          <w:sz w:val="24"/>
          <w:szCs w:val="24"/>
        </w:rPr>
        <w:t xml:space="preserve"> </w:t>
      </w:r>
    </w:p>
    <w:p w14:paraId="47B35F7A" w14:textId="2ACA55BE" w:rsidR="00D70AA5" w:rsidRPr="007C2A07" w:rsidRDefault="00D70AA5" w:rsidP="00390BD8">
      <w:pPr>
        <w:spacing w:line="480" w:lineRule="auto"/>
        <w:ind w:left="720" w:hanging="720"/>
        <w:jc w:val="both"/>
        <w:rPr>
          <w:rFonts w:ascii="Arial" w:hAnsi="Arial" w:cs="Arial"/>
          <w:b/>
          <w:sz w:val="24"/>
          <w:szCs w:val="24"/>
        </w:rPr>
      </w:pPr>
      <w:r w:rsidRPr="007C2A07">
        <w:rPr>
          <w:rFonts w:ascii="Arial" w:hAnsi="Arial" w:cs="Arial"/>
          <w:b/>
          <w:sz w:val="24"/>
          <w:szCs w:val="24"/>
        </w:rPr>
        <w:t>Q.</w:t>
      </w:r>
      <w:r w:rsidRPr="007C2A07">
        <w:rPr>
          <w:rFonts w:ascii="Arial" w:hAnsi="Arial" w:cs="Arial"/>
          <w:b/>
          <w:sz w:val="24"/>
          <w:szCs w:val="24"/>
        </w:rPr>
        <w:tab/>
        <w:t>Is there any Ohio law or Commission rule that prohibits preferential treatment to a utility affiliate?</w:t>
      </w:r>
    </w:p>
    <w:p w14:paraId="4728C057" w14:textId="67D9DFFA" w:rsidR="00390BD8" w:rsidRPr="00390BD8" w:rsidRDefault="00D70AA5" w:rsidP="00390BD8">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Yes. </w:t>
      </w:r>
      <w:r w:rsidR="00DC4CB7">
        <w:rPr>
          <w:rFonts w:ascii="Arial" w:hAnsi="Arial" w:cs="Arial"/>
          <w:sz w:val="24"/>
          <w:szCs w:val="24"/>
        </w:rPr>
        <w:t>R.C. 4928.17(A)(2)</w:t>
      </w:r>
      <w:r>
        <w:rPr>
          <w:rFonts w:ascii="Arial" w:hAnsi="Arial" w:cs="Arial"/>
          <w:sz w:val="24"/>
          <w:szCs w:val="24"/>
        </w:rPr>
        <w:t xml:space="preserve">, </w:t>
      </w:r>
      <w:r w:rsidR="005E7C6A">
        <w:rPr>
          <w:rFonts w:ascii="Arial" w:hAnsi="Arial" w:cs="Arial"/>
          <w:sz w:val="24"/>
          <w:szCs w:val="24"/>
        </w:rPr>
        <w:t xml:space="preserve"> Rule 4901:1-37, OAC,</w:t>
      </w:r>
      <w:r w:rsidR="00F04A76">
        <w:rPr>
          <w:rFonts w:ascii="Arial" w:hAnsi="Arial" w:cs="Arial"/>
          <w:sz w:val="24"/>
          <w:szCs w:val="24"/>
        </w:rPr>
        <w:t xml:space="preserve"> and Duke’s corporate separation plan </w:t>
      </w:r>
      <w:r w:rsidR="00BF70C6">
        <w:rPr>
          <w:rFonts w:ascii="Arial" w:hAnsi="Arial" w:cs="Arial"/>
          <w:sz w:val="24"/>
          <w:szCs w:val="24"/>
        </w:rPr>
        <w:t xml:space="preserve">prohibit Duke from providing a competitive advantage or preference to its affiliate </w:t>
      </w:r>
      <w:r w:rsidR="005E7C6A">
        <w:rPr>
          <w:rFonts w:ascii="Arial" w:hAnsi="Arial" w:cs="Arial"/>
          <w:sz w:val="24"/>
          <w:szCs w:val="24"/>
        </w:rPr>
        <w:t>or internal business unit</w:t>
      </w:r>
      <w:r>
        <w:rPr>
          <w:rFonts w:ascii="Arial" w:hAnsi="Arial" w:cs="Arial"/>
          <w:sz w:val="24"/>
          <w:szCs w:val="24"/>
        </w:rPr>
        <w:t>.  Further,</w:t>
      </w:r>
      <w:r w:rsidR="005E7C6A">
        <w:rPr>
          <w:rFonts w:ascii="Arial" w:hAnsi="Arial" w:cs="Arial"/>
          <w:sz w:val="24"/>
          <w:szCs w:val="24"/>
        </w:rPr>
        <w:t xml:space="preserve"> </w:t>
      </w:r>
      <w:r>
        <w:rPr>
          <w:rFonts w:ascii="Arial" w:hAnsi="Arial" w:cs="Arial"/>
          <w:sz w:val="24"/>
          <w:szCs w:val="24"/>
        </w:rPr>
        <w:t>R.C. 4928.17(A)(3),  (</w:t>
      </w:r>
      <w:r w:rsidR="005E7C6A">
        <w:rPr>
          <w:rFonts w:ascii="Arial" w:hAnsi="Arial" w:cs="Arial"/>
          <w:sz w:val="24"/>
          <w:szCs w:val="24"/>
        </w:rPr>
        <w:t>Ohio’</w:t>
      </w:r>
      <w:r w:rsidR="00DC4CB7">
        <w:rPr>
          <w:rFonts w:ascii="Arial" w:hAnsi="Arial" w:cs="Arial"/>
          <w:sz w:val="24"/>
          <w:szCs w:val="24"/>
        </w:rPr>
        <w:t>s Corporate Statute</w:t>
      </w:r>
      <w:r>
        <w:rPr>
          <w:rFonts w:ascii="Arial" w:hAnsi="Arial" w:cs="Arial"/>
          <w:sz w:val="24"/>
          <w:szCs w:val="24"/>
        </w:rPr>
        <w:t>)</w:t>
      </w:r>
      <w:r w:rsidR="00DC4CB7">
        <w:rPr>
          <w:rFonts w:ascii="Arial" w:hAnsi="Arial" w:cs="Arial"/>
          <w:sz w:val="24"/>
          <w:szCs w:val="24"/>
        </w:rPr>
        <w:t xml:space="preserve"> </w:t>
      </w:r>
      <w:r w:rsidR="005E7C6A">
        <w:rPr>
          <w:rFonts w:ascii="Arial" w:hAnsi="Arial" w:cs="Arial"/>
          <w:sz w:val="24"/>
          <w:szCs w:val="24"/>
        </w:rPr>
        <w:t>and Duke’s corporate separation plan require</w:t>
      </w:r>
      <w:r w:rsidR="005E7C6A" w:rsidRPr="005E7C6A">
        <w:rPr>
          <w:rFonts w:ascii="Arial" w:hAnsi="Arial" w:cs="Arial"/>
          <w:sz w:val="24"/>
          <w:szCs w:val="24"/>
        </w:rPr>
        <w:t xml:space="preserve"> </w:t>
      </w:r>
      <w:r w:rsidR="00F04A76">
        <w:rPr>
          <w:rFonts w:ascii="Arial" w:hAnsi="Arial" w:cs="Arial"/>
          <w:sz w:val="24"/>
          <w:szCs w:val="24"/>
        </w:rPr>
        <w:t xml:space="preserve">Duke to  </w:t>
      </w:r>
      <w:r w:rsidR="00F04A76">
        <w:rPr>
          <w:rFonts w:ascii="Arial" w:hAnsi="Arial" w:cs="Arial"/>
          <w:sz w:val="24"/>
          <w:szCs w:val="24"/>
        </w:rPr>
        <w:lastRenderedPageBreak/>
        <w:t xml:space="preserve">allocate </w:t>
      </w:r>
      <w:r w:rsidR="00BF70C6">
        <w:rPr>
          <w:rFonts w:ascii="Arial" w:hAnsi="Arial" w:cs="Arial"/>
          <w:sz w:val="24"/>
          <w:szCs w:val="24"/>
        </w:rPr>
        <w:t xml:space="preserve">fully embedded </w:t>
      </w:r>
      <w:r w:rsidR="00F04A76">
        <w:rPr>
          <w:rFonts w:ascii="Arial" w:hAnsi="Arial" w:cs="Arial"/>
          <w:sz w:val="24"/>
          <w:szCs w:val="24"/>
        </w:rPr>
        <w:t>costs</w:t>
      </w:r>
      <w:r w:rsidR="005E7C6A">
        <w:rPr>
          <w:rFonts w:ascii="Arial" w:hAnsi="Arial" w:cs="Arial"/>
          <w:sz w:val="24"/>
          <w:szCs w:val="24"/>
        </w:rPr>
        <w:t xml:space="preserve"> for any services or resources Duke provides to its affiliate</w:t>
      </w:r>
      <w:r w:rsidR="00F04A76">
        <w:rPr>
          <w:rFonts w:ascii="Arial" w:hAnsi="Arial" w:cs="Arial"/>
          <w:sz w:val="24"/>
          <w:szCs w:val="24"/>
        </w:rPr>
        <w:t xml:space="preserve"> </w:t>
      </w:r>
      <w:r w:rsidR="005E7C6A">
        <w:rPr>
          <w:rFonts w:ascii="Arial" w:hAnsi="Arial" w:cs="Arial"/>
          <w:sz w:val="24"/>
          <w:szCs w:val="24"/>
        </w:rPr>
        <w:t xml:space="preserve">(or internal business unit) engaged in the business of providing retail electric service or products or services other than retail electric service. </w:t>
      </w:r>
      <w:r w:rsidR="00F04A76">
        <w:rPr>
          <w:rFonts w:ascii="Arial" w:hAnsi="Arial" w:cs="Arial"/>
          <w:sz w:val="24"/>
          <w:szCs w:val="24"/>
        </w:rPr>
        <w:t xml:space="preserve">  </w:t>
      </w:r>
    </w:p>
    <w:p w14:paraId="4F873D6D" w14:textId="465C8CBE" w:rsidR="00FC4821" w:rsidRDefault="00FC4821" w:rsidP="00FC4821">
      <w:pPr>
        <w:spacing w:line="480" w:lineRule="auto"/>
        <w:ind w:left="720" w:hanging="720"/>
        <w:jc w:val="both"/>
        <w:rPr>
          <w:rFonts w:ascii="Arial" w:hAnsi="Arial" w:cs="Arial"/>
          <w:b/>
          <w:sz w:val="24"/>
          <w:szCs w:val="24"/>
        </w:rPr>
      </w:pPr>
      <w:r w:rsidRPr="00390BD8">
        <w:rPr>
          <w:rFonts w:ascii="Arial" w:hAnsi="Arial" w:cs="Arial"/>
          <w:b/>
          <w:sz w:val="24"/>
          <w:szCs w:val="24"/>
        </w:rPr>
        <w:t>Q.</w:t>
      </w:r>
      <w:r w:rsidRPr="00390BD8">
        <w:rPr>
          <w:rFonts w:ascii="Arial" w:hAnsi="Arial" w:cs="Arial"/>
          <w:b/>
          <w:sz w:val="24"/>
          <w:szCs w:val="24"/>
        </w:rPr>
        <w:tab/>
      </w:r>
      <w:r>
        <w:rPr>
          <w:rFonts w:ascii="Arial" w:hAnsi="Arial" w:cs="Arial"/>
          <w:b/>
          <w:sz w:val="24"/>
          <w:szCs w:val="24"/>
        </w:rPr>
        <w:t xml:space="preserve">Has </w:t>
      </w:r>
      <w:r w:rsidR="009241B3">
        <w:rPr>
          <w:rFonts w:ascii="Arial" w:hAnsi="Arial" w:cs="Arial"/>
          <w:b/>
          <w:sz w:val="24"/>
          <w:szCs w:val="24"/>
        </w:rPr>
        <w:t>IGS asked Duke how it allocates costs to StrikeStop and Underground Protection service</w:t>
      </w:r>
      <w:r w:rsidRPr="00390BD8">
        <w:rPr>
          <w:rFonts w:ascii="Arial" w:hAnsi="Arial" w:cs="Arial"/>
          <w:b/>
          <w:sz w:val="24"/>
          <w:szCs w:val="24"/>
        </w:rPr>
        <w:t xml:space="preserve">?   </w:t>
      </w:r>
    </w:p>
    <w:p w14:paraId="7235B0A3" w14:textId="4D971508" w:rsidR="00A964D4" w:rsidRDefault="00FC4821" w:rsidP="00D90237">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Yes.  </w:t>
      </w:r>
      <w:r w:rsidR="009241B3">
        <w:rPr>
          <w:rFonts w:ascii="Arial" w:hAnsi="Arial" w:cs="Arial"/>
          <w:sz w:val="24"/>
          <w:szCs w:val="24"/>
        </w:rPr>
        <w:t>IGS</w:t>
      </w:r>
      <w:r>
        <w:rPr>
          <w:rFonts w:ascii="Arial" w:hAnsi="Arial" w:cs="Arial"/>
          <w:sz w:val="24"/>
          <w:szCs w:val="24"/>
        </w:rPr>
        <w:t xml:space="preserve"> </w:t>
      </w:r>
      <w:r w:rsidR="009241B3">
        <w:rPr>
          <w:rFonts w:ascii="Arial" w:hAnsi="Arial" w:cs="Arial"/>
          <w:sz w:val="24"/>
          <w:szCs w:val="24"/>
        </w:rPr>
        <w:t>asked Duke in discovery for the specific sections in Duke’s cost allocation manual (“CAM”) that relate to StrikeStop and Underground Protection</w:t>
      </w:r>
      <w:r>
        <w:rPr>
          <w:rFonts w:ascii="Arial" w:hAnsi="Arial" w:cs="Arial"/>
          <w:sz w:val="24"/>
          <w:szCs w:val="24"/>
        </w:rPr>
        <w:t>.</w:t>
      </w:r>
      <w:r w:rsidR="005E7C6A">
        <w:rPr>
          <w:rFonts w:ascii="Arial" w:hAnsi="Arial" w:cs="Arial"/>
          <w:sz w:val="24"/>
          <w:szCs w:val="24"/>
        </w:rPr>
        <w:t xml:space="preserve">  </w:t>
      </w:r>
      <w:r w:rsidR="009241B3">
        <w:rPr>
          <w:rFonts w:ascii="Arial" w:hAnsi="Arial" w:cs="Arial"/>
          <w:sz w:val="24"/>
          <w:szCs w:val="24"/>
        </w:rPr>
        <w:t>Also, in discovery</w:t>
      </w:r>
      <w:r w:rsidR="00036D3C">
        <w:rPr>
          <w:rFonts w:ascii="Arial" w:hAnsi="Arial" w:cs="Arial"/>
          <w:sz w:val="24"/>
          <w:szCs w:val="24"/>
        </w:rPr>
        <w:t>,</w:t>
      </w:r>
      <w:r w:rsidR="009241B3">
        <w:rPr>
          <w:rFonts w:ascii="Arial" w:hAnsi="Arial" w:cs="Arial"/>
          <w:sz w:val="24"/>
          <w:szCs w:val="24"/>
        </w:rPr>
        <w:t xml:space="preserve"> RESA asked Duke for the contracts that relate to the billing for StrikeStop and Underground Protection.</w:t>
      </w:r>
      <w:r w:rsidR="005E7C6A">
        <w:rPr>
          <w:rFonts w:ascii="Arial" w:hAnsi="Arial" w:cs="Arial"/>
          <w:sz w:val="24"/>
          <w:szCs w:val="24"/>
        </w:rPr>
        <w:t xml:space="preserve">  </w:t>
      </w:r>
      <w:r w:rsidR="009241B3">
        <w:rPr>
          <w:rFonts w:ascii="Arial" w:hAnsi="Arial" w:cs="Arial"/>
          <w:sz w:val="24"/>
          <w:szCs w:val="24"/>
        </w:rPr>
        <w:t>Duke</w:t>
      </w:r>
      <w:r w:rsidR="00D70AA5">
        <w:rPr>
          <w:rFonts w:ascii="Arial" w:hAnsi="Arial" w:cs="Arial"/>
          <w:sz w:val="24"/>
          <w:szCs w:val="24"/>
        </w:rPr>
        <w:t>,</w:t>
      </w:r>
      <w:r w:rsidR="009241B3">
        <w:rPr>
          <w:rFonts w:ascii="Arial" w:hAnsi="Arial" w:cs="Arial"/>
          <w:sz w:val="24"/>
          <w:szCs w:val="24"/>
        </w:rPr>
        <w:t xml:space="preserve"> however</w:t>
      </w:r>
      <w:r w:rsidR="00D70AA5">
        <w:rPr>
          <w:rFonts w:ascii="Arial" w:hAnsi="Arial" w:cs="Arial"/>
          <w:sz w:val="24"/>
          <w:szCs w:val="24"/>
        </w:rPr>
        <w:t>,</w:t>
      </w:r>
      <w:r w:rsidR="009241B3">
        <w:rPr>
          <w:rFonts w:ascii="Arial" w:hAnsi="Arial" w:cs="Arial"/>
          <w:sz w:val="24"/>
          <w:szCs w:val="24"/>
        </w:rPr>
        <w:t xml:space="preserve"> was unwilling to provide any answers to the questions asked by IGS and RESA.</w:t>
      </w:r>
      <w:r w:rsidR="00EA6440">
        <w:rPr>
          <w:rFonts w:ascii="Arial" w:hAnsi="Arial" w:cs="Arial"/>
          <w:sz w:val="24"/>
          <w:szCs w:val="24"/>
        </w:rPr>
        <w:t xml:space="preserve"> Accordingly, Duke has</w:t>
      </w:r>
      <w:r w:rsidR="005E7C6A">
        <w:rPr>
          <w:rFonts w:ascii="Arial" w:hAnsi="Arial" w:cs="Arial"/>
          <w:sz w:val="24"/>
          <w:szCs w:val="24"/>
        </w:rPr>
        <w:t xml:space="preserve"> not offered any evidence to demonstrate</w:t>
      </w:r>
      <w:r w:rsidR="00EA6440">
        <w:rPr>
          <w:rFonts w:ascii="Arial" w:hAnsi="Arial" w:cs="Arial"/>
          <w:sz w:val="24"/>
          <w:szCs w:val="24"/>
        </w:rPr>
        <w:t xml:space="preserve"> that </w:t>
      </w:r>
      <w:r w:rsidR="005E7C6A">
        <w:rPr>
          <w:rFonts w:ascii="Arial" w:hAnsi="Arial" w:cs="Arial"/>
          <w:sz w:val="24"/>
          <w:szCs w:val="24"/>
        </w:rPr>
        <w:t>it is allocating costs to its affiliates in</w:t>
      </w:r>
      <w:r w:rsidR="00EA6440">
        <w:rPr>
          <w:rFonts w:ascii="Arial" w:hAnsi="Arial" w:cs="Arial"/>
          <w:sz w:val="24"/>
          <w:szCs w:val="24"/>
        </w:rPr>
        <w:t xml:space="preserve"> compliance with its corporate separation plan and Ohio’s corporate separation statutes</w:t>
      </w:r>
      <w:r w:rsidR="005E7C6A">
        <w:rPr>
          <w:rFonts w:ascii="Arial" w:hAnsi="Arial" w:cs="Arial"/>
          <w:sz w:val="24"/>
          <w:szCs w:val="24"/>
        </w:rPr>
        <w:t>.</w:t>
      </w:r>
    </w:p>
    <w:p w14:paraId="2ABE79AC" w14:textId="7BC788CC" w:rsidR="00C15B9D" w:rsidRDefault="00C15B9D" w:rsidP="00C15B9D">
      <w:pPr>
        <w:spacing w:line="480" w:lineRule="auto"/>
        <w:ind w:left="720" w:hanging="720"/>
        <w:jc w:val="both"/>
        <w:rPr>
          <w:rFonts w:ascii="Arial" w:hAnsi="Arial" w:cs="Arial"/>
          <w:b/>
          <w:sz w:val="24"/>
          <w:szCs w:val="24"/>
        </w:rPr>
      </w:pPr>
      <w:r w:rsidRPr="00390BD8">
        <w:rPr>
          <w:rFonts w:ascii="Arial" w:hAnsi="Arial" w:cs="Arial"/>
          <w:b/>
          <w:sz w:val="24"/>
          <w:szCs w:val="24"/>
        </w:rPr>
        <w:t>Q.</w:t>
      </w:r>
      <w:r w:rsidRPr="00390BD8">
        <w:rPr>
          <w:rFonts w:ascii="Arial" w:hAnsi="Arial" w:cs="Arial"/>
          <w:b/>
          <w:sz w:val="24"/>
          <w:szCs w:val="24"/>
        </w:rPr>
        <w:tab/>
      </w:r>
      <w:r>
        <w:rPr>
          <w:rFonts w:ascii="Arial" w:hAnsi="Arial" w:cs="Arial"/>
          <w:b/>
          <w:sz w:val="24"/>
          <w:szCs w:val="24"/>
        </w:rPr>
        <w:t>Has IGS asked Duke how it allocates costs to the unregulated products and services it provides to customers</w:t>
      </w:r>
      <w:r w:rsidRPr="00390BD8">
        <w:rPr>
          <w:rFonts w:ascii="Arial" w:hAnsi="Arial" w:cs="Arial"/>
          <w:b/>
          <w:sz w:val="24"/>
          <w:szCs w:val="24"/>
        </w:rPr>
        <w:t xml:space="preserve">?   </w:t>
      </w:r>
    </w:p>
    <w:p w14:paraId="07559C71" w14:textId="7CE228B5" w:rsidR="00C15B9D" w:rsidRDefault="00C15B9D" w:rsidP="00D90237">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Yes.  Duke was asked in discovery how it allocated costs to the unregulated non-electric products and services it offers to customers directly and Duke responded that it did not know how it was going to </w:t>
      </w:r>
      <w:r w:rsidR="00B16ADE">
        <w:rPr>
          <w:rFonts w:ascii="Arial" w:hAnsi="Arial" w:cs="Arial"/>
          <w:sz w:val="24"/>
          <w:szCs w:val="24"/>
        </w:rPr>
        <w:t>allocate costs to the services it provides to customers directly.  However, as I already testified</w:t>
      </w:r>
      <w:r w:rsidR="00036D3C">
        <w:rPr>
          <w:rFonts w:ascii="Arial" w:hAnsi="Arial" w:cs="Arial"/>
          <w:sz w:val="24"/>
          <w:szCs w:val="24"/>
        </w:rPr>
        <w:t>,</w:t>
      </w:r>
      <w:r w:rsidR="00B16ADE">
        <w:rPr>
          <w:rFonts w:ascii="Arial" w:hAnsi="Arial" w:cs="Arial"/>
          <w:sz w:val="24"/>
          <w:szCs w:val="24"/>
        </w:rPr>
        <w:t xml:space="preserve"> Duke providing maintenance service for customer sited lighting that it offers directly to customers.  Thus, it appears Duke is providing unregulated service to customers without even determin</w:t>
      </w:r>
      <w:r w:rsidR="00036D3C">
        <w:rPr>
          <w:rFonts w:ascii="Arial" w:hAnsi="Arial" w:cs="Arial"/>
          <w:sz w:val="24"/>
          <w:szCs w:val="24"/>
        </w:rPr>
        <w:t>ing</w:t>
      </w:r>
      <w:r w:rsidR="00B16ADE">
        <w:rPr>
          <w:rFonts w:ascii="Arial" w:hAnsi="Arial" w:cs="Arial"/>
          <w:sz w:val="24"/>
          <w:szCs w:val="24"/>
        </w:rPr>
        <w:t xml:space="preserve"> how it will allocate costs to that service.</w:t>
      </w:r>
    </w:p>
    <w:p w14:paraId="265D7872" w14:textId="36FDE727" w:rsidR="00EA6440" w:rsidRPr="00EA6440" w:rsidRDefault="00EA6440" w:rsidP="00D90237">
      <w:pPr>
        <w:spacing w:line="480" w:lineRule="auto"/>
        <w:ind w:left="720" w:hanging="720"/>
        <w:jc w:val="both"/>
        <w:rPr>
          <w:rFonts w:ascii="Arial" w:hAnsi="Arial" w:cs="Arial"/>
          <w:b/>
          <w:sz w:val="24"/>
          <w:szCs w:val="24"/>
        </w:rPr>
      </w:pPr>
      <w:r w:rsidRPr="00EA6440">
        <w:rPr>
          <w:rFonts w:ascii="Arial" w:hAnsi="Arial" w:cs="Arial"/>
          <w:b/>
          <w:sz w:val="24"/>
          <w:szCs w:val="24"/>
        </w:rPr>
        <w:lastRenderedPageBreak/>
        <w:t>Q.</w:t>
      </w:r>
      <w:r w:rsidRPr="00EA6440">
        <w:rPr>
          <w:rFonts w:ascii="Arial" w:hAnsi="Arial" w:cs="Arial"/>
          <w:b/>
          <w:sz w:val="24"/>
          <w:szCs w:val="24"/>
        </w:rPr>
        <w:tab/>
        <w:t>Why is it important that Duke allocate costs appropriately to its unregulated products and services?</w:t>
      </w:r>
    </w:p>
    <w:p w14:paraId="72A17477" w14:textId="0AD331BB" w:rsidR="00EA6440" w:rsidRDefault="00EA6440" w:rsidP="00D90237">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First, </w:t>
      </w:r>
      <w:r w:rsidR="00F206BF">
        <w:rPr>
          <w:rFonts w:ascii="Arial" w:hAnsi="Arial" w:cs="Arial"/>
          <w:sz w:val="24"/>
          <w:szCs w:val="24"/>
        </w:rPr>
        <w:t xml:space="preserve">Duke is </w:t>
      </w:r>
      <w:r w:rsidR="00357689">
        <w:rPr>
          <w:rFonts w:ascii="Arial" w:hAnsi="Arial" w:cs="Arial"/>
          <w:sz w:val="24"/>
          <w:szCs w:val="24"/>
        </w:rPr>
        <w:t>leveraging</w:t>
      </w:r>
      <w:r w:rsidR="00F206BF">
        <w:rPr>
          <w:rFonts w:ascii="Arial" w:hAnsi="Arial" w:cs="Arial"/>
          <w:sz w:val="24"/>
          <w:szCs w:val="24"/>
        </w:rPr>
        <w:t xml:space="preserve"> distribution </w:t>
      </w:r>
      <w:r w:rsidR="00357689">
        <w:rPr>
          <w:rFonts w:ascii="Arial" w:hAnsi="Arial" w:cs="Arial"/>
          <w:sz w:val="24"/>
          <w:szCs w:val="24"/>
        </w:rPr>
        <w:t>ratepayer’s</w:t>
      </w:r>
      <w:r w:rsidR="00F206BF">
        <w:rPr>
          <w:rFonts w:ascii="Arial" w:hAnsi="Arial" w:cs="Arial"/>
          <w:sz w:val="24"/>
          <w:szCs w:val="24"/>
        </w:rPr>
        <w:t xml:space="preserve"> assets</w:t>
      </w:r>
      <w:r w:rsidR="00357689">
        <w:rPr>
          <w:rFonts w:ascii="Arial" w:hAnsi="Arial" w:cs="Arial"/>
          <w:sz w:val="24"/>
          <w:szCs w:val="24"/>
        </w:rPr>
        <w:t xml:space="preserve"> to offer</w:t>
      </w:r>
      <w:r w:rsidR="00F206BF">
        <w:rPr>
          <w:rFonts w:ascii="Arial" w:hAnsi="Arial" w:cs="Arial"/>
          <w:sz w:val="24"/>
          <w:szCs w:val="24"/>
        </w:rPr>
        <w:t xml:space="preserve"> unregulated products and services to customers.  Duke must allocate costs appropriately to these services, because if it does not, distribution ratepayers would be subsidizing the unregulated products and services Duke provi</w:t>
      </w:r>
      <w:r w:rsidR="00357689">
        <w:rPr>
          <w:rFonts w:ascii="Arial" w:hAnsi="Arial" w:cs="Arial"/>
          <w:sz w:val="24"/>
          <w:szCs w:val="24"/>
        </w:rPr>
        <w:t>des.  It is unreasonable</w:t>
      </w:r>
      <w:r w:rsidR="00F206BF">
        <w:rPr>
          <w:rFonts w:ascii="Arial" w:hAnsi="Arial" w:cs="Arial"/>
          <w:sz w:val="24"/>
          <w:szCs w:val="24"/>
        </w:rPr>
        <w:t xml:space="preserve"> for distribu</w:t>
      </w:r>
      <w:r w:rsidR="00E0102F">
        <w:rPr>
          <w:rFonts w:ascii="Arial" w:hAnsi="Arial" w:cs="Arial"/>
          <w:sz w:val="24"/>
          <w:szCs w:val="24"/>
        </w:rPr>
        <w:t>tion ratepayers to subsidize an</w:t>
      </w:r>
      <w:r w:rsidR="00F206BF">
        <w:rPr>
          <w:rFonts w:ascii="Arial" w:hAnsi="Arial" w:cs="Arial"/>
          <w:sz w:val="24"/>
          <w:szCs w:val="24"/>
        </w:rPr>
        <w:t xml:space="preserve"> unregulated product and service.  Second, the unregulated products and services Duke is currently providing are competitive products.   </w:t>
      </w:r>
      <w:r w:rsidR="00E0102F">
        <w:rPr>
          <w:rFonts w:ascii="Arial" w:hAnsi="Arial" w:cs="Arial"/>
          <w:sz w:val="24"/>
          <w:szCs w:val="24"/>
        </w:rPr>
        <w:t xml:space="preserve">The unregulated products Duke is offering </w:t>
      </w:r>
      <w:r w:rsidR="00F206BF">
        <w:rPr>
          <w:rFonts w:ascii="Arial" w:hAnsi="Arial" w:cs="Arial"/>
          <w:sz w:val="24"/>
          <w:szCs w:val="24"/>
        </w:rPr>
        <w:t xml:space="preserve">are not “natural monopoly” products </w:t>
      </w:r>
      <w:r w:rsidR="00E0102F">
        <w:rPr>
          <w:rFonts w:ascii="Arial" w:hAnsi="Arial" w:cs="Arial"/>
          <w:sz w:val="24"/>
          <w:szCs w:val="24"/>
        </w:rPr>
        <w:t>like electric distribution service.  There are</w:t>
      </w:r>
      <w:r w:rsidR="00F206BF">
        <w:rPr>
          <w:rFonts w:ascii="Arial" w:hAnsi="Arial" w:cs="Arial"/>
          <w:sz w:val="24"/>
          <w:szCs w:val="24"/>
        </w:rPr>
        <w:t xml:space="preserve"> numerous competitors that are able to offer these products to customers. </w:t>
      </w:r>
      <w:r w:rsidR="00F206BF" w:rsidRPr="00341416">
        <w:rPr>
          <w:rFonts w:ascii="Arial" w:hAnsi="Arial" w:cs="Arial"/>
          <w:sz w:val="24"/>
          <w:szCs w:val="24"/>
        </w:rPr>
        <w:t xml:space="preserve"> Thus, if Duke is </w:t>
      </w:r>
      <w:r w:rsidR="00E0102F" w:rsidRPr="00341416">
        <w:rPr>
          <w:rFonts w:ascii="Arial" w:hAnsi="Arial" w:cs="Arial"/>
          <w:sz w:val="24"/>
          <w:szCs w:val="24"/>
        </w:rPr>
        <w:t xml:space="preserve">able to subsidize these products </w:t>
      </w:r>
      <w:r w:rsidR="00DD1AFE" w:rsidRPr="00341416">
        <w:rPr>
          <w:rFonts w:ascii="Arial" w:hAnsi="Arial" w:cs="Arial"/>
          <w:sz w:val="24"/>
          <w:szCs w:val="24"/>
        </w:rPr>
        <w:t>through distribution rates</w:t>
      </w:r>
      <w:r w:rsidR="00E0102F" w:rsidRPr="00341416">
        <w:rPr>
          <w:rFonts w:ascii="Arial" w:hAnsi="Arial" w:cs="Arial"/>
          <w:sz w:val="24"/>
          <w:szCs w:val="24"/>
        </w:rPr>
        <w:t xml:space="preserve">, it would amount to an anti-competitive and unlawful advantage </w:t>
      </w:r>
      <w:r w:rsidR="00DD1AFE" w:rsidRPr="00341416">
        <w:rPr>
          <w:rFonts w:ascii="Arial" w:hAnsi="Arial" w:cs="Arial"/>
          <w:sz w:val="24"/>
          <w:szCs w:val="24"/>
        </w:rPr>
        <w:t>provided to Duke’s</w:t>
      </w:r>
      <w:r w:rsidR="00E0102F" w:rsidRPr="00341416">
        <w:rPr>
          <w:rFonts w:ascii="Arial" w:hAnsi="Arial" w:cs="Arial"/>
          <w:sz w:val="24"/>
          <w:szCs w:val="24"/>
        </w:rPr>
        <w:t xml:space="preserve"> unregulated products and services, to the detriment of all other products and services in the market</w:t>
      </w:r>
      <w:r w:rsidR="00F206BF" w:rsidRPr="00341416">
        <w:rPr>
          <w:rFonts w:ascii="Arial" w:hAnsi="Arial" w:cs="Arial"/>
          <w:sz w:val="24"/>
          <w:szCs w:val="24"/>
        </w:rPr>
        <w:t>.</w:t>
      </w:r>
      <w:r w:rsidR="00341416" w:rsidRPr="00341416">
        <w:rPr>
          <w:rFonts w:ascii="Arial" w:hAnsi="Arial" w:cs="Arial"/>
          <w:sz w:val="24"/>
          <w:szCs w:val="24"/>
        </w:rPr>
        <w:t xml:space="preserve"> </w:t>
      </w:r>
    </w:p>
    <w:p w14:paraId="4D4FBB3D" w14:textId="7CA0A837" w:rsidR="00A964D4" w:rsidRPr="00F206BF" w:rsidRDefault="00F206BF" w:rsidP="00D90237">
      <w:pPr>
        <w:spacing w:line="480" w:lineRule="auto"/>
        <w:ind w:left="720" w:hanging="720"/>
        <w:jc w:val="both"/>
        <w:rPr>
          <w:rFonts w:ascii="Arial" w:hAnsi="Arial" w:cs="Arial"/>
          <w:b/>
          <w:sz w:val="24"/>
          <w:szCs w:val="24"/>
        </w:rPr>
      </w:pPr>
      <w:r w:rsidRPr="00F206BF">
        <w:rPr>
          <w:rFonts w:ascii="Arial" w:hAnsi="Arial" w:cs="Arial"/>
          <w:b/>
          <w:sz w:val="24"/>
          <w:szCs w:val="24"/>
        </w:rPr>
        <w:t>Q.</w:t>
      </w:r>
      <w:r w:rsidRPr="00F206BF">
        <w:rPr>
          <w:rFonts w:ascii="Arial" w:hAnsi="Arial" w:cs="Arial"/>
          <w:b/>
          <w:sz w:val="24"/>
          <w:szCs w:val="24"/>
        </w:rPr>
        <w:tab/>
        <w:t>What information must Duke provide in order for the Commission to make a reasonable determination about whether Duke is in compliance with its corporate separation requirements?</w:t>
      </w:r>
    </w:p>
    <w:p w14:paraId="21D446C2" w14:textId="632777F3" w:rsidR="00A964D4" w:rsidRDefault="00DD1AFE" w:rsidP="00D90237">
      <w:pPr>
        <w:spacing w:line="480" w:lineRule="auto"/>
        <w:ind w:left="720" w:hanging="720"/>
        <w:jc w:val="both"/>
        <w:rPr>
          <w:rFonts w:ascii="Arial" w:hAnsi="Arial" w:cs="Arial"/>
          <w:sz w:val="24"/>
          <w:szCs w:val="24"/>
        </w:rPr>
      </w:pPr>
      <w:r>
        <w:rPr>
          <w:rFonts w:ascii="Arial" w:hAnsi="Arial" w:cs="Arial"/>
          <w:sz w:val="24"/>
          <w:szCs w:val="24"/>
        </w:rPr>
        <w:t>A.</w:t>
      </w:r>
      <w:r w:rsidR="00D36ADB">
        <w:rPr>
          <w:rFonts w:ascii="Arial" w:hAnsi="Arial" w:cs="Arial"/>
          <w:sz w:val="24"/>
          <w:szCs w:val="24"/>
        </w:rPr>
        <w:tab/>
        <w:t>In order for the Commission to make a meaningful determination as to whether Duke</w:t>
      </w:r>
      <w:r w:rsidR="009F31A8">
        <w:rPr>
          <w:rFonts w:ascii="Arial" w:hAnsi="Arial" w:cs="Arial"/>
          <w:sz w:val="24"/>
          <w:szCs w:val="24"/>
        </w:rPr>
        <w:t xml:space="preserve"> is in compliance with Duke’s corporate separation plan and the corporate separation requirements set forth in </w:t>
      </w:r>
      <w:r w:rsidR="009F31A8" w:rsidRPr="00341416">
        <w:rPr>
          <w:rFonts w:ascii="Arial" w:hAnsi="Arial" w:cs="Arial"/>
          <w:sz w:val="24"/>
          <w:szCs w:val="24"/>
        </w:rPr>
        <w:t>4928.17</w:t>
      </w:r>
      <w:r w:rsidR="009F31A8">
        <w:rPr>
          <w:rFonts w:ascii="Arial" w:hAnsi="Arial" w:cs="Arial"/>
          <w:sz w:val="24"/>
          <w:szCs w:val="24"/>
        </w:rPr>
        <w:t xml:space="preserve"> the Commission must know 1) all of the</w:t>
      </w:r>
      <w:r w:rsidR="009241B3">
        <w:rPr>
          <w:rFonts w:ascii="Arial" w:hAnsi="Arial" w:cs="Arial"/>
          <w:sz w:val="24"/>
          <w:szCs w:val="24"/>
        </w:rPr>
        <w:t xml:space="preserve"> unregulated</w:t>
      </w:r>
      <w:r w:rsidR="009F31A8">
        <w:rPr>
          <w:rFonts w:ascii="Arial" w:hAnsi="Arial" w:cs="Arial"/>
          <w:sz w:val="24"/>
          <w:szCs w:val="24"/>
        </w:rPr>
        <w:t xml:space="preserve"> non-electric products and services Duke</w:t>
      </w:r>
      <w:r w:rsidR="009241B3">
        <w:rPr>
          <w:rFonts w:ascii="Arial" w:hAnsi="Arial" w:cs="Arial"/>
          <w:sz w:val="24"/>
          <w:szCs w:val="24"/>
        </w:rPr>
        <w:t xml:space="preserve"> or its affiliates are</w:t>
      </w:r>
      <w:r w:rsidR="009F31A8">
        <w:rPr>
          <w:rFonts w:ascii="Arial" w:hAnsi="Arial" w:cs="Arial"/>
          <w:sz w:val="24"/>
          <w:szCs w:val="24"/>
        </w:rPr>
        <w:t xml:space="preserve"> </w:t>
      </w:r>
      <w:r w:rsidR="009F31A8">
        <w:rPr>
          <w:rFonts w:ascii="Arial" w:hAnsi="Arial" w:cs="Arial"/>
          <w:sz w:val="24"/>
          <w:szCs w:val="24"/>
        </w:rPr>
        <w:lastRenderedPageBreak/>
        <w:t>providing to customers</w:t>
      </w:r>
      <w:r w:rsidR="003B1633">
        <w:rPr>
          <w:rFonts w:ascii="Arial" w:hAnsi="Arial" w:cs="Arial"/>
          <w:sz w:val="24"/>
          <w:szCs w:val="24"/>
        </w:rPr>
        <w:t xml:space="preserve"> and</w:t>
      </w:r>
      <w:r w:rsidR="009F31A8">
        <w:rPr>
          <w:rFonts w:ascii="Arial" w:hAnsi="Arial" w:cs="Arial"/>
          <w:sz w:val="24"/>
          <w:szCs w:val="24"/>
        </w:rPr>
        <w:t xml:space="preserve"> 2) how Duke is allocating costs to the non-electric products and services to customers </w:t>
      </w:r>
      <w:r w:rsidR="003B1633">
        <w:rPr>
          <w:rFonts w:ascii="Arial" w:hAnsi="Arial" w:cs="Arial"/>
          <w:sz w:val="24"/>
          <w:szCs w:val="24"/>
        </w:rPr>
        <w:t>including the fully embedded costs to provide its unregulated services to customers</w:t>
      </w:r>
      <w:r w:rsidR="00B7508E">
        <w:rPr>
          <w:rFonts w:ascii="Arial" w:hAnsi="Arial" w:cs="Arial"/>
          <w:sz w:val="24"/>
          <w:szCs w:val="24"/>
        </w:rPr>
        <w:t xml:space="preserve"> and</w:t>
      </w:r>
      <w:r w:rsidR="009241B3">
        <w:rPr>
          <w:rFonts w:ascii="Arial" w:hAnsi="Arial" w:cs="Arial"/>
          <w:sz w:val="24"/>
          <w:szCs w:val="24"/>
        </w:rPr>
        <w:t xml:space="preserve"> 3)</w:t>
      </w:r>
      <w:r w:rsidR="00B7508E">
        <w:rPr>
          <w:rFonts w:ascii="Arial" w:hAnsi="Arial" w:cs="Arial"/>
          <w:sz w:val="24"/>
          <w:szCs w:val="24"/>
        </w:rPr>
        <w:t xml:space="preserve"> whether Duke’s unregulated affiliates that provide non-electric service are getting preferential access to EDU customer information including account numbers and customer lists</w:t>
      </w:r>
      <w:r w:rsidR="003B1633">
        <w:rPr>
          <w:rFonts w:ascii="Arial" w:hAnsi="Arial" w:cs="Arial"/>
          <w:sz w:val="24"/>
          <w:szCs w:val="24"/>
        </w:rPr>
        <w:t>.</w:t>
      </w:r>
    </w:p>
    <w:p w14:paraId="6F3AE8E8" w14:textId="5FB54780" w:rsidR="003B1633" w:rsidRDefault="003B1633" w:rsidP="00D90237">
      <w:pPr>
        <w:spacing w:line="480" w:lineRule="auto"/>
        <w:ind w:left="720" w:hanging="720"/>
        <w:jc w:val="both"/>
        <w:rPr>
          <w:rFonts w:ascii="Arial" w:hAnsi="Arial" w:cs="Arial"/>
          <w:b/>
          <w:sz w:val="24"/>
          <w:szCs w:val="24"/>
        </w:rPr>
      </w:pPr>
      <w:r w:rsidRPr="003B1633">
        <w:rPr>
          <w:rFonts w:ascii="Arial" w:hAnsi="Arial" w:cs="Arial"/>
          <w:b/>
          <w:sz w:val="24"/>
          <w:szCs w:val="24"/>
        </w:rPr>
        <w:t>Q.</w:t>
      </w:r>
      <w:r w:rsidRPr="003B1633">
        <w:rPr>
          <w:rFonts w:ascii="Arial" w:hAnsi="Arial" w:cs="Arial"/>
          <w:b/>
          <w:sz w:val="24"/>
          <w:szCs w:val="24"/>
        </w:rPr>
        <w:tab/>
        <w:t>Has Duke filed testimony in this proceeding regarding their corporate separation plan?</w:t>
      </w:r>
    </w:p>
    <w:p w14:paraId="41A34074" w14:textId="77777777" w:rsidR="003A43C5" w:rsidRDefault="003B1633" w:rsidP="00D90237">
      <w:pPr>
        <w:spacing w:line="480" w:lineRule="auto"/>
        <w:ind w:left="720" w:hanging="720"/>
        <w:jc w:val="both"/>
        <w:rPr>
          <w:rFonts w:ascii="Arial" w:hAnsi="Arial" w:cs="Arial"/>
          <w:sz w:val="24"/>
          <w:szCs w:val="24"/>
        </w:rPr>
      </w:pPr>
      <w:r w:rsidRPr="003B1633">
        <w:rPr>
          <w:rFonts w:ascii="Arial" w:hAnsi="Arial" w:cs="Arial"/>
          <w:sz w:val="24"/>
          <w:szCs w:val="24"/>
        </w:rPr>
        <w:t>A.</w:t>
      </w:r>
      <w:r w:rsidRPr="003B1633">
        <w:rPr>
          <w:rFonts w:ascii="Arial" w:hAnsi="Arial" w:cs="Arial"/>
          <w:sz w:val="24"/>
          <w:szCs w:val="24"/>
        </w:rPr>
        <w:tab/>
      </w:r>
      <w:r>
        <w:rPr>
          <w:rFonts w:ascii="Arial" w:hAnsi="Arial" w:cs="Arial"/>
          <w:sz w:val="24"/>
          <w:szCs w:val="24"/>
        </w:rPr>
        <w:t xml:space="preserve">Yes.  Duke witness Hollis provide testimony on the corporate separation plan (“CSP”) attempting to demonstrate Duke’s compliance with its CSP.  Mr. Hollis attached Duke’s CSP to </w:t>
      </w:r>
      <w:r w:rsidR="003A43C5">
        <w:rPr>
          <w:rFonts w:ascii="Arial" w:hAnsi="Arial" w:cs="Arial"/>
          <w:sz w:val="24"/>
          <w:szCs w:val="24"/>
        </w:rPr>
        <w:t>his testimony as Duke Exhibit MEH-2.</w:t>
      </w:r>
    </w:p>
    <w:p w14:paraId="79536391" w14:textId="18D60414" w:rsidR="00CE2FF2" w:rsidRPr="00B7508E" w:rsidRDefault="00CE2FF2" w:rsidP="00D90237">
      <w:pPr>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t>Does</w:t>
      </w:r>
      <w:r w:rsidRPr="003A43C5">
        <w:rPr>
          <w:rFonts w:ascii="Arial" w:hAnsi="Arial" w:cs="Arial"/>
          <w:b/>
          <w:sz w:val="24"/>
          <w:szCs w:val="24"/>
        </w:rPr>
        <w:t xml:space="preserve"> Duke</w:t>
      </w:r>
      <w:r>
        <w:rPr>
          <w:rFonts w:ascii="Arial" w:hAnsi="Arial" w:cs="Arial"/>
          <w:b/>
          <w:sz w:val="24"/>
          <w:szCs w:val="24"/>
        </w:rPr>
        <w:t xml:space="preserve"> Mention StrikeStop or Underground Protection services in its </w:t>
      </w:r>
      <w:r w:rsidR="00B7508E">
        <w:rPr>
          <w:rFonts w:ascii="Arial" w:hAnsi="Arial" w:cs="Arial"/>
          <w:b/>
          <w:sz w:val="24"/>
          <w:szCs w:val="24"/>
        </w:rPr>
        <w:t>CSP?</w:t>
      </w:r>
    </w:p>
    <w:p w14:paraId="48F0CDF7" w14:textId="5CDA88CF" w:rsidR="00DD1AFE" w:rsidRDefault="00DD1AFE" w:rsidP="002719F1">
      <w:pPr>
        <w:spacing w:line="480" w:lineRule="auto"/>
        <w:ind w:left="720" w:hanging="720"/>
        <w:jc w:val="both"/>
        <w:rPr>
          <w:rFonts w:ascii="Arial" w:hAnsi="Arial" w:cs="Arial"/>
          <w:sz w:val="24"/>
          <w:szCs w:val="24"/>
        </w:rPr>
      </w:pPr>
      <w:r w:rsidRPr="00DD1AFE">
        <w:rPr>
          <w:rFonts w:ascii="Arial" w:hAnsi="Arial" w:cs="Arial"/>
          <w:sz w:val="24"/>
          <w:szCs w:val="24"/>
        </w:rPr>
        <w:t>A.</w:t>
      </w:r>
      <w:r w:rsidR="00CE2FF2">
        <w:rPr>
          <w:rFonts w:ascii="Arial" w:hAnsi="Arial" w:cs="Arial"/>
          <w:sz w:val="24"/>
          <w:szCs w:val="24"/>
        </w:rPr>
        <w:tab/>
        <w:t xml:space="preserve">No.  Duke makes </w:t>
      </w:r>
      <w:r w:rsidR="00AB46BB">
        <w:rPr>
          <w:rFonts w:ascii="Arial" w:hAnsi="Arial" w:cs="Arial"/>
          <w:sz w:val="24"/>
          <w:szCs w:val="24"/>
        </w:rPr>
        <w:t>no r</w:t>
      </w:r>
      <w:r w:rsidR="00B7508E">
        <w:rPr>
          <w:rFonts w:ascii="Arial" w:hAnsi="Arial" w:cs="Arial"/>
          <w:sz w:val="24"/>
          <w:szCs w:val="24"/>
        </w:rPr>
        <w:t>eference to StrikeStop or Underground protection.  Duke merely lists Duke Energy One as one of dozens of Duke’s affiliates.  However, the CSP does not describe how Duke Energy One is being allocated costs nor does the CSP describe the services that Duke is providing to Duke Energy One. The CSP</w:t>
      </w:r>
      <w:r w:rsidR="00357689">
        <w:rPr>
          <w:rFonts w:ascii="Arial" w:hAnsi="Arial" w:cs="Arial"/>
          <w:sz w:val="24"/>
          <w:szCs w:val="24"/>
        </w:rPr>
        <w:t>,</w:t>
      </w:r>
      <w:r w:rsidR="00B7508E">
        <w:rPr>
          <w:rFonts w:ascii="Arial" w:hAnsi="Arial" w:cs="Arial"/>
          <w:sz w:val="24"/>
          <w:szCs w:val="24"/>
        </w:rPr>
        <w:t xml:space="preserve"> however</w:t>
      </w:r>
      <w:r w:rsidR="00357689">
        <w:rPr>
          <w:rFonts w:ascii="Arial" w:hAnsi="Arial" w:cs="Arial"/>
          <w:sz w:val="24"/>
          <w:szCs w:val="24"/>
        </w:rPr>
        <w:t>,</w:t>
      </w:r>
      <w:r w:rsidR="00B7508E">
        <w:rPr>
          <w:rFonts w:ascii="Arial" w:hAnsi="Arial" w:cs="Arial"/>
          <w:sz w:val="24"/>
          <w:szCs w:val="24"/>
        </w:rPr>
        <w:t xml:space="preserve"> refers to Duke’s CAM claiming that Duke is allocating costs to its affiliates in accordance to Duke’s CAM.  </w:t>
      </w:r>
      <w:r w:rsidR="0091614A">
        <w:rPr>
          <w:rFonts w:ascii="Arial" w:hAnsi="Arial" w:cs="Arial"/>
          <w:sz w:val="24"/>
          <w:szCs w:val="24"/>
        </w:rPr>
        <w:t>I</w:t>
      </w:r>
      <w:r w:rsidR="00B7508E">
        <w:rPr>
          <w:rFonts w:ascii="Arial" w:hAnsi="Arial" w:cs="Arial"/>
          <w:sz w:val="24"/>
          <w:szCs w:val="24"/>
        </w:rPr>
        <w:t>n discovery</w:t>
      </w:r>
      <w:r w:rsidR="0082256F">
        <w:rPr>
          <w:rFonts w:ascii="Arial" w:hAnsi="Arial" w:cs="Arial"/>
          <w:sz w:val="24"/>
          <w:szCs w:val="24"/>
        </w:rPr>
        <w:t>,</w:t>
      </w:r>
      <w:r w:rsidR="00B7508E">
        <w:rPr>
          <w:rFonts w:ascii="Arial" w:hAnsi="Arial" w:cs="Arial"/>
          <w:sz w:val="24"/>
          <w:szCs w:val="24"/>
        </w:rPr>
        <w:t xml:space="preserve"> both IGS and RESA asked for information from Duke’s CAM but Duke has refused to provide its CAM to IGS and RESA claiming that Duke’s CAM is not relevant to this proceeding</w:t>
      </w:r>
      <w:r w:rsidR="00357689">
        <w:rPr>
          <w:rFonts w:ascii="Arial" w:hAnsi="Arial" w:cs="Arial"/>
          <w:sz w:val="24"/>
          <w:szCs w:val="24"/>
        </w:rPr>
        <w:t>.</w:t>
      </w:r>
      <w:r w:rsidR="00DC4CB7">
        <w:rPr>
          <w:rFonts w:ascii="Arial" w:hAnsi="Arial" w:cs="Arial"/>
          <w:sz w:val="24"/>
          <w:szCs w:val="24"/>
        </w:rPr>
        <w:t xml:space="preserve"> </w:t>
      </w:r>
    </w:p>
    <w:p w14:paraId="159C8451" w14:textId="52172A70" w:rsidR="00785634" w:rsidRDefault="00785634" w:rsidP="00785634">
      <w:pPr>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t>Has Duke demonstrated in its ESP Application that it is in compliance with its CSP?</w:t>
      </w:r>
    </w:p>
    <w:p w14:paraId="1A84471D" w14:textId="2D21EE6A" w:rsidR="00785634" w:rsidRPr="00DD1AFE" w:rsidRDefault="00785634" w:rsidP="002719F1">
      <w:pPr>
        <w:spacing w:line="480" w:lineRule="auto"/>
        <w:ind w:left="720" w:hanging="720"/>
        <w:jc w:val="both"/>
        <w:rPr>
          <w:rFonts w:ascii="Arial" w:hAnsi="Arial" w:cs="Arial"/>
          <w:sz w:val="24"/>
          <w:szCs w:val="24"/>
        </w:rPr>
      </w:pPr>
      <w:r w:rsidRPr="00785634">
        <w:rPr>
          <w:rFonts w:ascii="Arial" w:hAnsi="Arial" w:cs="Arial"/>
          <w:sz w:val="24"/>
          <w:szCs w:val="24"/>
        </w:rPr>
        <w:lastRenderedPageBreak/>
        <w:t>A.</w:t>
      </w:r>
      <w:r w:rsidRPr="00785634">
        <w:rPr>
          <w:rFonts w:ascii="Arial" w:hAnsi="Arial" w:cs="Arial"/>
          <w:sz w:val="24"/>
          <w:szCs w:val="24"/>
        </w:rPr>
        <w:tab/>
      </w:r>
      <w:r>
        <w:rPr>
          <w:rFonts w:ascii="Arial" w:hAnsi="Arial" w:cs="Arial"/>
          <w:sz w:val="24"/>
          <w:szCs w:val="24"/>
        </w:rPr>
        <w:t xml:space="preserve">No.  Given </w:t>
      </w:r>
      <w:r w:rsidR="007C2A07">
        <w:rPr>
          <w:rFonts w:ascii="Arial" w:hAnsi="Arial" w:cs="Arial"/>
          <w:sz w:val="24"/>
          <w:szCs w:val="24"/>
        </w:rPr>
        <w:t>that Duke has provided limited information that</w:t>
      </w:r>
      <w:r>
        <w:rPr>
          <w:rFonts w:ascii="Arial" w:hAnsi="Arial" w:cs="Arial"/>
          <w:sz w:val="24"/>
          <w:szCs w:val="24"/>
        </w:rPr>
        <w:t xml:space="preserve"> relates to how it allocates costs to non-electric products and services </w:t>
      </w:r>
      <w:r w:rsidR="00A02E3E">
        <w:rPr>
          <w:rFonts w:ascii="Arial" w:hAnsi="Arial" w:cs="Arial"/>
          <w:sz w:val="24"/>
          <w:szCs w:val="24"/>
        </w:rPr>
        <w:t xml:space="preserve">which </w:t>
      </w:r>
      <w:r>
        <w:rPr>
          <w:rFonts w:ascii="Arial" w:hAnsi="Arial" w:cs="Arial"/>
          <w:sz w:val="24"/>
          <w:szCs w:val="24"/>
        </w:rPr>
        <w:t>Duke offers either through itself or its affiliates, Duke has not demonstrated that it is in compliance with its corporate separation requirements.</w:t>
      </w:r>
    </w:p>
    <w:p w14:paraId="7162CBDA" w14:textId="432D8557" w:rsidR="00DD1AFE" w:rsidRDefault="00DD1AFE" w:rsidP="002719F1">
      <w:pPr>
        <w:spacing w:line="480" w:lineRule="auto"/>
        <w:ind w:left="720" w:hanging="720"/>
        <w:jc w:val="both"/>
        <w:rPr>
          <w:rFonts w:ascii="Arial" w:hAnsi="Arial" w:cs="Arial"/>
          <w:b/>
          <w:sz w:val="24"/>
          <w:szCs w:val="24"/>
          <w:u w:val="single"/>
        </w:rPr>
      </w:pPr>
      <w:r>
        <w:rPr>
          <w:rFonts w:ascii="Arial" w:hAnsi="Arial" w:cs="Arial"/>
          <w:b/>
          <w:sz w:val="24"/>
          <w:szCs w:val="24"/>
        </w:rPr>
        <w:t>IV</w:t>
      </w:r>
      <w:r w:rsidRPr="002515F4">
        <w:rPr>
          <w:rFonts w:ascii="Arial" w:hAnsi="Arial" w:cs="Arial"/>
          <w:b/>
          <w:sz w:val="24"/>
          <w:szCs w:val="24"/>
        </w:rPr>
        <w:t>.</w:t>
      </w:r>
      <w:r w:rsidRPr="002515F4">
        <w:rPr>
          <w:rFonts w:ascii="Arial" w:hAnsi="Arial" w:cs="Arial"/>
          <w:b/>
          <w:sz w:val="24"/>
          <w:szCs w:val="24"/>
        </w:rPr>
        <w:tab/>
      </w:r>
      <w:r>
        <w:rPr>
          <w:rFonts w:ascii="Arial" w:hAnsi="Arial" w:cs="Arial"/>
          <w:b/>
          <w:sz w:val="24"/>
          <w:szCs w:val="24"/>
          <w:u w:val="single"/>
        </w:rPr>
        <w:t>SUPPLIER CONSOLIDATED BIILING</w:t>
      </w:r>
    </w:p>
    <w:p w14:paraId="3FBBBF54" w14:textId="3221F26D" w:rsidR="002719F1" w:rsidRDefault="002719F1" w:rsidP="002719F1">
      <w:pPr>
        <w:spacing w:line="480" w:lineRule="auto"/>
        <w:ind w:left="720" w:hanging="720"/>
        <w:rPr>
          <w:rFonts w:ascii="Arial" w:hAnsi="Arial" w:cs="Arial"/>
          <w:b/>
          <w:sz w:val="24"/>
          <w:szCs w:val="24"/>
        </w:rPr>
      </w:pPr>
      <w:r w:rsidRPr="00BE7CBA">
        <w:rPr>
          <w:rFonts w:ascii="Arial" w:hAnsi="Arial" w:cs="Arial"/>
          <w:b/>
          <w:sz w:val="24"/>
          <w:szCs w:val="24"/>
        </w:rPr>
        <w:t>Q.</w:t>
      </w:r>
      <w:r w:rsidRPr="00BE7CBA">
        <w:rPr>
          <w:rFonts w:ascii="Arial" w:hAnsi="Arial" w:cs="Arial"/>
          <w:b/>
          <w:sz w:val="24"/>
          <w:szCs w:val="24"/>
        </w:rPr>
        <w:tab/>
      </w:r>
      <w:r w:rsidR="00BB746D">
        <w:rPr>
          <w:rFonts w:ascii="Arial" w:hAnsi="Arial" w:cs="Arial"/>
          <w:b/>
          <w:sz w:val="24"/>
          <w:szCs w:val="24"/>
        </w:rPr>
        <w:t xml:space="preserve">Why </w:t>
      </w:r>
      <w:r w:rsidR="00723334">
        <w:rPr>
          <w:rFonts w:ascii="Arial" w:hAnsi="Arial" w:cs="Arial"/>
          <w:b/>
          <w:sz w:val="24"/>
          <w:szCs w:val="24"/>
        </w:rPr>
        <w:t>is it important for CRES providers to have flexibility when billing for electric service</w:t>
      </w:r>
      <w:r w:rsidRPr="00BE7CBA">
        <w:rPr>
          <w:rFonts w:ascii="Arial" w:hAnsi="Arial" w:cs="Arial"/>
          <w:b/>
          <w:sz w:val="24"/>
          <w:szCs w:val="24"/>
        </w:rPr>
        <w:t>?</w:t>
      </w:r>
    </w:p>
    <w:p w14:paraId="20A7DF0C" w14:textId="7C318046" w:rsidR="002719F1" w:rsidRDefault="002719F1" w:rsidP="002719F1">
      <w:pPr>
        <w:spacing w:line="480" w:lineRule="auto"/>
        <w:ind w:left="720" w:hanging="720"/>
        <w:jc w:val="both"/>
        <w:rPr>
          <w:rFonts w:ascii="Arial" w:hAnsi="Arial" w:cs="Arial"/>
          <w:sz w:val="24"/>
          <w:szCs w:val="24"/>
        </w:rPr>
      </w:pPr>
      <w:r w:rsidRPr="00BE7CBA">
        <w:rPr>
          <w:rFonts w:ascii="Arial" w:hAnsi="Arial" w:cs="Arial"/>
          <w:sz w:val="24"/>
          <w:szCs w:val="24"/>
        </w:rPr>
        <w:t>A.</w:t>
      </w:r>
      <w:r w:rsidRPr="00BE7CBA">
        <w:rPr>
          <w:rFonts w:ascii="Arial" w:hAnsi="Arial" w:cs="Arial"/>
          <w:sz w:val="24"/>
          <w:szCs w:val="24"/>
        </w:rPr>
        <w:tab/>
      </w:r>
      <w:r>
        <w:rPr>
          <w:rFonts w:ascii="Arial" w:hAnsi="Arial" w:cs="Arial"/>
          <w:sz w:val="24"/>
          <w:szCs w:val="24"/>
        </w:rPr>
        <w:t xml:space="preserve">As I note already, </w:t>
      </w:r>
      <w:r w:rsidR="00723334">
        <w:rPr>
          <w:rFonts w:ascii="Arial" w:hAnsi="Arial" w:cs="Arial"/>
          <w:sz w:val="24"/>
          <w:szCs w:val="24"/>
        </w:rPr>
        <w:t>m</w:t>
      </w:r>
      <w:r>
        <w:rPr>
          <w:rFonts w:ascii="Arial" w:hAnsi="Arial" w:cs="Arial"/>
          <w:sz w:val="24"/>
          <w:szCs w:val="24"/>
        </w:rPr>
        <w:t xml:space="preserve">ore and more customers are demanding value added products and services with their electric commodity.  </w:t>
      </w:r>
      <w:r w:rsidR="00805619">
        <w:rPr>
          <w:rFonts w:ascii="Arial" w:hAnsi="Arial" w:cs="Arial"/>
          <w:sz w:val="24"/>
          <w:szCs w:val="24"/>
        </w:rPr>
        <w:t>Therefore,</w:t>
      </w:r>
      <w:r>
        <w:rPr>
          <w:rFonts w:ascii="Arial" w:hAnsi="Arial" w:cs="Arial"/>
          <w:sz w:val="24"/>
          <w:szCs w:val="24"/>
        </w:rPr>
        <w:t xml:space="preserve"> it is important to be able to bill for value added products and services in a way that is convenient for customers.  For instance, if a customer enrolls in a product with a CRES that includes the electric commodity, a smart-thermostat, energy monitoring, energy efficiency and demand response, </w:t>
      </w:r>
      <w:r w:rsidR="00BC5C99">
        <w:rPr>
          <w:rFonts w:ascii="Arial" w:hAnsi="Arial" w:cs="Arial"/>
          <w:sz w:val="24"/>
          <w:szCs w:val="24"/>
        </w:rPr>
        <w:t>the customer does</w:t>
      </w:r>
      <w:r>
        <w:rPr>
          <w:rFonts w:ascii="Arial" w:hAnsi="Arial" w:cs="Arial"/>
          <w:sz w:val="24"/>
          <w:szCs w:val="24"/>
        </w:rPr>
        <w:t xml:space="preserve"> not want</w:t>
      </w:r>
      <w:r w:rsidR="00BC5C99">
        <w:rPr>
          <w:rFonts w:ascii="Arial" w:hAnsi="Arial" w:cs="Arial"/>
          <w:sz w:val="24"/>
          <w:szCs w:val="24"/>
        </w:rPr>
        <w:t xml:space="preserve"> separate bills for each individual component of that product.  Further, customers may not even want a separate price for each service, but rather may want a bundled all-in price.  </w:t>
      </w:r>
      <w:r w:rsidR="00785634">
        <w:rPr>
          <w:rFonts w:ascii="Arial" w:hAnsi="Arial" w:cs="Arial"/>
          <w:sz w:val="24"/>
          <w:szCs w:val="24"/>
        </w:rPr>
        <w:t xml:space="preserve">Therefore, in order for CRES providers </w:t>
      </w:r>
      <w:r w:rsidR="00A02E3E">
        <w:rPr>
          <w:rFonts w:ascii="Arial" w:hAnsi="Arial" w:cs="Arial"/>
          <w:sz w:val="24"/>
          <w:szCs w:val="24"/>
        </w:rPr>
        <w:t xml:space="preserve">to </w:t>
      </w:r>
      <w:r w:rsidR="00785634">
        <w:rPr>
          <w:rFonts w:ascii="Arial" w:hAnsi="Arial" w:cs="Arial"/>
          <w:sz w:val="24"/>
          <w:szCs w:val="24"/>
        </w:rPr>
        <w:t>offer value added products and services that customers prefer it is important to have billing flexibility for electric service.</w:t>
      </w:r>
    </w:p>
    <w:p w14:paraId="50599D25" w14:textId="6BBE6546" w:rsidR="00805619" w:rsidRDefault="00805619" w:rsidP="002719F1">
      <w:pPr>
        <w:spacing w:line="480" w:lineRule="auto"/>
        <w:ind w:left="720" w:hanging="720"/>
        <w:jc w:val="both"/>
        <w:rPr>
          <w:rFonts w:ascii="Arial" w:hAnsi="Arial" w:cs="Arial"/>
          <w:b/>
          <w:sz w:val="24"/>
          <w:szCs w:val="24"/>
        </w:rPr>
      </w:pPr>
      <w:r w:rsidRPr="00805619">
        <w:rPr>
          <w:rFonts w:ascii="Arial" w:hAnsi="Arial" w:cs="Arial"/>
          <w:b/>
          <w:sz w:val="24"/>
          <w:szCs w:val="24"/>
        </w:rPr>
        <w:t>Q.</w:t>
      </w:r>
      <w:r w:rsidRPr="00805619">
        <w:rPr>
          <w:rFonts w:ascii="Arial" w:hAnsi="Arial" w:cs="Arial"/>
          <w:b/>
          <w:sz w:val="24"/>
          <w:szCs w:val="24"/>
        </w:rPr>
        <w:tab/>
        <w:t>You have already requested that the Commission require Duke to all</w:t>
      </w:r>
      <w:r w:rsidR="00785634">
        <w:rPr>
          <w:rFonts w:ascii="Arial" w:hAnsi="Arial" w:cs="Arial"/>
          <w:b/>
          <w:sz w:val="24"/>
          <w:szCs w:val="24"/>
        </w:rPr>
        <w:t>ow</w:t>
      </w:r>
      <w:r w:rsidRPr="00805619">
        <w:rPr>
          <w:rFonts w:ascii="Arial" w:hAnsi="Arial" w:cs="Arial"/>
          <w:b/>
          <w:sz w:val="24"/>
          <w:szCs w:val="24"/>
        </w:rPr>
        <w:t xml:space="preserve"> CRES providers to bill for non-electric charges on the utility bill.  Is there another option that will give CRES providers the flexibility to bill for non-electric charges?</w:t>
      </w:r>
    </w:p>
    <w:p w14:paraId="1CAB810D" w14:textId="1213019B" w:rsidR="0028696C" w:rsidRDefault="00805619" w:rsidP="002719F1">
      <w:pPr>
        <w:spacing w:line="480" w:lineRule="auto"/>
        <w:ind w:left="720" w:hanging="720"/>
        <w:jc w:val="both"/>
        <w:rPr>
          <w:rFonts w:ascii="Arial" w:hAnsi="Arial" w:cs="Arial"/>
          <w:sz w:val="24"/>
          <w:szCs w:val="24"/>
        </w:rPr>
      </w:pPr>
      <w:r w:rsidRPr="00805619">
        <w:rPr>
          <w:rFonts w:ascii="Arial" w:hAnsi="Arial" w:cs="Arial"/>
          <w:sz w:val="24"/>
          <w:szCs w:val="24"/>
        </w:rPr>
        <w:lastRenderedPageBreak/>
        <w:t>A.</w:t>
      </w:r>
      <w:r w:rsidRPr="00805619">
        <w:rPr>
          <w:rFonts w:ascii="Arial" w:hAnsi="Arial" w:cs="Arial"/>
          <w:sz w:val="24"/>
          <w:szCs w:val="24"/>
        </w:rPr>
        <w:tab/>
      </w:r>
      <w:r>
        <w:rPr>
          <w:rFonts w:ascii="Arial" w:hAnsi="Arial" w:cs="Arial"/>
          <w:sz w:val="24"/>
          <w:szCs w:val="24"/>
        </w:rPr>
        <w:t>Yes. The Commission should also require that Duke take steps necessar</w:t>
      </w:r>
      <w:r w:rsidR="00A02E3E">
        <w:rPr>
          <w:rFonts w:ascii="Arial" w:hAnsi="Arial" w:cs="Arial"/>
          <w:sz w:val="24"/>
          <w:szCs w:val="24"/>
        </w:rPr>
        <w:t>y</w:t>
      </w:r>
      <w:r>
        <w:rPr>
          <w:rFonts w:ascii="Arial" w:hAnsi="Arial" w:cs="Arial"/>
          <w:sz w:val="24"/>
          <w:szCs w:val="24"/>
        </w:rPr>
        <w:t xml:space="preserve"> to allow all CRES providers to have the option of supplier consolidated billing.</w:t>
      </w:r>
    </w:p>
    <w:p w14:paraId="08017864" w14:textId="5A499E7A" w:rsidR="0028696C" w:rsidRPr="0028696C" w:rsidRDefault="0028696C" w:rsidP="002719F1">
      <w:pPr>
        <w:spacing w:line="480" w:lineRule="auto"/>
        <w:ind w:left="720" w:hanging="720"/>
        <w:jc w:val="both"/>
        <w:rPr>
          <w:rFonts w:ascii="Arial" w:hAnsi="Arial" w:cs="Arial"/>
          <w:b/>
          <w:sz w:val="24"/>
          <w:szCs w:val="24"/>
        </w:rPr>
      </w:pPr>
      <w:r w:rsidRPr="0028696C">
        <w:rPr>
          <w:rFonts w:ascii="Arial" w:hAnsi="Arial" w:cs="Arial"/>
          <w:b/>
          <w:sz w:val="24"/>
          <w:szCs w:val="24"/>
        </w:rPr>
        <w:t>Q.</w:t>
      </w:r>
      <w:r w:rsidRPr="0028696C">
        <w:rPr>
          <w:rFonts w:ascii="Arial" w:hAnsi="Arial" w:cs="Arial"/>
          <w:b/>
          <w:sz w:val="24"/>
          <w:szCs w:val="24"/>
        </w:rPr>
        <w:tab/>
        <w:t>Are you recommending supplier consolidated billing as an alternative to rejecting Duke’s proposal to exclude non-electric charges on the utility bill?</w:t>
      </w:r>
    </w:p>
    <w:p w14:paraId="09BB8A95" w14:textId="2E3F9B7B" w:rsidR="00805619" w:rsidRPr="00805619" w:rsidRDefault="0028696C" w:rsidP="002719F1">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No.  I am recommending the Commission reject Duke’s proposal for excluding CRES non-electric</w:t>
      </w:r>
      <w:r w:rsidR="00805619">
        <w:rPr>
          <w:rFonts w:ascii="Arial" w:hAnsi="Arial" w:cs="Arial"/>
          <w:sz w:val="24"/>
          <w:szCs w:val="24"/>
        </w:rPr>
        <w:t xml:space="preserve"> </w:t>
      </w:r>
      <w:r>
        <w:rPr>
          <w:rFonts w:ascii="Arial" w:hAnsi="Arial" w:cs="Arial"/>
          <w:sz w:val="24"/>
          <w:szCs w:val="24"/>
        </w:rPr>
        <w:t xml:space="preserve">charges for utility consolidated billing </w:t>
      </w:r>
      <w:r w:rsidRPr="0028696C">
        <w:rPr>
          <w:rFonts w:ascii="Arial" w:hAnsi="Arial" w:cs="Arial"/>
          <w:i/>
          <w:sz w:val="24"/>
          <w:szCs w:val="24"/>
        </w:rPr>
        <w:t>and</w:t>
      </w:r>
      <w:r>
        <w:rPr>
          <w:rFonts w:ascii="Arial" w:hAnsi="Arial" w:cs="Arial"/>
          <w:sz w:val="24"/>
          <w:szCs w:val="24"/>
        </w:rPr>
        <w:t xml:space="preserve"> that the Commission order Duke to implement supplier consolidated billing.  It is important the Commission adopt both recommendations because i</w:t>
      </w:r>
      <w:r w:rsidR="00C747A2">
        <w:rPr>
          <w:rFonts w:ascii="Arial" w:hAnsi="Arial" w:cs="Arial"/>
          <w:sz w:val="24"/>
          <w:szCs w:val="24"/>
        </w:rPr>
        <w:t xml:space="preserve">t may take time for Duke to implement supplier consolidated billing.  </w:t>
      </w:r>
      <w:r>
        <w:rPr>
          <w:rFonts w:ascii="Arial" w:hAnsi="Arial" w:cs="Arial"/>
          <w:sz w:val="24"/>
          <w:szCs w:val="24"/>
        </w:rPr>
        <w:t>I</w:t>
      </w:r>
      <w:r w:rsidR="00C747A2">
        <w:rPr>
          <w:rFonts w:ascii="Arial" w:hAnsi="Arial" w:cs="Arial"/>
          <w:sz w:val="24"/>
          <w:szCs w:val="24"/>
        </w:rPr>
        <w:t>n the meantime CRES providers</w:t>
      </w:r>
      <w:r>
        <w:rPr>
          <w:rFonts w:ascii="Arial" w:hAnsi="Arial" w:cs="Arial"/>
          <w:sz w:val="24"/>
          <w:szCs w:val="24"/>
        </w:rPr>
        <w:t xml:space="preserve"> should be able</w:t>
      </w:r>
      <w:r w:rsidR="00C747A2">
        <w:rPr>
          <w:rFonts w:ascii="Arial" w:hAnsi="Arial" w:cs="Arial"/>
          <w:sz w:val="24"/>
          <w:szCs w:val="24"/>
        </w:rPr>
        <w:t xml:space="preserve"> to use the Duke bill-ready option to bill for non-electric charges.  </w:t>
      </w:r>
    </w:p>
    <w:p w14:paraId="2BAC6B52" w14:textId="4751049A" w:rsidR="00BC5C99" w:rsidRDefault="00BC5C99" w:rsidP="002719F1">
      <w:pPr>
        <w:spacing w:line="480" w:lineRule="auto"/>
        <w:ind w:left="720" w:hanging="720"/>
        <w:jc w:val="both"/>
        <w:rPr>
          <w:rFonts w:ascii="Arial" w:hAnsi="Arial" w:cs="Arial"/>
          <w:b/>
          <w:sz w:val="24"/>
          <w:szCs w:val="24"/>
        </w:rPr>
      </w:pPr>
      <w:r w:rsidRPr="00BC5C99">
        <w:rPr>
          <w:rFonts w:ascii="Arial" w:hAnsi="Arial" w:cs="Arial"/>
          <w:b/>
          <w:sz w:val="24"/>
          <w:szCs w:val="24"/>
        </w:rPr>
        <w:t>Q.</w:t>
      </w:r>
      <w:r w:rsidRPr="00BC5C99">
        <w:rPr>
          <w:rFonts w:ascii="Arial" w:hAnsi="Arial" w:cs="Arial"/>
          <w:b/>
          <w:sz w:val="24"/>
          <w:szCs w:val="24"/>
        </w:rPr>
        <w:tab/>
        <w:t>How does supplier consolidated billing differ from utility consolidated billing?</w:t>
      </w:r>
    </w:p>
    <w:p w14:paraId="54525570" w14:textId="46703746" w:rsidR="00BC5C99" w:rsidRPr="00BC5C99" w:rsidRDefault="00BC5C99" w:rsidP="002719F1">
      <w:pPr>
        <w:spacing w:line="480" w:lineRule="auto"/>
        <w:ind w:left="720" w:hanging="720"/>
        <w:jc w:val="both"/>
        <w:rPr>
          <w:rFonts w:ascii="Arial" w:hAnsi="Arial" w:cs="Arial"/>
          <w:sz w:val="24"/>
          <w:szCs w:val="24"/>
        </w:rPr>
      </w:pPr>
      <w:r w:rsidRPr="00BC5C99">
        <w:rPr>
          <w:rFonts w:ascii="Arial" w:hAnsi="Arial" w:cs="Arial"/>
          <w:sz w:val="24"/>
          <w:szCs w:val="24"/>
        </w:rPr>
        <w:t>A.</w:t>
      </w:r>
      <w:r w:rsidRPr="00BC5C99">
        <w:rPr>
          <w:rFonts w:ascii="Arial" w:hAnsi="Arial" w:cs="Arial"/>
          <w:sz w:val="24"/>
          <w:szCs w:val="24"/>
        </w:rPr>
        <w:tab/>
      </w:r>
      <w:r w:rsidR="00723334">
        <w:rPr>
          <w:rFonts w:ascii="Arial" w:hAnsi="Arial" w:cs="Arial"/>
          <w:sz w:val="24"/>
          <w:szCs w:val="24"/>
        </w:rPr>
        <w:t>Supplier consolidated billing would enable CRES suppliers to provide customers wi</w:t>
      </w:r>
      <w:r w:rsidR="00583944">
        <w:rPr>
          <w:rFonts w:ascii="Arial" w:hAnsi="Arial" w:cs="Arial"/>
          <w:sz w:val="24"/>
          <w:szCs w:val="24"/>
        </w:rPr>
        <w:t>th</w:t>
      </w:r>
      <w:r w:rsidR="00723334">
        <w:rPr>
          <w:rFonts w:ascii="Arial" w:hAnsi="Arial" w:cs="Arial"/>
          <w:sz w:val="24"/>
          <w:szCs w:val="24"/>
        </w:rPr>
        <w:t xml:space="preserve"> </w:t>
      </w:r>
      <w:r w:rsidR="00D91BFF">
        <w:rPr>
          <w:rFonts w:ascii="Arial" w:hAnsi="Arial" w:cs="Arial"/>
          <w:sz w:val="24"/>
          <w:szCs w:val="24"/>
        </w:rPr>
        <w:t>a</w:t>
      </w:r>
      <w:r w:rsidR="00723334">
        <w:rPr>
          <w:rFonts w:ascii="Arial" w:hAnsi="Arial" w:cs="Arial"/>
          <w:sz w:val="24"/>
          <w:szCs w:val="24"/>
        </w:rPr>
        <w:t xml:space="preserve"> single bill for all the components of electric service</w:t>
      </w:r>
      <w:r w:rsidR="00A02E3E">
        <w:rPr>
          <w:rFonts w:ascii="Arial" w:hAnsi="Arial" w:cs="Arial"/>
          <w:sz w:val="24"/>
          <w:szCs w:val="24"/>
        </w:rPr>
        <w:t>,</w:t>
      </w:r>
      <w:r w:rsidR="00723334">
        <w:rPr>
          <w:rFonts w:ascii="Arial" w:hAnsi="Arial" w:cs="Arial"/>
          <w:sz w:val="24"/>
          <w:szCs w:val="24"/>
        </w:rPr>
        <w:t xml:space="preserve"> including the non-</w:t>
      </w:r>
      <w:r w:rsidR="00C747A2">
        <w:rPr>
          <w:rFonts w:ascii="Arial" w:hAnsi="Arial" w:cs="Arial"/>
          <w:sz w:val="24"/>
          <w:szCs w:val="24"/>
        </w:rPr>
        <w:t>electric</w:t>
      </w:r>
      <w:r w:rsidR="00723334">
        <w:rPr>
          <w:rFonts w:ascii="Arial" w:hAnsi="Arial" w:cs="Arial"/>
          <w:sz w:val="24"/>
          <w:szCs w:val="24"/>
        </w:rPr>
        <w:t xml:space="preserve"> components. </w:t>
      </w:r>
      <w:r>
        <w:rPr>
          <w:rFonts w:ascii="Arial" w:hAnsi="Arial" w:cs="Arial"/>
          <w:sz w:val="24"/>
          <w:szCs w:val="24"/>
        </w:rPr>
        <w:t>Supplier consolidated billing is similar to utility consolidated billing in that the customer will receive only one bill for electric distribution and generation service.  However, with supplier consolidated billing</w:t>
      </w:r>
      <w:r w:rsidR="00BB746D">
        <w:rPr>
          <w:rFonts w:ascii="Arial" w:hAnsi="Arial" w:cs="Arial"/>
          <w:sz w:val="24"/>
          <w:szCs w:val="24"/>
        </w:rPr>
        <w:t xml:space="preserve"> model</w:t>
      </w:r>
      <w:r w:rsidR="00723334">
        <w:rPr>
          <w:rFonts w:ascii="Arial" w:hAnsi="Arial" w:cs="Arial"/>
          <w:sz w:val="24"/>
          <w:szCs w:val="24"/>
        </w:rPr>
        <w:t>,</w:t>
      </w:r>
      <w:r>
        <w:rPr>
          <w:rFonts w:ascii="Arial" w:hAnsi="Arial" w:cs="Arial"/>
          <w:sz w:val="24"/>
          <w:szCs w:val="24"/>
        </w:rPr>
        <w:t xml:space="preserve"> the CRES</w:t>
      </w:r>
      <w:r w:rsidR="0091614A">
        <w:rPr>
          <w:rFonts w:ascii="Arial" w:hAnsi="Arial" w:cs="Arial"/>
          <w:sz w:val="24"/>
          <w:szCs w:val="24"/>
        </w:rPr>
        <w:t xml:space="preserve"> supplier</w:t>
      </w:r>
      <w:r>
        <w:rPr>
          <w:rFonts w:ascii="Arial" w:hAnsi="Arial" w:cs="Arial"/>
          <w:sz w:val="24"/>
          <w:szCs w:val="24"/>
        </w:rPr>
        <w:t xml:space="preserve"> issues the </w:t>
      </w:r>
      <w:r w:rsidR="00C747A2">
        <w:rPr>
          <w:rFonts w:ascii="Arial" w:hAnsi="Arial" w:cs="Arial"/>
          <w:sz w:val="24"/>
          <w:szCs w:val="24"/>
        </w:rPr>
        <w:t>bill to the customer</w:t>
      </w:r>
      <w:r>
        <w:rPr>
          <w:rFonts w:ascii="Arial" w:hAnsi="Arial" w:cs="Arial"/>
          <w:sz w:val="24"/>
          <w:szCs w:val="24"/>
        </w:rPr>
        <w:t xml:space="preserve"> instead of the utility. </w:t>
      </w:r>
    </w:p>
    <w:p w14:paraId="6324878E" w14:textId="7F1B4235" w:rsidR="002719F1" w:rsidRDefault="00BB746D" w:rsidP="002719F1">
      <w:pPr>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r>
      <w:r w:rsidR="00BC5C99">
        <w:rPr>
          <w:rFonts w:ascii="Arial" w:hAnsi="Arial" w:cs="Arial"/>
          <w:b/>
          <w:sz w:val="24"/>
          <w:szCs w:val="24"/>
        </w:rPr>
        <w:t>How does supplier consolidated billing work</w:t>
      </w:r>
      <w:r w:rsidR="002719F1" w:rsidRPr="00BE7CBA">
        <w:rPr>
          <w:rFonts w:ascii="Arial" w:hAnsi="Arial" w:cs="Arial"/>
          <w:b/>
          <w:sz w:val="24"/>
          <w:szCs w:val="24"/>
        </w:rPr>
        <w:t>?</w:t>
      </w:r>
    </w:p>
    <w:p w14:paraId="0B713545" w14:textId="51AD2C0D" w:rsidR="002719F1" w:rsidRDefault="002719F1" w:rsidP="002719F1">
      <w:pPr>
        <w:spacing w:after="120" w:line="480" w:lineRule="auto"/>
        <w:ind w:left="720" w:hanging="720"/>
        <w:jc w:val="both"/>
        <w:rPr>
          <w:rFonts w:ascii="Arial" w:hAnsi="Arial" w:cs="Arial"/>
          <w:sz w:val="24"/>
          <w:szCs w:val="24"/>
        </w:rPr>
      </w:pPr>
      <w:r>
        <w:rPr>
          <w:rFonts w:ascii="Arial" w:hAnsi="Arial" w:cs="Arial"/>
          <w:sz w:val="24"/>
          <w:szCs w:val="24"/>
        </w:rPr>
        <w:lastRenderedPageBreak/>
        <w:t>A.</w:t>
      </w:r>
      <w:r>
        <w:rPr>
          <w:rFonts w:ascii="Arial" w:hAnsi="Arial" w:cs="Arial"/>
          <w:sz w:val="24"/>
          <w:szCs w:val="24"/>
        </w:rPr>
        <w:tab/>
        <w:t>Under the supplier consolidated billing model,</w:t>
      </w:r>
      <w:r w:rsidR="00BC5C99">
        <w:rPr>
          <w:rFonts w:ascii="Arial" w:hAnsi="Arial" w:cs="Arial"/>
          <w:sz w:val="24"/>
          <w:szCs w:val="24"/>
        </w:rPr>
        <w:t xml:space="preserve"> the CRES supplier</w:t>
      </w:r>
      <w:r>
        <w:rPr>
          <w:rFonts w:ascii="Arial" w:hAnsi="Arial" w:cs="Arial"/>
          <w:sz w:val="24"/>
          <w:szCs w:val="24"/>
        </w:rPr>
        <w:t xml:space="preserve"> purchase</w:t>
      </w:r>
      <w:r w:rsidR="00953927">
        <w:rPr>
          <w:rFonts w:ascii="Arial" w:hAnsi="Arial" w:cs="Arial"/>
          <w:sz w:val="24"/>
          <w:szCs w:val="24"/>
        </w:rPr>
        <w:t>s</w:t>
      </w:r>
      <w:r>
        <w:rPr>
          <w:rFonts w:ascii="Arial" w:hAnsi="Arial" w:cs="Arial"/>
          <w:sz w:val="24"/>
          <w:szCs w:val="24"/>
        </w:rPr>
        <w:t xml:space="preserve"> the receivables </w:t>
      </w:r>
      <w:r w:rsidR="00953927">
        <w:rPr>
          <w:rFonts w:ascii="Arial" w:hAnsi="Arial" w:cs="Arial"/>
          <w:sz w:val="24"/>
          <w:szCs w:val="24"/>
        </w:rPr>
        <w:t>from the utility for the utility</w:t>
      </w:r>
      <w:r>
        <w:rPr>
          <w:rFonts w:ascii="Arial" w:hAnsi="Arial" w:cs="Arial"/>
          <w:sz w:val="24"/>
          <w:szCs w:val="24"/>
        </w:rPr>
        <w:t xml:space="preserve"> distribution charges</w:t>
      </w:r>
      <w:r w:rsidR="00953927">
        <w:rPr>
          <w:rFonts w:ascii="Arial" w:hAnsi="Arial" w:cs="Arial"/>
          <w:sz w:val="24"/>
          <w:szCs w:val="24"/>
        </w:rPr>
        <w:t xml:space="preserve"> upfront</w:t>
      </w:r>
      <w:r w:rsidR="0091614A">
        <w:rPr>
          <w:rFonts w:ascii="Arial" w:hAnsi="Arial" w:cs="Arial"/>
          <w:sz w:val="24"/>
          <w:szCs w:val="24"/>
        </w:rPr>
        <w:t>,</w:t>
      </w:r>
      <w:r w:rsidR="00953927">
        <w:rPr>
          <w:rFonts w:ascii="Arial" w:hAnsi="Arial" w:cs="Arial"/>
          <w:sz w:val="24"/>
          <w:szCs w:val="24"/>
        </w:rPr>
        <w:t xml:space="preserve"> making the utility whole for all electric distribution charges and other regulated charges the utility may be authorized to collect from customers.</w:t>
      </w:r>
      <w:r w:rsidR="00BB746D">
        <w:rPr>
          <w:rFonts w:ascii="Arial" w:hAnsi="Arial" w:cs="Arial"/>
          <w:sz w:val="24"/>
          <w:szCs w:val="24"/>
        </w:rPr>
        <w:t xml:space="preserve"> </w:t>
      </w:r>
      <w:r w:rsidR="00BC5C99">
        <w:rPr>
          <w:rFonts w:ascii="Arial" w:hAnsi="Arial" w:cs="Arial"/>
          <w:sz w:val="24"/>
          <w:szCs w:val="24"/>
        </w:rPr>
        <w:t xml:space="preserve">  </w:t>
      </w:r>
      <w:r w:rsidR="00723334">
        <w:rPr>
          <w:rFonts w:ascii="Arial" w:hAnsi="Arial" w:cs="Arial"/>
          <w:sz w:val="24"/>
          <w:szCs w:val="24"/>
        </w:rPr>
        <w:t xml:space="preserve"> After the CRES purchases the receivables</w:t>
      </w:r>
      <w:r w:rsidR="00953927">
        <w:rPr>
          <w:rFonts w:ascii="Arial" w:hAnsi="Arial" w:cs="Arial"/>
          <w:sz w:val="24"/>
          <w:szCs w:val="24"/>
        </w:rPr>
        <w:t xml:space="preserve"> from the utility</w:t>
      </w:r>
      <w:r w:rsidR="00723334">
        <w:rPr>
          <w:rFonts w:ascii="Arial" w:hAnsi="Arial" w:cs="Arial"/>
          <w:sz w:val="24"/>
          <w:szCs w:val="24"/>
        </w:rPr>
        <w:t>,</w:t>
      </w:r>
      <w:r>
        <w:rPr>
          <w:rFonts w:ascii="Arial" w:hAnsi="Arial" w:cs="Arial"/>
          <w:sz w:val="24"/>
          <w:szCs w:val="24"/>
        </w:rPr>
        <w:t xml:space="preserve"> </w:t>
      </w:r>
      <w:r w:rsidR="00723334">
        <w:rPr>
          <w:rFonts w:ascii="Arial" w:hAnsi="Arial" w:cs="Arial"/>
          <w:sz w:val="24"/>
          <w:szCs w:val="24"/>
        </w:rPr>
        <w:t>t</w:t>
      </w:r>
      <w:r>
        <w:rPr>
          <w:rFonts w:ascii="Arial" w:hAnsi="Arial" w:cs="Arial"/>
          <w:sz w:val="24"/>
          <w:szCs w:val="24"/>
        </w:rPr>
        <w:t xml:space="preserve">he CRES supplier </w:t>
      </w:r>
      <w:r w:rsidR="00834F92">
        <w:rPr>
          <w:rFonts w:ascii="Arial" w:hAnsi="Arial" w:cs="Arial"/>
          <w:sz w:val="24"/>
          <w:szCs w:val="24"/>
        </w:rPr>
        <w:t xml:space="preserve">is </w:t>
      </w:r>
      <w:r w:rsidR="00BC5C99">
        <w:rPr>
          <w:rFonts w:ascii="Arial" w:hAnsi="Arial" w:cs="Arial"/>
          <w:sz w:val="24"/>
          <w:szCs w:val="24"/>
        </w:rPr>
        <w:t>then</w:t>
      </w:r>
      <w:r w:rsidR="00834F92">
        <w:rPr>
          <w:rFonts w:ascii="Arial" w:hAnsi="Arial" w:cs="Arial"/>
          <w:sz w:val="24"/>
          <w:szCs w:val="24"/>
        </w:rPr>
        <w:t xml:space="preserve"> </w:t>
      </w:r>
      <w:r>
        <w:rPr>
          <w:rFonts w:ascii="Arial" w:hAnsi="Arial" w:cs="Arial"/>
          <w:sz w:val="24"/>
          <w:szCs w:val="24"/>
        </w:rPr>
        <w:t xml:space="preserve">responsible for collecting and billing all electric distribution and generation charges from the customer. </w:t>
      </w:r>
      <w:r w:rsidR="00834F92">
        <w:rPr>
          <w:rFonts w:ascii="Arial" w:hAnsi="Arial" w:cs="Arial"/>
          <w:sz w:val="24"/>
          <w:szCs w:val="24"/>
        </w:rPr>
        <w:t>Under the supplier consolidated billing model, the customer does not receive a bill from the utility.</w:t>
      </w:r>
    </w:p>
    <w:p w14:paraId="5E36B03B" w14:textId="6E463F6E" w:rsidR="00BB746D" w:rsidRDefault="00BB746D" w:rsidP="002719F1">
      <w:pPr>
        <w:spacing w:after="120" w:line="480" w:lineRule="auto"/>
        <w:ind w:left="720" w:hanging="720"/>
        <w:jc w:val="both"/>
        <w:rPr>
          <w:rFonts w:ascii="Arial" w:hAnsi="Arial" w:cs="Arial"/>
          <w:b/>
          <w:sz w:val="24"/>
          <w:szCs w:val="24"/>
        </w:rPr>
      </w:pPr>
      <w:r w:rsidRPr="00BB746D">
        <w:rPr>
          <w:rFonts w:ascii="Arial" w:hAnsi="Arial" w:cs="Arial"/>
          <w:b/>
          <w:sz w:val="24"/>
          <w:szCs w:val="24"/>
        </w:rPr>
        <w:t>Q.</w:t>
      </w:r>
      <w:r w:rsidRPr="00BB746D">
        <w:rPr>
          <w:rFonts w:ascii="Arial" w:hAnsi="Arial" w:cs="Arial"/>
          <w:b/>
          <w:sz w:val="24"/>
          <w:szCs w:val="24"/>
        </w:rPr>
        <w:tab/>
        <w:t>Currently can CRES suppliers issue bills to Duke customers?</w:t>
      </w:r>
    </w:p>
    <w:p w14:paraId="78FE11CC" w14:textId="0A1AA81B" w:rsidR="00BB746D" w:rsidRPr="00805619" w:rsidRDefault="00953927" w:rsidP="002719F1">
      <w:pPr>
        <w:spacing w:after="120" w:line="480" w:lineRule="auto"/>
        <w:ind w:left="720" w:hanging="720"/>
        <w:jc w:val="both"/>
        <w:rPr>
          <w:rFonts w:ascii="Arial" w:hAnsi="Arial" w:cs="Arial"/>
          <w:sz w:val="24"/>
          <w:szCs w:val="24"/>
        </w:rPr>
      </w:pPr>
      <w:r w:rsidRPr="00953927">
        <w:rPr>
          <w:rFonts w:ascii="Arial" w:hAnsi="Arial" w:cs="Arial"/>
          <w:sz w:val="24"/>
          <w:szCs w:val="24"/>
        </w:rPr>
        <w:t>A.</w:t>
      </w:r>
      <w:r w:rsidRPr="00953927">
        <w:rPr>
          <w:rFonts w:ascii="Arial" w:hAnsi="Arial" w:cs="Arial"/>
          <w:sz w:val="24"/>
          <w:szCs w:val="24"/>
        </w:rPr>
        <w:tab/>
        <w:t>Currently CRES suppliers can bill for their electric</w:t>
      </w:r>
      <w:r w:rsidR="0091614A">
        <w:rPr>
          <w:rFonts w:ascii="Arial" w:hAnsi="Arial" w:cs="Arial"/>
          <w:sz w:val="24"/>
          <w:szCs w:val="24"/>
        </w:rPr>
        <w:t xml:space="preserve"> generation</w:t>
      </w:r>
      <w:r w:rsidRPr="00953927">
        <w:rPr>
          <w:rFonts w:ascii="Arial" w:hAnsi="Arial" w:cs="Arial"/>
          <w:sz w:val="24"/>
          <w:szCs w:val="24"/>
        </w:rPr>
        <w:t xml:space="preserve"> </w:t>
      </w:r>
      <w:r>
        <w:rPr>
          <w:rFonts w:ascii="Arial" w:hAnsi="Arial" w:cs="Arial"/>
          <w:sz w:val="24"/>
          <w:szCs w:val="24"/>
        </w:rPr>
        <w:t>charges, but they must do so under the dual billing option.  Under the dual billing option</w:t>
      </w:r>
      <w:r w:rsidR="00C51DC5">
        <w:rPr>
          <w:rFonts w:ascii="Arial" w:hAnsi="Arial" w:cs="Arial"/>
          <w:sz w:val="24"/>
          <w:szCs w:val="24"/>
        </w:rPr>
        <w:t>,</w:t>
      </w:r>
      <w:r>
        <w:rPr>
          <w:rFonts w:ascii="Arial" w:hAnsi="Arial" w:cs="Arial"/>
          <w:sz w:val="24"/>
          <w:szCs w:val="24"/>
        </w:rPr>
        <w:t xml:space="preserve"> CRES providers</w:t>
      </w:r>
      <w:r w:rsidR="00805619">
        <w:rPr>
          <w:rFonts w:ascii="Arial" w:hAnsi="Arial" w:cs="Arial"/>
          <w:sz w:val="24"/>
          <w:szCs w:val="24"/>
        </w:rPr>
        <w:t xml:space="preserve"> must issue a separate bill for electric generation charges, and Duke would still issue a bill for distribution charges.  However, very few CRES suppliers elect dual billing for residential customers because under this option customers receive two separate bills which is inconvenient for the customer. Most, if not all, CRES providers </w:t>
      </w:r>
      <w:r w:rsidR="00834F92">
        <w:rPr>
          <w:rFonts w:ascii="Arial" w:hAnsi="Arial" w:cs="Arial"/>
          <w:sz w:val="24"/>
          <w:szCs w:val="24"/>
        </w:rPr>
        <w:t>utilize</w:t>
      </w:r>
      <w:r w:rsidR="00805619">
        <w:rPr>
          <w:rFonts w:ascii="Arial" w:hAnsi="Arial" w:cs="Arial"/>
          <w:sz w:val="24"/>
          <w:szCs w:val="24"/>
        </w:rPr>
        <w:t xml:space="preserve"> utility consolidated billing</w:t>
      </w:r>
      <w:r w:rsidR="00834F92">
        <w:rPr>
          <w:rFonts w:ascii="Arial" w:hAnsi="Arial" w:cs="Arial"/>
          <w:sz w:val="24"/>
          <w:szCs w:val="24"/>
        </w:rPr>
        <w:t xml:space="preserve"> for residential customers</w:t>
      </w:r>
      <w:r w:rsidR="00805619">
        <w:rPr>
          <w:rFonts w:ascii="Arial" w:hAnsi="Arial" w:cs="Arial"/>
          <w:sz w:val="24"/>
          <w:szCs w:val="24"/>
        </w:rPr>
        <w:t>.</w:t>
      </w:r>
    </w:p>
    <w:p w14:paraId="391C39A8" w14:textId="0E7B9607" w:rsidR="002719F1" w:rsidRDefault="002719F1" w:rsidP="002719F1">
      <w:pPr>
        <w:spacing w:after="120" w:line="480" w:lineRule="auto"/>
        <w:ind w:left="720" w:hanging="720"/>
        <w:jc w:val="both"/>
        <w:rPr>
          <w:rFonts w:ascii="Arial" w:hAnsi="Arial" w:cs="Arial"/>
          <w:sz w:val="24"/>
          <w:szCs w:val="24"/>
        </w:rPr>
      </w:pPr>
      <w:r>
        <w:rPr>
          <w:rFonts w:ascii="Arial" w:hAnsi="Arial" w:cs="Arial"/>
          <w:sz w:val="24"/>
          <w:szCs w:val="24"/>
        </w:rPr>
        <w:t>Q.</w:t>
      </w:r>
      <w:r>
        <w:rPr>
          <w:rFonts w:ascii="Arial" w:hAnsi="Arial" w:cs="Arial"/>
          <w:sz w:val="24"/>
          <w:szCs w:val="24"/>
        </w:rPr>
        <w:tab/>
      </w:r>
      <w:r w:rsidRPr="00F032E3">
        <w:rPr>
          <w:rFonts w:ascii="Arial" w:hAnsi="Arial" w:cs="Arial"/>
          <w:b/>
          <w:sz w:val="24"/>
          <w:szCs w:val="24"/>
        </w:rPr>
        <w:t>Under supplier consolidated billing, would non-payment of non-electric commodity charges trigger disconnect</w:t>
      </w:r>
      <w:r w:rsidR="00A02E3E">
        <w:rPr>
          <w:rFonts w:ascii="Arial" w:hAnsi="Arial" w:cs="Arial"/>
          <w:b/>
          <w:sz w:val="24"/>
          <w:szCs w:val="24"/>
        </w:rPr>
        <w:t>ion protocols toward</w:t>
      </w:r>
      <w:r w:rsidRPr="00F032E3">
        <w:rPr>
          <w:rFonts w:ascii="Arial" w:hAnsi="Arial" w:cs="Arial"/>
          <w:b/>
          <w:sz w:val="24"/>
          <w:szCs w:val="24"/>
        </w:rPr>
        <w:t xml:space="preserve"> a customer?</w:t>
      </w:r>
      <w:r>
        <w:rPr>
          <w:rFonts w:ascii="Arial" w:hAnsi="Arial" w:cs="Arial"/>
          <w:sz w:val="24"/>
          <w:szCs w:val="24"/>
        </w:rPr>
        <w:t xml:space="preserve">  </w:t>
      </w:r>
    </w:p>
    <w:p w14:paraId="0ADCB43B" w14:textId="07D1EB5D" w:rsidR="002719F1" w:rsidRDefault="002719F1" w:rsidP="002719F1">
      <w:pPr>
        <w:spacing w:after="120"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No.  While CRES providers would be able to bill non-electric charges on the customer’s bills, with supplier consolidated billing, failure to pay non-electric charges would not trigger disconnect</w:t>
      </w:r>
      <w:r w:rsidR="00A02E3E">
        <w:rPr>
          <w:rFonts w:ascii="Arial" w:hAnsi="Arial" w:cs="Arial"/>
          <w:sz w:val="24"/>
          <w:szCs w:val="24"/>
        </w:rPr>
        <w:t>ion</w:t>
      </w:r>
      <w:r>
        <w:rPr>
          <w:rFonts w:ascii="Arial" w:hAnsi="Arial" w:cs="Arial"/>
          <w:sz w:val="24"/>
          <w:szCs w:val="24"/>
        </w:rPr>
        <w:t xml:space="preserve"> for the customer.  Disconnect would only be applicable to electric charges and be subject to the same laws and </w:t>
      </w:r>
      <w:r>
        <w:rPr>
          <w:rFonts w:ascii="Arial" w:hAnsi="Arial" w:cs="Arial"/>
          <w:sz w:val="24"/>
          <w:szCs w:val="24"/>
        </w:rPr>
        <w:lastRenderedPageBreak/>
        <w:t xml:space="preserve">procedures as today.  </w:t>
      </w:r>
      <w:r w:rsidR="0028696C">
        <w:rPr>
          <w:rFonts w:ascii="Arial" w:hAnsi="Arial" w:cs="Arial"/>
          <w:sz w:val="24"/>
          <w:szCs w:val="24"/>
        </w:rPr>
        <w:t>Further, it would still be the utilit</w:t>
      </w:r>
      <w:r w:rsidR="00A02E3E">
        <w:rPr>
          <w:rFonts w:ascii="Arial" w:hAnsi="Arial" w:cs="Arial"/>
          <w:sz w:val="24"/>
          <w:szCs w:val="24"/>
        </w:rPr>
        <w:t>y’s</w:t>
      </w:r>
      <w:r w:rsidR="0028696C">
        <w:rPr>
          <w:rFonts w:ascii="Arial" w:hAnsi="Arial" w:cs="Arial"/>
          <w:sz w:val="24"/>
          <w:szCs w:val="24"/>
        </w:rPr>
        <w:t xml:space="preserve"> responsibility to initiat</w:t>
      </w:r>
      <w:r w:rsidR="00704603">
        <w:rPr>
          <w:rFonts w:ascii="Arial" w:hAnsi="Arial" w:cs="Arial"/>
          <w:sz w:val="24"/>
          <w:szCs w:val="24"/>
        </w:rPr>
        <w:t xml:space="preserve">e </w:t>
      </w:r>
      <w:r w:rsidR="00C51DC5">
        <w:rPr>
          <w:rFonts w:ascii="Arial" w:hAnsi="Arial" w:cs="Arial"/>
          <w:sz w:val="24"/>
          <w:szCs w:val="24"/>
        </w:rPr>
        <w:t xml:space="preserve">the </w:t>
      </w:r>
      <w:r w:rsidR="00A02E3E">
        <w:rPr>
          <w:rFonts w:ascii="Arial" w:hAnsi="Arial" w:cs="Arial"/>
          <w:sz w:val="24"/>
          <w:szCs w:val="24"/>
        </w:rPr>
        <w:t xml:space="preserve">physical </w:t>
      </w:r>
      <w:r w:rsidR="00704603">
        <w:rPr>
          <w:rFonts w:ascii="Arial" w:hAnsi="Arial" w:cs="Arial"/>
          <w:sz w:val="24"/>
          <w:szCs w:val="24"/>
        </w:rPr>
        <w:t>disconnect for the customer.</w:t>
      </w:r>
    </w:p>
    <w:p w14:paraId="4FFAF8E0" w14:textId="77777777" w:rsidR="002719F1" w:rsidRDefault="002719F1" w:rsidP="002719F1">
      <w:pPr>
        <w:spacing w:after="120" w:line="480" w:lineRule="auto"/>
        <w:ind w:left="720" w:hanging="720"/>
        <w:jc w:val="both"/>
        <w:rPr>
          <w:rFonts w:ascii="Arial" w:hAnsi="Arial" w:cs="Arial"/>
          <w:b/>
          <w:sz w:val="24"/>
          <w:szCs w:val="24"/>
        </w:rPr>
      </w:pPr>
      <w:r w:rsidRPr="0095716C">
        <w:rPr>
          <w:rFonts w:ascii="Arial" w:hAnsi="Arial" w:cs="Arial"/>
          <w:b/>
          <w:sz w:val="24"/>
          <w:szCs w:val="24"/>
        </w:rPr>
        <w:t>Q.</w:t>
      </w:r>
      <w:r w:rsidRPr="0095716C">
        <w:rPr>
          <w:rFonts w:ascii="Arial" w:hAnsi="Arial" w:cs="Arial"/>
          <w:b/>
          <w:sz w:val="24"/>
          <w:szCs w:val="24"/>
        </w:rPr>
        <w:tab/>
        <w:t>Would CRES suppliers still have to abide by the same billing rules and billing format as the EDUs if supplier consolidated billing is adopted?</w:t>
      </w:r>
    </w:p>
    <w:p w14:paraId="6A2A811D" w14:textId="4D5ECA68" w:rsidR="002719F1" w:rsidRDefault="002719F1" w:rsidP="002719F1">
      <w:pPr>
        <w:spacing w:after="120" w:line="480" w:lineRule="auto"/>
        <w:ind w:left="720" w:hanging="720"/>
        <w:jc w:val="both"/>
        <w:rPr>
          <w:rFonts w:ascii="Arial" w:hAnsi="Arial" w:cs="Arial"/>
          <w:sz w:val="24"/>
          <w:szCs w:val="24"/>
        </w:rPr>
      </w:pPr>
      <w:r w:rsidRPr="0095716C">
        <w:rPr>
          <w:rFonts w:ascii="Arial" w:hAnsi="Arial" w:cs="Arial"/>
          <w:sz w:val="24"/>
          <w:szCs w:val="24"/>
        </w:rPr>
        <w:t>A.</w:t>
      </w:r>
      <w:r w:rsidRPr="0095716C">
        <w:rPr>
          <w:rFonts w:ascii="Arial" w:hAnsi="Arial" w:cs="Arial"/>
          <w:sz w:val="24"/>
          <w:szCs w:val="24"/>
        </w:rPr>
        <w:tab/>
      </w:r>
      <w:r>
        <w:rPr>
          <w:rFonts w:ascii="Arial" w:hAnsi="Arial" w:cs="Arial"/>
          <w:sz w:val="24"/>
          <w:szCs w:val="24"/>
        </w:rPr>
        <w:t xml:space="preserve">Yes.  Currently </w:t>
      </w:r>
      <w:r w:rsidR="00141EEF">
        <w:rPr>
          <w:rFonts w:ascii="Arial" w:hAnsi="Arial" w:cs="Arial"/>
          <w:sz w:val="24"/>
          <w:szCs w:val="24"/>
        </w:rPr>
        <w:t>Ohio has rules that govern how utilities</w:t>
      </w:r>
      <w:r>
        <w:rPr>
          <w:rFonts w:ascii="Arial" w:hAnsi="Arial" w:cs="Arial"/>
          <w:sz w:val="24"/>
          <w:szCs w:val="24"/>
        </w:rPr>
        <w:t xml:space="preserve"> must bill customers</w:t>
      </w:r>
      <w:r w:rsidR="00805619">
        <w:rPr>
          <w:rFonts w:ascii="Arial" w:hAnsi="Arial" w:cs="Arial"/>
          <w:sz w:val="24"/>
          <w:szCs w:val="24"/>
        </w:rPr>
        <w:t>, and have specific requirements for each utility bill</w:t>
      </w:r>
      <w:r>
        <w:rPr>
          <w:rFonts w:ascii="Arial" w:hAnsi="Arial" w:cs="Arial"/>
          <w:sz w:val="24"/>
          <w:szCs w:val="24"/>
        </w:rPr>
        <w:t xml:space="preserve">.  Under supplier consolidated billing, </w:t>
      </w:r>
      <w:r w:rsidRPr="0095716C">
        <w:rPr>
          <w:rFonts w:ascii="Arial" w:hAnsi="Arial" w:cs="Arial"/>
          <w:sz w:val="24"/>
          <w:szCs w:val="24"/>
        </w:rPr>
        <w:t>CRES providers would still be subject to the same billing require</w:t>
      </w:r>
      <w:r>
        <w:rPr>
          <w:rFonts w:ascii="Arial" w:hAnsi="Arial" w:cs="Arial"/>
          <w:sz w:val="24"/>
          <w:szCs w:val="24"/>
        </w:rPr>
        <w:t>ments in the rules and statutes</w:t>
      </w:r>
      <w:r w:rsidR="00805619">
        <w:rPr>
          <w:rFonts w:ascii="Arial" w:hAnsi="Arial" w:cs="Arial"/>
          <w:sz w:val="24"/>
          <w:szCs w:val="24"/>
        </w:rPr>
        <w:t xml:space="preserve"> today</w:t>
      </w:r>
      <w:r>
        <w:rPr>
          <w:rFonts w:ascii="Arial" w:hAnsi="Arial" w:cs="Arial"/>
          <w:sz w:val="24"/>
          <w:szCs w:val="24"/>
        </w:rPr>
        <w:t>.</w:t>
      </w:r>
    </w:p>
    <w:p w14:paraId="7BA82A45" w14:textId="0D553964" w:rsidR="002719F1" w:rsidRDefault="002719F1" w:rsidP="002719F1">
      <w:pPr>
        <w:spacing w:after="120" w:line="480" w:lineRule="auto"/>
        <w:ind w:left="720" w:hanging="720"/>
        <w:jc w:val="both"/>
        <w:rPr>
          <w:rFonts w:ascii="Arial" w:hAnsi="Arial" w:cs="Arial"/>
          <w:b/>
          <w:sz w:val="24"/>
          <w:szCs w:val="24"/>
        </w:rPr>
      </w:pPr>
      <w:r w:rsidRPr="006F5DD2">
        <w:rPr>
          <w:rFonts w:ascii="Arial" w:hAnsi="Arial" w:cs="Arial"/>
          <w:b/>
          <w:sz w:val="24"/>
          <w:szCs w:val="24"/>
        </w:rPr>
        <w:t>Q.</w:t>
      </w:r>
      <w:r w:rsidRPr="006F5DD2">
        <w:rPr>
          <w:rFonts w:ascii="Arial" w:hAnsi="Arial" w:cs="Arial"/>
          <w:b/>
          <w:sz w:val="24"/>
          <w:szCs w:val="24"/>
        </w:rPr>
        <w:tab/>
        <w:t xml:space="preserve">How do you recommend that </w:t>
      </w:r>
      <w:r w:rsidR="00834F92">
        <w:rPr>
          <w:rFonts w:ascii="Arial" w:hAnsi="Arial" w:cs="Arial"/>
          <w:b/>
          <w:sz w:val="24"/>
          <w:szCs w:val="24"/>
        </w:rPr>
        <w:t>Duke</w:t>
      </w:r>
      <w:r w:rsidRPr="006F5DD2">
        <w:rPr>
          <w:rFonts w:ascii="Arial" w:hAnsi="Arial" w:cs="Arial"/>
          <w:b/>
          <w:sz w:val="24"/>
          <w:szCs w:val="24"/>
        </w:rPr>
        <w:t>’s Application be modified to allow for supplier consolidated billing?</w:t>
      </w:r>
    </w:p>
    <w:p w14:paraId="5655BCFC" w14:textId="3A519D84" w:rsidR="00834F92" w:rsidRDefault="002719F1" w:rsidP="002719F1">
      <w:pPr>
        <w:spacing w:after="120" w:line="480" w:lineRule="auto"/>
        <w:ind w:left="720" w:hanging="720"/>
        <w:jc w:val="both"/>
        <w:rPr>
          <w:rFonts w:ascii="Arial" w:hAnsi="Arial" w:cs="Arial"/>
          <w:sz w:val="24"/>
          <w:szCs w:val="24"/>
        </w:rPr>
      </w:pPr>
      <w:r w:rsidRPr="006F5DD2">
        <w:rPr>
          <w:rFonts w:ascii="Arial" w:hAnsi="Arial" w:cs="Arial"/>
          <w:sz w:val="24"/>
          <w:szCs w:val="24"/>
        </w:rPr>
        <w:t>A.</w:t>
      </w:r>
      <w:r w:rsidRPr="006F5DD2">
        <w:rPr>
          <w:rFonts w:ascii="Arial" w:hAnsi="Arial" w:cs="Arial"/>
          <w:sz w:val="24"/>
          <w:szCs w:val="24"/>
        </w:rPr>
        <w:tab/>
      </w:r>
      <w:r>
        <w:rPr>
          <w:rFonts w:ascii="Arial" w:hAnsi="Arial" w:cs="Arial"/>
          <w:sz w:val="24"/>
          <w:szCs w:val="24"/>
        </w:rPr>
        <w:t xml:space="preserve">I recommend that the Commission modify </w:t>
      </w:r>
      <w:r w:rsidR="00834F92">
        <w:rPr>
          <w:rFonts w:ascii="Arial" w:hAnsi="Arial" w:cs="Arial"/>
          <w:sz w:val="24"/>
          <w:szCs w:val="24"/>
        </w:rPr>
        <w:t>the ESP</w:t>
      </w:r>
      <w:r>
        <w:rPr>
          <w:rFonts w:ascii="Arial" w:hAnsi="Arial" w:cs="Arial"/>
          <w:sz w:val="24"/>
          <w:szCs w:val="24"/>
        </w:rPr>
        <w:t xml:space="preserve"> </w:t>
      </w:r>
      <w:r w:rsidR="00834F92">
        <w:rPr>
          <w:rFonts w:ascii="Arial" w:hAnsi="Arial" w:cs="Arial"/>
          <w:sz w:val="24"/>
          <w:szCs w:val="24"/>
        </w:rPr>
        <w:t>A</w:t>
      </w:r>
      <w:r>
        <w:rPr>
          <w:rFonts w:ascii="Arial" w:hAnsi="Arial" w:cs="Arial"/>
          <w:sz w:val="24"/>
          <w:szCs w:val="24"/>
        </w:rPr>
        <w:t xml:space="preserve">pplication to require </w:t>
      </w:r>
      <w:r w:rsidR="00834F92">
        <w:rPr>
          <w:rFonts w:ascii="Arial" w:hAnsi="Arial" w:cs="Arial"/>
          <w:sz w:val="24"/>
          <w:szCs w:val="24"/>
        </w:rPr>
        <w:t>Duke</w:t>
      </w:r>
      <w:r>
        <w:rPr>
          <w:rFonts w:ascii="Arial" w:hAnsi="Arial" w:cs="Arial"/>
          <w:sz w:val="24"/>
          <w:szCs w:val="24"/>
        </w:rPr>
        <w:t xml:space="preserve"> to </w:t>
      </w:r>
      <w:r w:rsidR="008C2C33">
        <w:rPr>
          <w:rFonts w:ascii="Arial" w:hAnsi="Arial" w:cs="Arial"/>
          <w:sz w:val="24"/>
          <w:szCs w:val="24"/>
        </w:rPr>
        <w:t>expeditiously develop</w:t>
      </w:r>
      <w:r w:rsidR="00834F92">
        <w:rPr>
          <w:rFonts w:ascii="Arial" w:hAnsi="Arial" w:cs="Arial"/>
          <w:sz w:val="24"/>
          <w:szCs w:val="24"/>
        </w:rPr>
        <w:t xml:space="preserve"> the</w:t>
      </w:r>
      <w:r>
        <w:rPr>
          <w:rFonts w:ascii="Arial" w:hAnsi="Arial" w:cs="Arial"/>
          <w:sz w:val="24"/>
          <w:szCs w:val="24"/>
        </w:rPr>
        <w:t xml:space="preserve"> supplier consolidated billing option for CRES suppliers</w:t>
      </w:r>
      <w:r w:rsidR="00834F92">
        <w:rPr>
          <w:rFonts w:ascii="Arial" w:hAnsi="Arial" w:cs="Arial"/>
          <w:sz w:val="24"/>
          <w:szCs w:val="24"/>
        </w:rPr>
        <w:t xml:space="preserve"> </w:t>
      </w:r>
      <w:r w:rsidR="008C2C33">
        <w:rPr>
          <w:rFonts w:ascii="Arial" w:hAnsi="Arial" w:cs="Arial"/>
          <w:sz w:val="24"/>
          <w:szCs w:val="24"/>
        </w:rPr>
        <w:t>and order</w:t>
      </w:r>
      <w:r w:rsidR="00834F92">
        <w:rPr>
          <w:rFonts w:ascii="Arial" w:hAnsi="Arial" w:cs="Arial"/>
          <w:sz w:val="24"/>
          <w:szCs w:val="24"/>
        </w:rPr>
        <w:t xml:space="preserve"> Duke to make any IT updates and changes to its tariffs and billing manuals.</w:t>
      </w:r>
    </w:p>
    <w:p w14:paraId="7F5B785C" w14:textId="77777777" w:rsidR="00834F92" w:rsidRPr="00834F92" w:rsidRDefault="00834F92" w:rsidP="002719F1">
      <w:pPr>
        <w:spacing w:after="120" w:line="480" w:lineRule="auto"/>
        <w:ind w:left="720" w:hanging="720"/>
        <w:jc w:val="both"/>
        <w:rPr>
          <w:rFonts w:ascii="Arial" w:hAnsi="Arial" w:cs="Arial"/>
          <w:b/>
          <w:sz w:val="24"/>
          <w:szCs w:val="24"/>
        </w:rPr>
      </w:pPr>
      <w:r w:rsidRPr="00834F92">
        <w:rPr>
          <w:rFonts w:ascii="Arial" w:hAnsi="Arial" w:cs="Arial"/>
          <w:b/>
          <w:sz w:val="24"/>
          <w:szCs w:val="24"/>
        </w:rPr>
        <w:t>Q.</w:t>
      </w:r>
      <w:r w:rsidRPr="00834F92">
        <w:rPr>
          <w:rFonts w:ascii="Arial" w:hAnsi="Arial" w:cs="Arial"/>
          <w:b/>
          <w:sz w:val="24"/>
          <w:szCs w:val="24"/>
        </w:rPr>
        <w:tab/>
        <w:t>Are you recommending that Duke discontinue the utility consolidated billing option?</w:t>
      </w:r>
    </w:p>
    <w:p w14:paraId="7D6A991E" w14:textId="4BF4C025" w:rsidR="002719F1" w:rsidRPr="006F5DD2" w:rsidRDefault="00834F92" w:rsidP="002719F1">
      <w:pPr>
        <w:spacing w:after="120"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No.  Duke should still make </w:t>
      </w:r>
      <w:r w:rsidR="00AE1246">
        <w:rPr>
          <w:rFonts w:ascii="Arial" w:hAnsi="Arial" w:cs="Arial"/>
          <w:sz w:val="24"/>
          <w:szCs w:val="24"/>
        </w:rPr>
        <w:t>the</w:t>
      </w:r>
      <w:r>
        <w:rPr>
          <w:rFonts w:ascii="Arial" w:hAnsi="Arial" w:cs="Arial"/>
          <w:sz w:val="24"/>
          <w:szCs w:val="24"/>
        </w:rPr>
        <w:t xml:space="preserve"> utility consolidated billing</w:t>
      </w:r>
      <w:r w:rsidR="00AE1246">
        <w:rPr>
          <w:rFonts w:ascii="Arial" w:hAnsi="Arial" w:cs="Arial"/>
          <w:sz w:val="24"/>
          <w:szCs w:val="24"/>
        </w:rPr>
        <w:t xml:space="preserve"> option available to CRES providers</w:t>
      </w:r>
      <w:r>
        <w:rPr>
          <w:rFonts w:ascii="Arial" w:hAnsi="Arial" w:cs="Arial"/>
          <w:sz w:val="24"/>
          <w:szCs w:val="24"/>
        </w:rPr>
        <w:t>.  CRES providers should have the option to choose between supplier consolidated billing and utility supplier billing.  This will allow for the most billing flexibility for customers.</w:t>
      </w:r>
      <w:r w:rsidR="002719F1">
        <w:rPr>
          <w:rFonts w:ascii="Arial" w:hAnsi="Arial" w:cs="Arial"/>
          <w:sz w:val="24"/>
          <w:szCs w:val="24"/>
        </w:rPr>
        <w:t xml:space="preserve">  </w:t>
      </w:r>
    </w:p>
    <w:p w14:paraId="1E0102E7" w14:textId="0054BC82" w:rsidR="004534AF" w:rsidRDefault="004534AF" w:rsidP="004534AF">
      <w:pPr>
        <w:spacing w:line="480" w:lineRule="auto"/>
        <w:ind w:left="720" w:hanging="720"/>
        <w:jc w:val="both"/>
        <w:rPr>
          <w:rFonts w:ascii="Arial" w:hAnsi="Arial" w:cs="Arial"/>
          <w:b/>
          <w:sz w:val="24"/>
          <w:szCs w:val="24"/>
          <w:u w:val="single"/>
        </w:rPr>
      </w:pPr>
      <w:r>
        <w:rPr>
          <w:rFonts w:ascii="Arial" w:hAnsi="Arial" w:cs="Arial"/>
          <w:b/>
          <w:sz w:val="24"/>
          <w:szCs w:val="24"/>
        </w:rPr>
        <w:t>V</w:t>
      </w:r>
      <w:r w:rsidRPr="002515F4">
        <w:rPr>
          <w:rFonts w:ascii="Arial" w:hAnsi="Arial" w:cs="Arial"/>
          <w:b/>
          <w:sz w:val="24"/>
          <w:szCs w:val="24"/>
        </w:rPr>
        <w:t>.</w:t>
      </w:r>
      <w:r w:rsidRPr="002515F4">
        <w:rPr>
          <w:rFonts w:ascii="Arial" w:hAnsi="Arial" w:cs="Arial"/>
          <w:b/>
          <w:sz w:val="24"/>
          <w:szCs w:val="24"/>
        </w:rPr>
        <w:tab/>
      </w:r>
      <w:r>
        <w:rPr>
          <w:rFonts w:ascii="Arial" w:hAnsi="Arial" w:cs="Arial"/>
          <w:b/>
          <w:sz w:val="24"/>
          <w:szCs w:val="24"/>
          <w:u w:val="single"/>
        </w:rPr>
        <w:t>UNBUNDLING OF COSTS</w:t>
      </w:r>
    </w:p>
    <w:p w14:paraId="6C13CC00" w14:textId="6BFA8881" w:rsidR="00E216EC" w:rsidRDefault="00E216EC" w:rsidP="00E216EC">
      <w:pPr>
        <w:spacing w:line="480" w:lineRule="auto"/>
        <w:ind w:left="720" w:hanging="720"/>
        <w:jc w:val="both"/>
        <w:rPr>
          <w:rFonts w:ascii="Arial" w:hAnsi="Arial" w:cs="Arial"/>
          <w:b/>
          <w:sz w:val="24"/>
          <w:szCs w:val="24"/>
        </w:rPr>
      </w:pPr>
      <w:r w:rsidRPr="000770D7">
        <w:rPr>
          <w:rFonts w:ascii="Arial" w:hAnsi="Arial" w:cs="Arial"/>
          <w:b/>
          <w:sz w:val="24"/>
          <w:szCs w:val="24"/>
        </w:rPr>
        <w:lastRenderedPageBreak/>
        <w:t>Q.</w:t>
      </w:r>
      <w:r w:rsidRPr="000770D7">
        <w:rPr>
          <w:rFonts w:ascii="Arial" w:hAnsi="Arial" w:cs="Arial"/>
          <w:b/>
          <w:sz w:val="24"/>
          <w:szCs w:val="24"/>
        </w:rPr>
        <w:tab/>
      </w:r>
      <w:r>
        <w:rPr>
          <w:rFonts w:ascii="Arial" w:hAnsi="Arial" w:cs="Arial"/>
          <w:b/>
          <w:sz w:val="24"/>
          <w:szCs w:val="24"/>
        </w:rPr>
        <w:t xml:space="preserve">Has IGS </w:t>
      </w:r>
      <w:r w:rsidR="003177C3">
        <w:rPr>
          <w:rFonts w:ascii="Arial" w:hAnsi="Arial" w:cs="Arial"/>
          <w:b/>
          <w:sz w:val="24"/>
          <w:szCs w:val="24"/>
        </w:rPr>
        <w:t>in previous ESP proceedings advocated for proposals that would encourage customers to engage in Ohio’s competitive retail electric markets</w:t>
      </w:r>
      <w:r w:rsidRPr="005300DA">
        <w:rPr>
          <w:rFonts w:ascii="Arial" w:hAnsi="Arial" w:cs="Arial"/>
          <w:b/>
          <w:sz w:val="24"/>
          <w:szCs w:val="24"/>
        </w:rPr>
        <w:t>?</w:t>
      </w:r>
    </w:p>
    <w:p w14:paraId="0C8322B0" w14:textId="2FA56DD3" w:rsidR="003177C3" w:rsidRDefault="00704603" w:rsidP="00E216EC">
      <w:pPr>
        <w:spacing w:line="480" w:lineRule="auto"/>
        <w:ind w:left="720" w:hanging="720"/>
        <w:jc w:val="both"/>
        <w:rPr>
          <w:rFonts w:ascii="Arial" w:hAnsi="Arial" w:cs="Arial"/>
          <w:sz w:val="24"/>
          <w:szCs w:val="24"/>
        </w:rPr>
      </w:pPr>
      <w:r w:rsidRPr="00704603">
        <w:rPr>
          <w:rFonts w:ascii="Arial" w:hAnsi="Arial" w:cs="Arial"/>
          <w:sz w:val="24"/>
          <w:szCs w:val="24"/>
        </w:rPr>
        <w:t>A.</w:t>
      </w:r>
      <w:r w:rsidRPr="00704603">
        <w:rPr>
          <w:rFonts w:ascii="Arial" w:hAnsi="Arial" w:cs="Arial"/>
          <w:sz w:val="24"/>
          <w:szCs w:val="24"/>
        </w:rPr>
        <w:tab/>
      </w:r>
      <w:r>
        <w:rPr>
          <w:rFonts w:ascii="Arial" w:hAnsi="Arial" w:cs="Arial"/>
          <w:sz w:val="24"/>
          <w:szCs w:val="24"/>
        </w:rPr>
        <w:t>Yes.  IGS continues to advocate for moving Ohio’s competitive retail electric markets forward in a way that encourages customer engagemen</w:t>
      </w:r>
      <w:r w:rsidR="003177C3">
        <w:rPr>
          <w:rFonts w:ascii="Arial" w:hAnsi="Arial" w:cs="Arial"/>
          <w:sz w:val="24"/>
          <w:szCs w:val="24"/>
        </w:rPr>
        <w:t>t</w:t>
      </w:r>
      <w:r>
        <w:rPr>
          <w:rFonts w:ascii="Arial" w:hAnsi="Arial" w:cs="Arial"/>
          <w:sz w:val="24"/>
          <w:szCs w:val="24"/>
        </w:rPr>
        <w:t xml:space="preserve">.  </w:t>
      </w:r>
      <w:r w:rsidR="003177C3">
        <w:rPr>
          <w:rFonts w:ascii="Arial" w:hAnsi="Arial" w:cs="Arial"/>
          <w:sz w:val="24"/>
          <w:szCs w:val="24"/>
        </w:rPr>
        <w:t xml:space="preserve">In order for customers to be </w:t>
      </w:r>
      <w:r w:rsidR="00A02E3E">
        <w:rPr>
          <w:rFonts w:ascii="Arial" w:hAnsi="Arial" w:cs="Arial"/>
          <w:sz w:val="24"/>
          <w:szCs w:val="24"/>
        </w:rPr>
        <w:t xml:space="preserve">more </w:t>
      </w:r>
      <w:r w:rsidR="003177C3">
        <w:rPr>
          <w:rFonts w:ascii="Arial" w:hAnsi="Arial" w:cs="Arial"/>
          <w:sz w:val="24"/>
          <w:szCs w:val="24"/>
        </w:rPr>
        <w:t xml:space="preserve">willing </w:t>
      </w:r>
      <w:r w:rsidR="00A02E3E">
        <w:rPr>
          <w:rFonts w:ascii="Arial" w:hAnsi="Arial" w:cs="Arial"/>
          <w:sz w:val="24"/>
          <w:szCs w:val="24"/>
        </w:rPr>
        <w:t xml:space="preserve">to </w:t>
      </w:r>
      <w:r w:rsidR="003177C3">
        <w:rPr>
          <w:rFonts w:ascii="Arial" w:hAnsi="Arial" w:cs="Arial"/>
          <w:sz w:val="24"/>
          <w:szCs w:val="24"/>
        </w:rPr>
        <w:t>adopt value added products and services that enable them to use and consume energy more efficiently</w:t>
      </w:r>
      <w:r w:rsidR="00AE1246">
        <w:rPr>
          <w:rFonts w:ascii="Arial" w:hAnsi="Arial" w:cs="Arial"/>
          <w:sz w:val="24"/>
          <w:szCs w:val="24"/>
        </w:rPr>
        <w:t>,</w:t>
      </w:r>
      <w:r w:rsidR="003177C3">
        <w:rPr>
          <w:rFonts w:ascii="Arial" w:hAnsi="Arial" w:cs="Arial"/>
          <w:sz w:val="24"/>
          <w:szCs w:val="24"/>
        </w:rPr>
        <w:t xml:space="preserve"> customers must be engaged in the competitive retail electric market.  Unfortunately</w:t>
      </w:r>
      <w:r w:rsidR="00A519B7">
        <w:rPr>
          <w:rFonts w:ascii="Arial" w:hAnsi="Arial" w:cs="Arial"/>
          <w:sz w:val="24"/>
          <w:szCs w:val="24"/>
        </w:rPr>
        <w:t>,</w:t>
      </w:r>
      <w:r w:rsidR="003177C3">
        <w:rPr>
          <w:rFonts w:ascii="Arial" w:hAnsi="Arial" w:cs="Arial"/>
          <w:sz w:val="24"/>
          <w:szCs w:val="24"/>
        </w:rPr>
        <w:t xml:space="preserve"> the current SSO service discourages customer engagement and encourages customers to view electric service as a commodity only product </w:t>
      </w:r>
      <w:r w:rsidR="00A02E3E">
        <w:rPr>
          <w:rFonts w:ascii="Arial" w:hAnsi="Arial" w:cs="Arial"/>
          <w:sz w:val="24"/>
          <w:szCs w:val="24"/>
        </w:rPr>
        <w:t xml:space="preserve">over </w:t>
      </w:r>
      <w:r w:rsidR="003177C3">
        <w:rPr>
          <w:rFonts w:ascii="Arial" w:hAnsi="Arial" w:cs="Arial"/>
          <w:sz w:val="24"/>
          <w:szCs w:val="24"/>
        </w:rPr>
        <w:t>which they have no control</w:t>
      </w:r>
      <w:r w:rsidR="00A02E3E">
        <w:rPr>
          <w:rFonts w:ascii="Arial" w:hAnsi="Arial" w:cs="Arial"/>
          <w:sz w:val="24"/>
          <w:szCs w:val="24"/>
        </w:rPr>
        <w:t>.</w:t>
      </w:r>
      <w:r w:rsidR="003177C3">
        <w:rPr>
          <w:rFonts w:ascii="Arial" w:hAnsi="Arial" w:cs="Arial"/>
          <w:sz w:val="24"/>
          <w:szCs w:val="24"/>
        </w:rPr>
        <w:t xml:space="preserve">  As such, IGS has made a number of proposals over the years that would encourage customers to </w:t>
      </w:r>
      <w:r w:rsidR="003177C3" w:rsidRPr="00D446E6">
        <w:rPr>
          <w:rFonts w:ascii="Arial" w:hAnsi="Arial" w:cs="Arial"/>
          <w:sz w:val="24"/>
          <w:szCs w:val="24"/>
        </w:rPr>
        <w:t>affirmatively choose</w:t>
      </w:r>
      <w:r w:rsidR="003177C3">
        <w:rPr>
          <w:rFonts w:ascii="Arial" w:hAnsi="Arial" w:cs="Arial"/>
          <w:sz w:val="24"/>
          <w:szCs w:val="24"/>
        </w:rPr>
        <w:t xml:space="preserve"> a retail electric prod</w:t>
      </w:r>
      <w:r w:rsidR="006B5854">
        <w:rPr>
          <w:rFonts w:ascii="Arial" w:hAnsi="Arial" w:cs="Arial"/>
          <w:sz w:val="24"/>
          <w:szCs w:val="24"/>
        </w:rPr>
        <w:t>uct based on the preferences of the customer</w:t>
      </w:r>
      <w:r w:rsidR="003177C3">
        <w:rPr>
          <w:rFonts w:ascii="Arial" w:hAnsi="Arial" w:cs="Arial"/>
          <w:sz w:val="24"/>
          <w:szCs w:val="24"/>
        </w:rPr>
        <w:t>.</w:t>
      </w:r>
      <w:r w:rsidR="00D446E6">
        <w:rPr>
          <w:rFonts w:ascii="Arial" w:hAnsi="Arial" w:cs="Arial"/>
          <w:sz w:val="24"/>
          <w:szCs w:val="24"/>
        </w:rPr>
        <w:t xml:space="preserve">  </w:t>
      </w:r>
    </w:p>
    <w:p w14:paraId="4DED8503" w14:textId="77777777" w:rsidR="003177C3" w:rsidRDefault="003177C3" w:rsidP="00E216EC">
      <w:pPr>
        <w:spacing w:line="480" w:lineRule="auto"/>
        <w:ind w:left="720" w:hanging="720"/>
        <w:jc w:val="both"/>
        <w:rPr>
          <w:rFonts w:ascii="Arial" w:hAnsi="Arial" w:cs="Arial"/>
          <w:b/>
          <w:sz w:val="24"/>
          <w:szCs w:val="24"/>
        </w:rPr>
      </w:pPr>
      <w:r w:rsidRPr="00786555">
        <w:rPr>
          <w:rFonts w:ascii="Arial" w:hAnsi="Arial" w:cs="Arial"/>
          <w:b/>
          <w:sz w:val="24"/>
          <w:szCs w:val="24"/>
        </w:rPr>
        <w:t>Q.</w:t>
      </w:r>
      <w:r w:rsidRPr="00786555">
        <w:rPr>
          <w:rFonts w:ascii="Arial" w:hAnsi="Arial" w:cs="Arial"/>
          <w:b/>
          <w:sz w:val="24"/>
          <w:szCs w:val="24"/>
        </w:rPr>
        <w:tab/>
        <w:t>Are customers currently engaging in the Duke retail electric market?</w:t>
      </w:r>
    </w:p>
    <w:p w14:paraId="6C575BA0" w14:textId="356C2347" w:rsidR="00786555" w:rsidRDefault="00786555" w:rsidP="00E216EC">
      <w:pPr>
        <w:spacing w:line="480" w:lineRule="auto"/>
        <w:ind w:left="720" w:hanging="720"/>
        <w:jc w:val="both"/>
        <w:rPr>
          <w:rFonts w:ascii="Arial" w:hAnsi="Arial" w:cs="Arial"/>
          <w:sz w:val="24"/>
          <w:szCs w:val="24"/>
        </w:rPr>
      </w:pPr>
      <w:r w:rsidRPr="00786555">
        <w:rPr>
          <w:rFonts w:ascii="Arial" w:hAnsi="Arial" w:cs="Arial"/>
          <w:sz w:val="24"/>
          <w:szCs w:val="24"/>
        </w:rPr>
        <w:t>A.</w:t>
      </w:r>
      <w:r w:rsidRPr="00786555">
        <w:rPr>
          <w:rFonts w:ascii="Arial" w:hAnsi="Arial" w:cs="Arial"/>
          <w:sz w:val="24"/>
          <w:szCs w:val="24"/>
        </w:rPr>
        <w:tab/>
      </w:r>
      <w:r>
        <w:rPr>
          <w:rFonts w:ascii="Arial" w:hAnsi="Arial" w:cs="Arial"/>
          <w:sz w:val="24"/>
          <w:szCs w:val="24"/>
        </w:rPr>
        <w:t xml:space="preserve">The retail electric switching statistics paint a mixed picture for customer engagement in the Duke service territory.  Certainly, with respect to Commercial and Industrial sales in the Duke service territory there appears to be </w:t>
      </w:r>
      <w:r w:rsidR="00A02E3E">
        <w:rPr>
          <w:rFonts w:ascii="Arial" w:hAnsi="Arial" w:cs="Arial"/>
          <w:sz w:val="24"/>
          <w:szCs w:val="24"/>
        </w:rPr>
        <w:t xml:space="preserve">a </w:t>
      </w:r>
      <w:r>
        <w:rPr>
          <w:rFonts w:ascii="Arial" w:hAnsi="Arial" w:cs="Arial"/>
          <w:sz w:val="24"/>
          <w:szCs w:val="24"/>
        </w:rPr>
        <w:t>significant number of customers engaged in the mark</w:t>
      </w:r>
      <w:r w:rsidR="00BF25B5">
        <w:rPr>
          <w:rFonts w:ascii="Arial" w:hAnsi="Arial" w:cs="Arial"/>
          <w:sz w:val="24"/>
          <w:szCs w:val="24"/>
        </w:rPr>
        <w:t>et, with 82.5% and 96% of the load for those customers</w:t>
      </w:r>
      <w:r>
        <w:rPr>
          <w:rFonts w:ascii="Arial" w:hAnsi="Arial" w:cs="Arial"/>
          <w:sz w:val="24"/>
          <w:szCs w:val="24"/>
        </w:rPr>
        <w:t xml:space="preserve">, respectively, being served by a CRES supplier.  However, the residential switched load in Duke is much less with only 49.6% of residential load being served by a CRES supplier.  Attached as Exhibit </w:t>
      </w:r>
      <w:r w:rsidRPr="00AE4E8B">
        <w:rPr>
          <w:rFonts w:ascii="Arial" w:hAnsi="Arial" w:cs="Arial"/>
          <w:sz w:val="24"/>
          <w:szCs w:val="24"/>
        </w:rPr>
        <w:t>(</w:t>
      </w:r>
      <w:r w:rsidR="00AE4E8B">
        <w:rPr>
          <w:rFonts w:ascii="Arial" w:hAnsi="Arial" w:cs="Arial"/>
          <w:sz w:val="24"/>
          <w:szCs w:val="24"/>
        </w:rPr>
        <w:t>MW-</w:t>
      </w:r>
      <w:r w:rsidR="00165074" w:rsidRPr="00AE4E8B">
        <w:rPr>
          <w:rFonts w:ascii="Arial" w:hAnsi="Arial" w:cs="Arial"/>
          <w:sz w:val="24"/>
          <w:szCs w:val="24"/>
        </w:rPr>
        <w:t>2</w:t>
      </w:r>
      <w:r w:rsidRPr="00AE4E8B">
        <w:rPr>
          <w:rFonts w:ascii="Arial" w:hAnsi="Arial" w:cs="Arial"/>
          <w:sz w:val="24"/>
          <w:szCs w:val="24"/>
        </w:rPr>
        <w:t>)</w:t>
      </w:r>
      <w:r>
        <w:rPr>
          <w:rFonts w:ascii="Arial" w:hAnsi="Arial" w:cs="Arial"/>
          <w:sz w:val="24"/>
          <w:szCs w:val="24"/>
        </w:rPr>
        <w:t xml:space="preserve"> is the most recent PUCO switching statistics.</w:t>
      </w:r>
    </w:p>
    <w:p w14:paraId="58742C7A" w14:textId="65868A76" w:rsidR="00786555" w:rsidRDefault="00786555" w:rsidP="00E216EC">
      <w:pPr>
        <w:spacing w:line="480" w:lineRule="auto"/>
        <w:ind w:left="720" w:hanging="720"/>
        <w:jc w:val="both"/>
        <w:rPr>
          <w:rFonts w:ascii="Arial" w:hAnsi="Arial" w:cs="Arial"/>
          <w:b/>
          <w:sz w:val="24"/>
          <w:szCs w:val="24"/>
        </w:rPr>
      </w:pPr>
      <w:r w:rsidRPr="00786555">
        <w:rPr>
          <w:rFonts w:ascii="Arial" w:hAnsi="Arial" w:cs="Arial"/>
          <w:b/>
          <w:sz w:val="24"/>
          <w:szCs w:val="24"/>
        </w:rPr>
        <w:lastRenderedPageBreak/>
        <w:t>Q.</w:t>
      </w:r>
      <w:r w:rsidRPr="00786555">
        <w:rPr>
          <w:rFonts w:ascii="Arial" w:hAnsi="Arial" w:cs="Arial"/>
          <w:b/>
          <w:sz w:val="24"/>
          <w:szCs w:val="24"/>
        </w:rPr>
        <w:tab/>
        <w:t>How much of the switched load in Duke’s service territory is being served by aggregation?</w:t>
      </w:r>
    </w:p>
    <w:p w14:paraId="4364964A" w14:textId="42C88372" w:rsidR="00786555" w:rsidRDefault="00786555" w:rsidP="00E216EC">
      <w:pPr>
        <w:spacing w:line="480" w:lineRule="auto"/>
        <w:ind w:left="720" w:hanging="720"/>
        <w:jc w:val="both"/>
        <w:rPr>
          <w:rFonts w:ascii="Arial" w:hAnsi="Arial" w:cs="Arial"/>
          <w:sz w:val="24"/>
          <w:szCs w:val="24"/>
        </w:rPr>
      </w:pPr>
      <w:r w:rsidRPr="00786555">
        <w:rPr>
          <w:rFonts w:ascii="Arial" w:hAnsi="Arial" w:cs="Arial"/>
          <w:sz w:val="24"/>
          <w:szCs w:val="24"/>
        </w:rPr>
        <w:t>A.</w:t>
      </w:r>
      <w:r w:rsidRPr="00786555">
        <w:rPr>
          <w:rFonts w:ascii="Arial" w:hAnsi="Arial" w:cs="Arial"/>
          <w:sz w:val="24"/>
          <w:szCs w:val="24"/>
        </w:rPr>
        <w:tab/>
        <w:t>IGS asked Duke</w:t>
      </w:r>
      <w:r>
        <w:rPr>
          <w:rFonts w:ascii="Arial" w:hAnsi="Arial" w:cs="Arial"/>
          <w:sz w:val="24"/>
          <w:szCs w:val="24"/>
        </w:rPr>
        <w:t xml:space="preserve"> in discovery what was the percentage of switched residential load being served by aggregations and like </w:t>
      </w:r>
      <w:r w:rsidR="00141EEF">
        <w:rPr>
          <w:rFonts w:ascii="Arial" w:hAnsi="Arial" w:cs="Arial"/>
          <w:sz w:val="24"/>
          <w:szCs w:val="24"/>
        </w:rPr>
        <w:t>almost</w:t>
      </w:r>
      <w:r>
        <w:rPr>
          <w:rFonts w:ascii="Arial" w:hAnsi="Arial" w:cs="Arial"/>
          <w:sz w:val="24"/>
          <w:szCs w:val="24"/>
        </w:rPr>
        <w:t xml:space="preserve"> every discovery response IGS asked Duke, Duke refused to provide </w:t>
      </w:r>
      <w:r w:rsidR="00D446E6">
        <w:rPr>
          <w:rFonts w:ascii="Arial" w:hAnsi="Arial" w:cs="Arial"/>
          <w:sz w:val="24"/>
          <w:szCs w:val="24"/>
        </w:rPr>
        <w:t>an answer</w:t>
      </w:r>
      <w:r>
        <w:rPr>
          <w:rFonts w:ascii="Arial" w:hAnsi="Arial" w:cs="Arial"/>
          <w:sz w:val="24"/>
          <w:szCs w:val="24"/>
        </w:rPr>
        <w:t xml:space="preserve"> to that question claiming the information is not relevant to the ESP Application.  With that said,</w:t>
      </w:r>
      <w:r w:rsidR="00D446E6">
        <w:rPr>
          <w:rFonts w:ascii="Arial" w:hAnsi="Arial" w:cs="Arial"/>
          <w:sz w:val="24"/>
          <w:szCs w:val="24"/>
        </w:rPr>
        <w:t xml:space="preserve"> the most recent aggregation report published by the Commission indicates that 59% of the residential switched load in Ohio is a result of community aggregation. </w:t>
      </w:r>
      <w:r w:rsidR="00BF25B5">
        <w:rPr>
          <w:rFonts w:ascii="Arial" w:hAnsi="Arial" w:cs="Arial"/>
          <w:sz w:val="24"/>
          <w:szCs w:val="24"/>
        </w:rPr>
        <w:t xml:space="preserve">Attached as Exhibit </w:t>
      </w:r>
      <w:r w:rsidR="00BF25B5" w:rsidRPr="00165074">
        <w:rPr>
          <w:rFonts w:ascii="Arial" w:hAnsi="Arial" w:cs="Arial"/>
          <w:sz w:val="24"/>
          <w:szCs w:val="24"/>
        </w:rPr>
        <w:t>(</w:t>
      </w:r>
      <w:r w:rsidR="00141EEF">
        <w:rPr>
          <w:rFonts w:ascii="Arial" w:hAnsi="Arial" w:cs="Arial"/>
          <w:sz w:val="24"/>
          <w:szCs w:val="24"/>
        </w:rPr>
        <w:t>MW-</w:t>
      </w:r>
      <w:r w:rsidR="00165074" w:rsidRPr="00165074">
        <w:rPr>
          <w:rFonts w:ascii="Arial" w:hAnsi="Arial" w:cs="Arial"/>
          <w:sz w:val="24"/>
          <w:szCs w:val="24"/>
        </w:rPr>
        <w:t>3</w:t>
      </w:r>
      <w:r w:rsidR="00BF25B5" w:rsidRPr="00165074">
        <w:rPr>
          <w:rFonts w:ascii="Arial" w:hAnsi="Arial" w:cs="Arial"/>
          <w:sz w:val="24"/>
          <w:szCs w:val="24"/>
        </w:rPr>
        <w:t xml:space="preserve">) </w:t>
      </w:r>
      <w:r w:rsidR="00BF25B5">
        <w:rPr>
          <w:rFonts w:ascii="Arial" w:hAnsi="Arial" w:cs="Arial"/>
          <w:sz w:val="24"/>
          <w:szCs w:val="24"/>
        </w:rPr>
        <w:t>is the most recent Ohio aggregation report.</w:t>
      </w:r>
      <w:r w:rsidR="00D446E6">
        <w:rPr>
          <w:rFonts w:ascii="Arial" w:hAnsi="Arial" w:cs="Arial"/>
          <w:sz w:val="24"/>
          <w:szCs w:val="24"/>
        </w:rPr>
        <w:t xml:space="preserve"> Thus applying the Ohio aggregation percentage to the number of residential switched load in Duke would indicate that only about 20% of the residential retail customers in </w:t>
      </w:r>
      <w:r w:rsidR="00354299">
        <w:rPr>
          <w:rFonts w:ascii="Arial" w:hAnsi="Arial" w:cs="Arial"/>
          <w:sz w:val="24"/>
          <w:szCs w:val="24"/>
        </w:rPr>
        <w:t xml:space="preserve">Duke </w:t>
      </w:r>
      <w:r w:rsidR="00D446E6">
        <w:rPr>
          <w:rFonts w:ascii="Arial" w:hAnsi="Arial" w:cs="Arial"/>
          <w:sz w:val="24"/>
          <w:szCs w:val="24"/>
        </w:rPr>
        <w:t xml:space="preserve">have affirmatively enrolled in a competitive product with a CRES.   </w:t>
      </w:r>
      <w:r>
        <w:rPr>
          <w:rFonts w:ascii="Arial" w:hAnsi="Arial" w:cs="Arial"/>
          <w:sz w:val="24"/>
          <w:szCs w:val="24"/>
        </w:rPr>
        <w:t xml:space="preserve"> </w:t>
      </w:r>
      <w:r w:rsidR="00D446E6">
        <w:rPr>
          <w:rFonts w:ascii="Arial" w:hAnsi="Arial" w:cs="Arial"/>
          <w:sz w:val="24"/>
          <w:szCs w:val="24"/>
        </w:rPr>
        <w:t xml:space="preserve">It also should be noted the City of Cincinnati </w:t>
      </w:r>
      <w:r w:rsidR="00354299">
        <w:rPr>
          <w:rFonts w:ascii="Arial" w:hAnsi="Arial" w:cs="Arial"/>
          <w:sz w:val="24"/>
          <w:szCs w:val="24"/>
        </w:rPr>
        <w:t>-</w:t>
      </w:r>
      <w:r w:rsidR="00D446E6">
        <w:rPr>
          <w:rFonts w:ascii="Arial" w:hAnsi="Arial" w:cs="Arial"/>
          <w:sz w:val="24"/>
          <w:szCs w:val="24"/>
        </w:rPr>
        <w:t>by far the largest city in the Duke service territory</w:t>
      </w:r>
      <w:r w:rsidR="00354299">
        <w:rPr>
          <w:rFonts w:ascii="Arial" w:hAnsi="Arial" w:cs="Arial"/>
          <w:sz w:val="24"/>
          <w:szCs w:val="24"/>
        </w:rPr>
        <w:t>-</w:t>
      </w:r>
      <w:r w:rsidR="00D446E6">
        <w:rPr>
          <w:rFonts w:ascii="Arial" w:hAnsi="Arial" w:cs="Arial"/>
          <w:sz w:val="24"/>
          <w:szCs w:val="24"/>
        </w:rPr>
        <w:t xml:space="preserve"> has elected for an opt-out aggregation</w:t>
      </w:r>
      <w:r w:rsidR="00354299">
        <w:rPr>
          <w:rFonts w:ascii="Arial" w:hAnsi="Arial" w:cs="Arial"/>
          <w:sz w:val="24"/>
          <w:szCs w:val="24"/>
        </w:rPr>
        <w:t xml:space="preserve">; therefore, </w:t>
      </w:r>
      <w:r w:rsidR="00D446E6">
        <w:rPr>
          <w:rFonts w:ascii="Arial" w:hAnsi="Arial" w:cs="Arial"/>
          <w:sz w:val="24"/>
          <w:szCs w:val="24"/>
        </w:rPr>
        <w:t>the percentage of customers affirmatively enrolled with a CRES may be even less</w:t>
      </w:r>
      <w:r w:rsidR="00354299">
        <w:rPr>
          <w:rFonts w:ascii="Arial" w:hAnsi="Arial" w:cs="Arial"/>
          <w:sz w:val="24"/>
          <w:szCs w:val="24"/>
        </w:rPr>
        <w:t xml:space="preserve"> than 20%</w:t>
      </w:r>
      <w:r w:rsidR="00D446E6">
        <w:rPr>
          <w:rFonts w:ascii="Arial" w:hAnsi="Arial" w:cs="Arial"/>
          <w:sz w:val="24"/>
          <w:szCs w:val="24"/>
        </w:rPr>
        <w:t xml:space="preserve">. </w:t>
      </w:r>
    </w:p>
    <w:p w14:paraId="142600C9" w14:textId="63FDF50D" w:rsidR="00D446E6" w:rsidRDefault="00D446E6" w:rsidP="00E216EC">
      <w:pPr>
        <w:spacing w:line="480" w:lineRule="auto"/>
        <w:ind w:left="720" w:hanging="720"/>
        <w:jc w:val="both"/>
        <w:rPr>
          <w:rFonts w:ascii="Arial" w:hAnsi="Arial" w:cs="Arial"/>
          <w:b/>
          <w:sz w:val="24"/>
          <w:szCs w:val="24"/>
        </w:rPr>
      </w:pPr>
      <w:r w:rsidRPr="00354299">
        <w:rPr>
          <w:rFonts w:ascii="Arial" w:hAnsi="Arial" w:cs="Arial"/>
          <w:b/>
          <w:sz w:val="24"/>
          <w:szCs w:val="24"/>
        </w:rPr>
        <w:t>Q.</w:t>
      </w:r>
      <w:r w:rsidRPr="00354299">
        <w:rPr>
          <w:rFonts w:ascii="Arial" w:hAnsi="Arial" w:cs="Arial"/>
          <w:b/>
          <w:sz w:val="24"/>
          <w:szCs w:val="24"/>
        </w:rPr>
        <w:tab/>
        <w:t>Wha</w:t>
      </w:r>
      <w:r w:rsidR="00354299" w:rsidRPr="00354299">
        <w:rPr>
          <w:rFonts w:ascii="Arial" w:hAnsi="Arial" w:cs="Arial"/>
          <w:b/>
          <w:sz w:val="24"/>
          <w:szCs w:val="24"/>
        </w:rPr>
        <w:t xml:space="preserve">t can </w:t>
      </w:r>
      <w:r w:rsidR="00354299">
        <w:rPr>
          <w:rFonts w:ascii="Arial" w:hAnsi="Arial" w:cs="Arial"/>
          <w:b/>
          <w:sz w:val="24"/>
          <w:szCs w:val="24"/>
        </w:rPr>
        <w:t>be</w:t>
      </w:r>
      <w:r w:rsidR="00354299" w:rsidRPr="00354299">
        <w:rPr>
          <w:rFonts w:ascii="Arial" w:hAnsi="Arial" w:cs="Arial"/>
          <w:b/>
          <w:sz w:val="24"/>
          <w:szCs w:val="24"/>
        </w:rPr>
        <w:t xml:space="preserve"> conclude</w:t>
      </w:r>
      <w:r w:rsidR="00354299">
        <w:rPr>
          <w:rFonts w:ascii="Arial" w:hAnsi="Arial" w:cs="Arial"/>
          <w:b/>
          <w:sz w:val="24"/>
          <w:szCs w:val="24"/>
        </w:rPr>
        <w:t>d</w:t>
      </w:r>
      <w:r w:rsidR="00354299" w:rsidRPr="00354299">
        <w:rPr>
          <w:rFonts w:ascii="Arial" w:hAnsi="Arial" w:cs="Arial"/>
          <w:b/>
          <w:sz w:val="24"/>
          <w:szCs w:val="24"/>
        </w:rPr>
        <w:t xml:space="preserve"> about the level of customer engagement in the Duke service territory?</w:t>
      </w:r>
      <w:r w:rsidRPr="00354299">
        <w:rPr>
          <w:rFonts w:ascii="Arial" w:hAnsi="Arial" w:cs="Arial"/>
          <w:b/>
          <w:sz w:val="24"/>
          <w:szCs w:val="24"/>
        </w:rPr>
        <w:t xml:space="preserve"> </w:t>
      </w:r>
    </w:p>
    <w:p w14:paraId="4AE5C753" w14:textId="288A8A98" w:rsidR="00354299" w:rsidRDefault="00354299" w:rsidP="00E216EC">
      <w:pPr>
        <w:spacing w:line="480" w:lineRule="auto"/>
        <w:ind w:left="720" w:hanging="720"/>
        <w:jc w:val="both"/>
        <w:rPr>
          <w:rFonts w:ascii="Arial" w:hAnsi="Arial" w:cs="Arial"/>
          <w:sz w:val="24"/>
          <w:szCs w:val="24"/>
        </w:rPr>
      </w:pPr>
      <w:r w:rsidRPr="00354299">
        <w:rPr>
          <w:rFonts w:ascii="Arial" w:hAnsi="Arial" w:cs="Arial"/>
          <w:sz w:val="24"/>
          <w:szCs w:val="24"/>
        </w:rPr>
        <w:t>A.</w:t>
      </w:r>
      <w:r w:rsidRPr="00354299">
        <w:rPr>
          <w:rFonts w:ascii="Arial" w:hAnsi="Arial" w:cs="Arial"/>
          <w:sz w:val="24"/>
          <w:szCs w:val="24"/>
        </w:rPr>
        <w:tab/>
      </w:r>
      <w:r>
        <w:rPr>
          <w:rFonts w:ascii="Arial" w:hAnsi="Arial" w:cs="Arial"/>
          <w:sz w:val="24"/>
          <w:szCs w:val="24"/>
        </w:rPr>
        <w:t>It can be concluded that the Ohio competitive electric markets have done a good job encouraging opt-out aggregation and shopping for commercial and industrial classes.  However, the level of customer engagement for the residential class is lacking.   To put this in perspective,</w:t>
      </w:r>
      <w:r w:rsidR="001B6413">
        <w:rPr>
          <w:rFonts w:ascii="Arial" w:hAnsi="Arial" w:cs="Arial"/>
          <w:sz w:val="24"/>
          <w:szCs w:val="24"/>
        </w:rPr>
        <w:t xml:space="preserve"> at the time of this testimony, there are 30 suppliers</w:t>
      </w:r>
      <w:r w:rsidR="006D653A">
        <w:rPr>
          <w:rFonts w:ascii="Arial" w:hAnsi="Arial" w:cs="Arial"/>
          <w:sz w:val="24"/>
          <w:szCs w:val="24"/>
        </w:rPr>
        <w:t xml:space="preserve"> listed on the PUCO Apples to Apples site</w:t>
      </w:r>
      <w:r w:rsidR="001B6413">
        <w:rPr>
          <w:rFonts w:ascii="Arial" w:hAnsi="Arial" w:cs="Arial"/>
          <w:sz w:val="24"/>
          <w:szCs w:val="24"/>
        </w:rPr>
        <w:t xml:space="preserve"> offe</w:t>
      </w:r>
      <w:r w:rsidR="006D653A">
        <w:rPr>
          <w:rFonts w:ascii="Arial" w:hAnsi="Arial" w:cs="Arial"/>
          <w:sz w:val="24"/>
          <w:szCs w:val="24"/>
        </w:rPr>
        <w:t xml:space="preserve">ring 76 electric products </w:t>
      </w:r>
      <w:r w:rsidR="006D653A">
        <w:rPr>
          <w:rFonts w:ascii="Arial" w:hAnsi="Arial" w:cs="Arial"/>
          <w:sz w:val="24"/>
          <w:szCs w:val="24"/>
        </w:rPr>
        <w:lastRenderedPageBreak/>
        <w:t>in the Duke service territory, yet</w:t>
      </w:r>
      <w:r>
        <w:rPr>
          <w:rFonts w:ascii="Arial" w:hAnsi="Arial" w:cs="Arial"/>
          <w:sz w:val="24"/>
          <w:szCs w:val="24"/>
        </w:rPr>
        <w:t xml:space="preserve"> </w:t>
      </w:r>
      <w:r w:rsidR="006D653A">
        <w:rPr>
          <w:rFonts w:ascii="Arial" w:hAnsi="Arial" w:cs="Arial"/>
          <w:sz w:val="24"/>
          <w:szCs w:val="24"/>
        </w:rPr>
        <w:t>the SSO</w:t>
      </w:r>
      <w:r>
        <w:rPr>
          <w:rFonts w:ascii="Arial" w:hAnsi="Arial" w:cs="Arial"/>
          <w:sz w:val="24"/>
          <w:szCs w:val="24"/>
        </w:rPr>
        <w:t xml:space="preserve"> retains over 50% of the r</w:t>
      </w:r>
      <w:r w:rsidR="006D653A">
        <w:rPr>
          <w:rFonts w:ascii="Arial" w:hAnsi="Arial" w:cs="Arial"/>
          <w:sz w:val="24"/>
          <w:szCs w:val="24"/>
        </w:rPr>
        <w:t>esidential market share. I have created a chart below for illustrative purposes:</w:t>
      </w:r>
    </w:p>
    <w:tbl>
      <w:tblPr>
        <w:tblStyle w:val="TableGrid"/>
        <w:tblW w:w="0" w:type="auto"/>
        <w:tblInd w:w="1800" w:type="dxa"/>
        <w:tblLook w:val="04A0" w:firstRow="1" w:lastRow="0" w:firstColumn="1" w:lastColumn="0" w:noHBand="0" w:noVBand="1"/>
      </w:tblPr>
      <w:tblGrid>
        <w:gridCol w:w="4248"/>
        <w:gridCol w:w="1656"/>
      </w:tblGrid>
      <w:tr w:rsidR="006D653A" w14:paraId="139EF96B" w14:textId="77777777" w:rsidTr="00DD6FBE">
        <w:tc>
          <w:tcPr>
            <w:tcW w:w="5904" w:type="dxa"/>
            <w:gridSpan w:val="2"/>
            <w:vAlign w:val="center"/>
          </w:tcPr>
          <w:p w14:paraId="0BECB9C2" w14:textId="68B5CE99" w:rsidR="006D653A" w:rsidRPr="000A60B2" w:rsidRDefault="006B5854" w:rsidP="00DD6FBE">
            <w:pPr>
              <w:spacing w:line="480" w:lineRule="auto"/>
              <w:jc w:val="center"/>
              <w:rPr>
                <w:rFonts w:ascii="Arial" w:hAnsi="Arial" w:cs="Arial"/>
                <w:b/>
                <w:sz w:val="24"/>
                <w:szCs w:val="24"/>
              </w:rPr>
            </w:pPr>
            <w:r>
              <w:rPr>
                <w:rFonts w:ascii="Arial" w:hAnsi="Arial" w:cs="Arial"/>
                <w:b/>
                <w:sz w:val="24"/>
                <w:szCs w:val="24"/>
              </w:rPr>
              <w:t>Duke</w:t>
            </w:r>
            <w:r w:rsidR="006D653A" w:rsidRPr="000A60B2">
              <w:rPr>
                <w:rFonts w:ascii="Arial" w:hAnsi="Arial" w:cs="Arial"/>
                <w:b/>
                <w:sz w:val="24"/>
                <w:szCs w:val="24"/>
              </w:rPr>
              <w:t xml:space="preserve"> Residential Market Share</w:t>
            </w:r>
          </w:p>
        </w:tc>
      </w:tr>
      <w:tr w:rsidR="006D653A" w14:paraId="2FD6563F" w14:textId="77777777" w:rsidTr="00DD6FBE">
        <w:tc>
          <w:tcPr>
            <w:tcW w:w="4248" w:type="dxa"/>
          </w:tcPr>
          <w:p w14:paraId="54D346F6" w14:textId="77777777" w:rsidR="006D653A" w:rsidRDefault="006D653A" w:rsidP="00DD6FBE">
            <w:pPr>
              <w:spacing w:line="480" w:lineRule="auto"/>
              <w:jc w:val="both"/>
              <w:rPr>
                <w:rFonts w:ascii="Arial" w:hAnsi="Arial" w:cs="Arial"/>
                <w:sz w:val="24"/>
                <w:szCs w:val="24"/>
              </w:rPr>
            </w:pPr>
            <w:r>
              <w:rPr>
                <w:rFonts w:ascii="Arial" w:hAnsi="Arial" w:cs="Arial"/>
                <w:sz w:val="24"/>
                <w:szCs w:val="24"/>
              </w:rPr>
              <w:t>SSO Default Rate Product</w:t>
            </w:r>
          </w:p>
        </w:tc>
        <w:tc>
          <w:tcPr>
            <w:tcW w:w="1656" w:type="dxa"/>
          </w:tcPr>
          <w:p w14:paraId="48563FB1" w14:textId="33DBD7CA" w:rsidR="006D653A" w:rsidRDefault="006D653A" w:rsidP="00DD6FBE">
            <w:pPr>
              <w:spacing w:line="480" w:lineRule="auto"/>
              <w:jc w:val="both"/>
              <w:rPr>
                <w:rFonts w:ascii="Arial" w:hAnsi="Arial" w:cs="Arial"/>
                <w:sz w:val="24"/>
                <w:szCs w:val="24"/>
              </w:rPr>
            </w:pPr>
            <w:r>
              <w:rPr>
                <w:rFonts w:ascii="Arial" w:hAnsi="Arial" w:cs="Arial"/>
                <w:sz w:val="24"/>
                <w:szCs w:val="24"/>
              </w:rPr>
              <w:t>50.4%</w:t>
            </w:r>
          </w:p>
        </w:tc>
      </w:tr>
      <w:tr w:rsidR="006D653A" w14:paraId="79808F01" w14:textId="77777777" w:rsidTr="00DD6FBE">
        <w:tc>
          <w:tcPr>
            <w:tcW w:w="4248" w:type="dxa"/>
          </w:tcPr>
          <w:p w14:paraId="4CB78CC5" w14:textId="77777777" w:rsidR="006D653A" w:rsidRDefault="006D653A" w:rsidP="00DD6FBE">
            <w:pPr>
              <w:spacing w:line="480" w:lineRule="auto"/>
              <w:jc w:val="both"/>
              <w:rPr>
                <w:rFonts w:ascii="Arial" w:hAnsi="Arial" w:cs="Arial"/>
                <w:sz w:val="24"/>
                <w:szCs w:val="24"/>
              </w:rPr>
            </w:pPr>
            <w:r>
              <w:rPr>
                <w:rFonts w:ascii="Arial" w:hAnsi="Arial" w:cs="Arial"/>
                <w:sz w:val="24"/>
                <w:szCs w:val="24"/>
              </w:rPr>
              <w:t>Aggregation</w:t>
            </w:r>
          </w:p>
        </w:tc>
        <w:tc>
          <w:tcPr>
            <w:tcW w:w="1656" w:type="dxa"/>
          </w:tcPr>
          <w:p w14:paraId="38A05242" w14:textId="3B05BBDD" w:rsidR="006D653A" w:rsidRDefault="006D653A" w:rsidP="00DD6FBE">
            <w:pPr>
              <w:spacing w:line="480" w:lineRule="auto"/>
              <w:jc w:val="both"/>
              <w:rPr>
                <w:rFonts w:ascii="Arial" w:hAnsi="Arial" w:cs="Arial"/>
                <w:sz w:val="24"/>
                <w:szCs w:val="24"/>
              </w:rPr>
            </w:pPr>
            <w:r>
              <w:rPr>
                <w:rFonts w:ascii="Arial" w:hAnsi="Arial" w:cs="Arial"/>
                <w:sz w:val="24"/>
                <w:szCs w:val="24"/>
              </w:rPr>
              <w:t>29.6%</w:t>
            </w:r>
          </w:p>
        </w:tc>
      </w:tr>
      <w:tr w:rsidR="006D653A" w14:paraId="19AC3E27" w14:textId="77777777" w:rsidTr="00DD6FBE">
        <w:tc>
          <w:tcPr>
            <w:tcW w:w="4248" w:type="dxa"/>
          </w:tcPr>
          <w:p w14:paraId="53FB222E" w14:textId="084BADDB" w:rsidR="006D653A" w:rsidRDefault="00AE1246" w:rsidP="00DD6FBE">
            <w:pPr>
              <w:spacing w:line="480" w:lineRule="auto"/>
              <w:jc w:val="both"/>
              <w:rPr>
                <w:rFonts w:ascii="Arial" w:hAnsi="Arial" w:cs="Arial"/>
                <w:sz w:val="24"/>
                <w:szCs w:val="24"/>
              </w:rPr>
            </w:pPr>
            <w:r>
              <w:rPr>
                <w:rFonts w:ascii="Arial" w:hAnsi="Arial" w:cs="Arial"/>
                <w:sz w:val="24"/>
                <w:szCs w:val="24"/>
              </w:rPr>
              <w:t>Affirmatively Elected Products</w:t>
            </w:r>
          </w:p>
        </w:tc>
        <w:tc>
          <w:tcPr>
            <w:tcW w:w="1656" w:type="dxa"/>
          </w:tcPr>
          <w:p w14:paraId="645B3279" w14:textId="133BD3FA" w:rsidR="006D653A" w:rsidRDefault="006D653A" w:rsidP="00DD6FBE">
            <w:pPr>
              <w:spacing w:line="480" w:lineRule="auto"/>
              <w:jc w:val="both"/>
              <w:rPr>
                <w:rFonts w:ascii="Arial" w:hAnsi="Arial" w:cs="Arial"/>
                <w:sz w:val="24"/>
                <w:szCs w:val="24"/>
              </w:rPr>
            </w:pPr>
            <w:r>
              <w:rPr>
                <w:rFonts w:ascii="Arial" w:hAnsi="Arial" w:cs="Arial"/>
                <w:sz w:val="24"/>
                <w:szCs w:val="24"/>
              </w:rPr>
              <w:t>20%</w:t>
            </w:r>
          </w:p>
        </w:tc>
      </w:tr>
    </w:tbl>
    <w:p w14:paraId="69544E76" w14:textId="77777777" w:rsidR="006D653A" w:rsidRDefault="006D653A" w:rsidP="00E216EC">
      <w:pPr>
        <w:spacing w:line="480" w:lineRule="auto"/>
        <w:ind w:left="720" w:hanging="720"/>
        <w:jc w:val="both"/>
        <w:rPr>
          <w:rFonts w:ascii="Arial" w:hAnsi="Arial" w:cs="Arial"/>
          <w:sz w:val="24"/>
          <w:szCs w:val="24"/>
        </w:rPr>
      </w:pPr>
      <w:r>
        <w:rPr>
          <w:rFonts w:ascii="Arial" w:hAnsi="Arial" w:cs="Arial"/>
          <w:sz w:val="24"/>
          <w:szCs w:val="24"/>
        </w:rPr>
        <w:tab/>
      </w:r>
    </w:p>
    <w:p w14:paraId="5EEBDF89" w14:textId="1B210320" w:rsidR="006D653A" w:rsidRPr="00354299" w:rsidRDefault="006D653A" w:rsidP="00E216EC">
      <w:pPr>
        <w:spacing w:line="480" w:lineRule="auto"/>
        <w:ind w:left="720" w:hanging="720"/>
        <w:jc w:val="both"/>
        <w:rPr>
          <w:rFonts w:ascii="Arial" w:hAnsi="Arial" w:cs="Arial"/>
          <w:sz w:val="24"/>
          <w:szCs w:val="24"/>
        </w:rPr>
      </w:pPr>
      <w:r>
        <w:rPr>
          <w:rFonts w:ascii="Arial" w:hAnsi="Arial" w:cs="Arial"/>
          <w:sz w:val="24"/>
          <w:szCs w:val="24"/>
        </w:rPr>
        <w:tab/>
        <w:t>The percentages above are estimates based on the publicly available data that I have access to at the time of the testimony.  However, I think it is undisputable that one single product (the SSO product) retains a disproportionate amount of market share for residential customers, particularly given that there are so many other available CRES competitive products in the market</w:t>
      </w:r>
      <w:r w:rsidR="00A519B7">
        <w:rPr>
          <w:rFonts w:ascii="Arial" w:hAnsi="Arial" w:cs="Arial"/>
          <w:sz w:val="24"/>
          <w:szCs w:val="24"/>
        </w:rPr>
        <w:t>.</w:t>
      </w:r>
    </w:p>
    <w:p w14:paraId="42858A3B" w14:textId="5115E618" w:rsidR="00786555" w:rsidRPr="00DD6FBE" w:rsidRDefault="00DD6FBE" w:rsidP="00E216EC">
      <w:pPr>
        <w:spacing w:line="480" w:lineRule="auto"/>
        <w:ind w:left="720" w:hanging="720"/>
        <w:jc w:val="both"/>
        <w:rPr>
          <w:rFonts w:ascii="Arial" w:hAnsi="Arial" w:cs="Arial"/>
          <w:b/>
          <w:sz w:val="24"/>
          <w:szCs w:val="24"/>
        </w:rPr>
      </w:pPr>
      <w:r w:rsidRPr="00DD6FBE">
        <w:rPr>
          <w:rFonts w:ascii="Arial" w:hAnsi="Arial" w:cs="Arial"/>
          <w:b/>
          <w:sz w:val="24"/>
          <w:szCs w:val="24"/>
        </w:rPr>
        <w:t>Q.</w:t>
      </w:r>
      <w:r w:rsidRPr="00DD6FBE">
        <w:rPr>
          <w:rFonts w:ascii="Arial" w:hAnsi="Arial" w:cs="Arial"/>
          <w:b/>
          <w:sz w:val="24"/>
          <w:szCs w:val="24"/>
        </w:rPr>
        <w:tab/>
        <w:t>Has IGS made proposals in other ESP proceedings to encourage customer engagement in Ohio?</w:t>
      </w:r>
    </w:p>
    <w:p w14:paraId="531051B9" w14:textId="093D5ECC" w:rsidR="00704603" w:rsidRDefault="003177C3" w:rsidP="00E216EC">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 </w:t>
      </w:r>
      <w:r w:rsidR="00DD6FBE">
        <w:rPr>
          <w:rFonts w:ascii="Arial" w:hAnsi="Arial" w:cs="Arial"/>
          <w:sz w:val="24"/>
          <w:szCs w:val="24"/>
        </w:rPr>
        <w:t xml:space="preserve"> Yes.</w:t>
      </w:r>
      <w:r>
        <w:rPr>
          <w:rFonts w:ascii="Arial" w:hAnsi="Arial" w:cs="Arial"/>
          <w:sz w:val="24"/>
          <w:szCs w:val="24"/>
        </w:rPr>
        <w:t xml:space="preserve"> </w:t>
      </w:r>
      <w:r w:rsidR="00704603">
        <w:rPr>
          <w:rFonts w:ascii="Arial" w:hAnsi="Arial" w:cs="Arial"/>
          <w:sz w:val="24"/>
          <w:szCs w:val="24"/>
        </w:rPr>
        <w:t>In the most recent AEP ESP proceeding</w:t>
      </w:r>
      <w:r w:rsidR="00141EEF">
        <w:rPr>
          <w:rFonts w:ascii="Arial" w:hAnsi="Arial" w:cs="Arial"/>
          <w:sz w:val="24"/>
          <w:szCs w:val="24"/>
        </w:rPr>
        <w:t xml:space="preserve"> (Case No. 13-2385-EL-SSO)</w:t>
      </w:r>
      <w:r w:rsidR="00A519B7">
        <w:rPr>
          <w:rFonts w:ascii="Arial" w:hAnsi="Arial" w:cs="Arial"/>
          <w:sz w:val="24"/>
          <w:szCs w:val="24"/>
        </w:rPr>
        <w:t>,</w:t>
      </w:r>
      <w:r w:rsidR="00704603">
        <w:rPr>
          <w:rFonts w:ascii="Arial" w:hAnsi="Arial" w:cs="Arial"/>
          <w:sz w:val="24"/>
          <w:szCs w:val="24"/>
        </w:rPr>
        <w:t xml:space="preserve"> IGS h</w:t>
      </w:r>
      <w:r w:rsidR="00DD6FBE">
        <w:rPr>
          <w:rFonts w:ascii="Arial" w:hAnsi="Arial" w:cs="Arial"/>
          <w:sz w:val="24"/>
          <w:szCs w:val="24"/>
        </w:rPr>
        <w:t>as proposed that the Commission</w:t>
      </w:r>
      <w:r w:rsidR="00704603">
        <w:rPr>
          <w:rFonts w:ascii="Arial" w:hAnsi="Arial" w:cs="Arial"/>
          <w:sz w:val="24"/>
          <w:szCs w:val="24"/>
        </w:rPr>
        <w:t xml:space="preserve"> either conduct a retail auction to procure SSO service</w:t>
      </w:r>
      <w:r w:rsidR="00DD6FBE">
        <w:rPr>
          <w:rFonts w:ascii="Arial" w:hAnsi="Arial" w:cs="Arial"/>
          <w:sz w:val="24"/>
          <w:szCs w:val="24"/>
        </w:rPr>
        <w:t xml:space="preserve"> s</w:t>
      </w:r>
      <w:r w:rsidR="00AE1246">
        <w:rPr>
          <w:rFonts w:ascii="Arial" w:hAnsi="Arial" w:cs="Arial"/>
          <w:sz w:val="24"/>
          <w:szCs w:val="24"/>
        </w:rPr>
        <w:t>o</w:t>
      </w:r>
      <w:r w:rsidR="00DD6FBE">
        <w:rPr>
          <w:rFonts w:ascii="Arial" w:hAnsi="Arial" w:cs="Arial"/>
          <w:sz w:val="24"/>
          <w:szCs w:val="24"/>
        </w:rPr>
        <w:t xml:space="preserve"> that CRES suppliers would serve SSO customers directly.  Further, IGS has proposed </w:t>
      </w:r>
      <w:r w:rsidR="00704603">
        <w:rPr>
          <w:rFonts w:ascii="Arial" w:hAnsi="Arial" w:cs="Arial"/>
          <w:sz w:val="24"/>
          <w:szCs w:val="24"/>
        </w:rPr>
        <w:t>a retail price adder (“RPA”)</w:t>
      </w:r>
      <w:r w:rsidR="00DD6FBE">
        <w:rPr>
          <w:rFonts w:ascii="Arial" w:hAnsi="Arial" w:cs="Arial"/>
          <w:sz w:val="24"/>
          <w:szCs w:val="24"/>
        </w:rPr>
        <w:t xml:space="preserve"> which </w:t>
      </w:r>
      <w:r w:rsidR="00AE1246">
        <w:rPr>
          <w:rFonts w:ascii="Arial" w:hAnsi="Arial" w:cs="Arial"/>
          <w:sz w:val="24"/>
          <w:szCs w:val="24"/>
        </w:rPr>
        <w:t xml:space="preserve">is </w:t>
      </w:r>
      <w:r w:rsidR="00B15432">
        <w:rPr>
          <w:rFonts w:ascii="Arial" w:hAnsi="Arial" w:cs="Arial"/>
          <w:sz w:val="24"/>
          <w:szCs w:val="24"/>
        </w:rPr>
        <w:t xml:space="preserve">a </w:t>
      </w:r>
      <w:r w:rsidR="00AE1246">
        <w:rPr>
          <w:rFonts w:ascii="Arial" w:hAnsi="Arial" w:cs="Arial"/>
          <w:sz w:val="24"/>
          <w:szCs w:val="24"/>
        </w:rPr>
        <w:t>fee charged to</w:t>
      </w:r>
      <w:r w:rsidR="00DD6FBE">
        <w:rPr>
          <w:rFonts w:ascii="Arial" w:hAnsi="Arial" w:cs="Arial"/>
          <w:sz w:val="24"/>
          <w:szCs w:val="24"/>
        </w:rPr>
        <w:t xml:space="preserve"> suppliers of SSO service that reflects the cost of providing retail electric service in the market. The Commission is yet to make a determination on those proposals.</w:t>
      </w:r>
    </w:p>
    <w:p w14:paraId="579400E0" w14:textId="057932D9" w:rsidR="00DD6FBE" w:rsidRPr="00DD6FBE" w:rsidRDefault="00DD6FBE" w:rsidP="00E216EC">
      <w:pPr>
        <w:spacing w:line="480" w:lineRule="auto"/>
        <w:ind w:left="720" w:hanging="720"/>
        <w:jc w:val="both"/>
        <w:rPr>
          <w:rFonts w:ascii="Arial" w:hAnsi="Arial" w:cs="Arial"/>
          <w:b/>
          <w:sz w:val="24"/>
          <w:szCs w:val="24"/>
        </w:rPr>
      </w:pPr>
      <w:r w:rsidRPr="00DD6FBE">
        <w:rPr>
          <w:rFonts w:ascii="Arial" w:hAnsi="Arial" w:cs="Arial"/>
          <w:b/>
          <w:sz w:val="24"/>
          <w:szCs w:val="24"/>
        </w:rPr>
        <w:t>Q.</w:t>
      </w:r>
      <w:r w:rsidRPr="00DD6FBE">
        <w:rPr>
          <w:rFonts w:ascii="Arial" w:hAnsi="Arial" w:cs="Arial"/>
          <w:b/>
          <w:sz w:val="24"/>
          <w:szCs w:val="24"/>
        </w:rPr>
        <w:tab/>
        <w:t>Does IGS recommend that the Commission adopt these proposals for the Duke SSO as well?</w:t>
      </w:r>
    </w:p>
    <w:p w14:paraId="182CB06E" w14:textId="7EED142F" w:rsidR="00DD6FBE" w:rsidRDefault="00DD6FBE" w:rsidP="00E216EC">
      <w:pPr>
        <w:spacing w:line="480" w:lineRule="auto"/>
        <w:ind w:left="720" w:hanging="720"/>
        <w:jc w:val="both"/>
        <w:rPr>
          <w:rFonts w:ascii="Arial" w:hAnsi="Arial" w:cs="Arial"/>
          <w:sz w:val="24"/>
          <w:szCs w:val="24"/>
        </w:rPr>
      </w:pPr>
      <w:r>
        <w:rPr>
          <w:rFonts w:ascii="Arial" w:hAnsi="Arial" w:cs="Arial"/>
          <w:sz w:val="24"/>
          <w:szCs w:val="24"/>
        </w:rPr>
        <w:lastRenderedPageBreak/>
        <w:t>A.</w:t>
      </w:r>
      <w:r w:rsidR="00003050">
        <w:rPr>
          <w:rFonts w:ascii="Arial" w:hAnsi="Arial" w:cs="Arial"/>
          <w:sz w:val="24"/>
          <w:szCs w:val="24"/>
        </w:rPr>
        <w:tab/>
        <w:t>Yes.  Just like for the AEP SSO service, I</w:t>
      </w:r>
      <w:r>
        <w:rPr>
          <w:rFonts w:ascii="Arial" w:hAnsi="Arial" w:cs="Arial"/>
          <w:sz w:val="24"/>
          <w:szCs w:val="24"/>
        </w:rPr>
        <w:t xml:space="preserve"> </w:t>
      </w:r>
      <w:r w:rsidR="00003050">
        <w:rPr>
          <w:rFonts w:ascii="Arial" w:hAnsi="Arial" w:cs="Arial"/>
          <w:sz w:val="24"/>
          <w:szCs w:val="24"/>
        </w:rPr>
        <w:t>recommend</w:t>
      </w:r>
      <w:r>
        <w:rPr>
          <w:rFonts w:ascii="Arial" w:hAnsi="Arial" w:cs="Arial"/>
          <w:sz w:val="24"/>
          <w:szCs w:val="24"/>
        </w:rPr>
        <w:t xml:space="preserve"> that the Commission adopt a retail auction or an RPA proposal</w:t>
      </w:r>
      <w:r w:rsidR="00003050">
        <w:rPr>
          <w:rFonts w:ascii="Arial" w:hAnsi="Arial" w:cs="Arial"/>
          <w:sz w:val="24"/>
          <w:szCs w:val="24"/>
        </w:rPr>
        <w:t xml:space="preserve"> for the Duke SSO service</w:t>
      </w:r>
      <w:r>
        <w:rPr>
          <w:rFonts w:ascii="Arial" w:hAnsi="Arial" w:cs="Arial"/>
          <w:sz w:val="24"/>
          <w:szCs w:val="24"/>
        </w:rPr>
        <w:t xml:space="preserve">.  </w:t>
      </w:r>
      <w:r w:rsidR="00003050">
        <w:rPr>
          <w:rFonts w:ascii="Arial" w:hAnsi="Arial" w:cs="Arial"/>
          <w:sz w:val="24"/>
          <w:szCs w:val="24"/>
        </w:rPr>
        <w:t>Both of these proposals will encourage customers to engage in the retail market and tilt the anti-competitive advantage away from the SSO service.</w:t>
      </w:r>
      <w:r w:rsidR="006B5854">
        <w:rPr>
          <w:rFonts w:ascii="Arial" w:hAnsi="Arial" w:cs="Arial"/>
          <w:sz w:val="24"/>
          <w:szCs w:val="24"/>
        </w:rPr>
        <w:t xml:space="preserve">  Further, as I note in my testimony in the AEP ESP proceeding</w:t>
      </w:r>
      <w:r w:rsidR="00B15432">
        <w:rPr>
          <w:rFonts w:ascii="Arial" w:hAnsi="Arial" w:cs="Arial"/>
          <w:sz w:val="24"/>
          <w:szCs w:val="24"/>
        </w:rPr>
        <w:t>,</w:t>
      </w:r>
      <w:r w:rsidR="006B5854">
        <w:rPr>
          <w:rFonts w:ascii="Arial" w:hAnsi="Arial" w:cs="Arial"/>
          <w:sz w:val="24"/>
          <w:szCs w:val="24"/>
        </w:rPr>
        <w:t xml:space="preserve"> the Commission has the authority under Ohio law to make these modifications to Duke’s SSO service.</w:t>
      </w:r>
    </w:p>
    <w:p w14:paraId="024BF563" w14:textId="106A2B3D" w:rsidR="00003050" w:rsidRDefault="00003050" w:rsidP="00E216EC">
      <w:pPr>
        <w:spacing w:line="480" w:lineRule="auto"/>
        <w:ind w:left="720" w:hanging="720"/>
        <w:jc w:val="both"/>
        <w:rPr>
          <w:rFonts w:ascii="Arial" w:hAnsi="Arial" w:cs="Arial"/>
          <w:b/>
          <w:sz w:val="24"/>
          <w:szCs w:val="24"/>
        </w:rPr>
      </w:pPr>
      <w:r w:rsidRPr="00003050">
        <w:rPr>
          <w:rFonts w:ascii="Arial" w:hAnsi="Arial" w:cs="Arial"/>
          <w:b/>
          <w:sz w:val="24"/>
          <w:szCs w:val="24"/>
        </w:rPr>
        <w:t>Q.</w:t>
      </w:r>
      <w:r w:rsidRPr="00003050">
        <w:rPr>
          <w:rFonts w:ascii="Arial" w:hAnsi="Arial" w:cs="Arial"/>
          <w:b/>
          <w:sz w:val="24"/>
          <w:szCs w:val="24"/>
        </w:rPr>
        <w:tab/>
        <w:t>Are there other measured steps that the Commission could take to encourage residential customer engagement in Duke’s retail electric markets?</w:t>
      </w:r>
    </w:p>
    <w:p w14:paraId="0E163111" w14:textId="7F9326E6" w:rsidR="00655845" w:rsidRDefault="00003050" w:rsidP="00E216EC">
      <w:pPr>
        <w:spacing w:line="480" w:lineRule="auto"/>
        <w:ind w:left="720" w:hanging="720"/>
        <w:jc w:val="both"/>
        <w:rPr>
          <w:rFonts w:ascii="Arial" w:hAnsi="Arial" w:cs="Arial"/>
          <w:sz w:val="24"/>
          <w:szCs w:val="24"/>
        </w:rPr>
      </w:pPr>
      <w:r w:rsidRPr="00003050">
        <w:rPr>
          <w:rFonts w:ascii="Arial" w:hAnsi="Arial" w:cs="Arial"/>
          <w:sz w:val="24"/>
          <w:szCs w:val="24"/>
        </w:rPr>
        <w:t>A.</w:t>
      </w:r>
      <w:r w:rsidRPr="00003050">
        <w:rPr>
          <w:rFonts w:ascii="Arial" w:hAnsi="Arial" w:cs="Arial"/>
          <w:sz w:val="24"/>
          <w:szCs w:val="24"/>
        </w:rPr>
        <w:tab/>
      </w:r>
      <w:r>
        <w:rPr>
          <w:rFonts w:ascii="Arial" w:hAnsi="Arial" w:cs="Arial"/>
          <w:sz w:val="24"/>
          <w:szCs w:val="24"/>
        </w:rPr>
        <w:t>Yes. At a minimum</w:t>
      </w:r>
      <w:r w:rsidR="00A519B7">
        <w:rPr>
          <w:rFonts w:ascii="Arial" w:hAnsi="Arial" w:cs="Arial"/>
          <w:sz w:val="24"/>
          <w:szCs w:val="24"/>
        </w:rPr>
        <w:t>,</w:t>
      </w:r>
      <w:r>
        <w:rPr>
          <w:rFonts w:ascii="Arial" w:hAnsi="Arial" w:cs="Arial"/>
          <w:sz w:val="24"/>
          <w:szCs w:val="24"/>
        </w:rPr>
        <w:t xml:space="preserve"> the Commission should unbundle the costs Duke incurs in distribution rates that are required to support SSO service.  Currently, Duke’s SSO price is simply a pass-through of wholesale capacity and electric costs with just a de-minimis charge added on to cover the cost paid to the wholesale auction manager to conduct SSO auctions.  </w:t>
      </w:r>
      <w:r w:rsidR="00655845">
        <w:rPr>
          <w:rFonts w:ascii="Arial" w:hAnsi="Arial" w:cs="Arial"/>
          <w:sz w:val="24"/>
          <w:szCs w:val="24"/>
        </w:rPr>
        <w:t>However, Duke incurs a number of other actual costs required to support SSO service, but those costs are not reflected in the SSO price; instead they are recovered through Duke’s distribution rates.  Ohio law requires that the SSO price be comparable and non-discriminatory to other products and services in the market.  Further, Ohio law prohibits subsidies flowing from distribution rates to SSO service.  Thus</w:t>
      </w:r>
      <w:r w:rsidR="00A5243A">
        <w:rPr>
          <w:rFonts w:ascii="Arial" w:hAnsi="Arial" w:cs="Arial"/>
          <w:sz w:val="24"/>
          <w:szCs w:val="24"/>
        </w:rPr>
        <w:t>,</w:t>
      </w:r>
      <w:r w:rsidR="00BF25B5">
        <w:rPr>
          <w:rFonts w:ascii="Arial" w:hAnsi="Arial" w:cs="Arial"/>
          <w:sz w:val="24"/>
          <w:szCs w:val="24"/>
        </w:rPr>
        <w:t xml:space="preserve"> Duke’s</w:t>
      </w:r>
      <w:r w:rsidR="00655845">
        <w:rPr>
          <w:rFonts w:ascii="Arial" w:hAnsi="Arial" w:cs="Arial"/>
          <w:sz w:val="24"/>
          <w:szCs w:val="24"/>
        </w:rPr>
        <w:t xml:space="preserve"> SSO price should reflect all of the costs required to support SSO service, and those costs should not be recovered through distribution rates.</w:t>
      </w:r>
    </w:p>
    <w:p w14:paraId="73C1504E" w14:textId="77777777" w:rsidR="00B22C17" w:rsidRPr="00B22C17" w:rsidRDefault="00655845" w:rsidP="00E216EC">
      <w:pPr>
        <w:spacing w:line="480" w:lineRule="auto"/>
        <w:ind w:left="720" w:hanging="720"/>
        <w:jc w:val="both"/>
        <w:rPr>
          <w:rFonts w:ascii="Arial" w:hAnsi="Arial" w:cs="Arial"/>
          <w:b/>
          <w:sz w:val="24"/>
          <w:szCs w:val="24"/>
        </w:rPr>
      </w:pPr>
      <w:r w:rsidRPr="00B22C17">
        <w:rPr>
          <w:rFonts w:ascii="Arial" w:hAnsi="Arial" w:cs="Arial"/>
          <w:b/>
          <w:sz w:val="24"/>
          <w:szCs w:val="24"/>
        </w:rPr>
        <w:lastRenderedPageBreak/>
        <w:t>Q.</w:t>
      </w:r>
      <w:r w:rsidRPr="00B22C17">
        <w:rPr>
          <w:rFonts w:ascii="Arial" w:hAnsi="Arial" w:cs="Arial"/>
          <w:b/>
          <w:sz w:val="24"/>
          <w:szCs w:val="24"/>
        </w:rPr>
        <w:tab/>
        <w:t>Can you please give examples of costs Duke incurs to support SSO service, but are recov</w:t>
      </w:r>
      <w:r w:rsidR="00B22C17" w:rsidRPr="00B22C17">
        <w:rPr>
          <w:rFonts w:ascii="Arial" w:hAnsi="Arial" w:cs="Arial"/>
          <w:b/>
          <w:sz w:val="24"/>
          <w:szCs w:val="24"/>
        </w:rPr>
        <w:t>ered through distribution rates?</w:t>
      </w:r>
    </w:p>
    <w:p w14:paraId="6AE8BF9C" w14:textId="28224312" w:rsidR="00003050" w:rsidRDefault="00B22C17" w:rsidP="00E216EC">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Yes. There are a number of costs Duke incurs required to support SSO service including</w:t>
      </w:r>
      <w:r w:rsidRPr="006018D0">
        <w:rPr>
          <w:rFonts w:ascii="Arial" w:hAnsi="Arial" w:cs="Arial"/>
          <w:sz w:val="24"/>
          <w:szCs w:val="24"/>
        </w:rPr>
        <w:t xml:space="preserve"> legal expenses incurred to establish the</w:t>
      </w:r>
      <w:r w:rsidR="00A5243A">
        <w:rPr>
          <w:rFonts w:ascii="Arial" w:hAnsi="Arial" w:cs="Arial"/>
          <w:sz w:val="24"/>
          <w:szCs w:val="24"/>
        </w:rPr>
        <w:t xml:space="preserve"> SSO price; an allocation of Duke employee costs for the time Duke</w:t>
      </w:r>
      <w:r w:rsidRPr="006018D0">
        <w:rPr>
          <w:rFonts w:ascii="Arial" w:hAnsi="Arial" w:cs="Arial"/>
          <w:sz w:val="24"/>
          <w:szCs w:val="24"/>
        </w:rPr>
        <w:t xml:space="preserve"> employees work to make the SSO </w:t>
      </w:r>
      <w:r w:rsidR="00A5243A">
        <w:rPr>
          <w:rFonts w:ascii="Arial" w:hAnsi="Arial" w:cs="Arial"/>
          <w:sz w:val="24"/>
          <w:szCs w:val="24"/>
        </w:rPr>
        <w:t>rate available to customers; Duke</w:t>
      </w:r>
      <w:r w:rsidRPr="006018D0">
        <w:rPr>
          <w:rFonts w:ascii="Arial" w:hAnsi="Arial" w:cs="Arial"/>
          <w:sz w:val="24"/>
          <w:szCs w:val="24"/>
        </w:rPr>
        <w:t xml:space="preserve"> infrastructure costs, including IT costs used to support the SSO and SSO customers; </w:t>
      </w:r>
      <w:r>
        <w:rPr>
          <w:rFonts w:ascii="Arial" w:hAnsi="Arial" w:cs="Arial"/>
          <w:sz w:val="24"/>
          <w:szCs w:val="24"/>
        </w:rPr>
        <w:t xml:space="preserve">the cost of working capital Duke incurs to purchase SSO supply up-front, but bill SSO customers later; </w:t>
      </w:r>
      <w:r w:rsidRPr="006018D0">
        <w:rPr>
          <w:rFonts w:ascii="Arial" w:hAnsi="Arial" w:cs="Arial"/>
          <w:sz w:val="24"/>
          <w:szCs w:val="24"/>
        </w:rPr>
        <w:t xml:space="preserve">customer call center costs incurred when customers inquire about their SSO generation service; and allocation of a portion of overhead expense, because the SSO could not be made available to </w:t>
      </w:r>
      <w:r w:rsidR="00A5243A">
        <w:rPr>
          <w:rFonts w:ascii="Arial" w:hAnsi="Arial" w:cs="Arial"/>
          <w:sz w:val="24"/>
          <w:szCs w:val="24"/>
        </w:rPr>
        <w:t>customers without the use of Duke</w:t>
      </w:r>
      <w:r w:rsidRPr="006018D0">
        <w:rPr>
          <w:rFonts w:ascii="Arial" w:hAnsi="Arial" w:cs="Arial"/>
          <w:sz w:val="24"/>
          <w:szCs w:val="24"/>
        </w:rPr>
        <w:t>’s overhead.</w:t>
      </w:r>
      <w:r w:rsidR="00003050">
        <w:rPr>
          <w:rFonts w:ascii="Arial" w:hAnsi="Arial" w:cs="Arial"/>
          <w:sz w:val="24"/>
          <w:szCs w:val="24"/>
        </w:rPr>
        <w:t xml:space="preserve">  </w:t>
      </w:r>
      <w:r>
        <w:rPr>
          <w:rFonts w:ascii="Arial" w:hAnsi="Arial" w:cs="Arial"/>
          <w:sz w:val="24"/>
          <w:szCs w:val="24"/>
        </w:rPr>
        <w:t>All of these costs are not reflected in the SSO price but rather recovered through distribution rates.</w:t>
      </w:r>
    </w:p>
    <w:p w14:paraId="398DC978" w14:textId="38E5E007" w:rsidR="00B22C17" w:rsidRDefault="006B5854" w:rsidP="00D91BFF">
      <w:pPr>
        <w:spacing w:line="480" w:lineRule="auto"/>
        <w:ind w:left="720" w:hanging="720"/>
        <w:jc w:val="both"/>
        <w:rPr>
          <w:rFonts w:ascii="Arial" w:hAnsi="Arial" w:cs="Arial"/>
          <w:b/>
          <w:sz w:val="24"/>
          <w:szCs w:val="24"/>
        </w:rPr>
      </w:pPr>
      <w:r w:rsidRPr="006B5854">
        <w:rPr>
          <w:rFonts w:ascii="Arial" w:hAnsi="Arial" w:cs="Arial"/>
          <w:b/>
          <w:sz w:val="24"/>
          <w:szCs w:val="24"/>
        </w:rPr>
        <w:t>Q.</w:t>
      </w:r>
      <w:r w:rsidRPr="006B5854">
        <w:rPr>
          <w:rFonts w:ascii="Arial" w:hAnsi="Arial" w:cs="Arial"/>
          <w:b/>
          <w:sz w:val="24"/>
          <w:szCs w:val="24"/>
        </w:rPr>
        <w:tab/>
      </w:r>
      <w:r w:rsidR="00AE1246">
        <w:rPr>
          <w:rFonts w:ascii="Arial" w:hAnsi="Arial" w:cs="Arial"/>
          <w:b/>
          <w:sz w:val="24"/>
          <w:szCs w:val="24"/>
        </w:rPr>
        <w:t>How should the Commission treat</w:t>
      </w:r>
      <w:r w:rsidRPr="006B5854">
        <w:rPr>
          <w:rFonts w:ascii="Arial" w:hAnsi="Arial" w:cs="Arial"/>
          <w:b/>
          <w:sz w:val="24"/>
          <w:szCs w:val="24"/>
        </w:rPr>
        <w:t xml:space="preserve"> the costs Duke incurs for procuring SSO service for customers that are currently being recovered through distribution rates?</w:t>
      </w:r>
    </w:p>
    <w:p w14:paraId="15F94547" w14:textId="5F34E401" w:rsidR="00BF25B5" w:rsidRDefault="006B5854" w:rsidP="00D91BFF">
      <w:pPr>
        <w:spacing w:line="480" w:lineRule="auto"/>
        <w:ind w:left="720" w:hanging="720"/>
        <w:jc w:val="both"/>
        <w:rPr>
          <w:rFonts w:ascii="Arial" w:hAnsi="Arial" w:cs="Arial"/>
          <w:sz w:val="24"/>
          <w:szCs w:val="24"/>
        </w:rPr>
      </w:pPr>
      <w:r w:rsidRPr="006B5854">
        <w:rPr>
          <w:rFonts w:ascii="Arial" w:hAnsi="Arial" w:cs="Arial"/>
          <w:sz w:val="24"/>
          <w:szCs w:val="24"/>
        </w:rPr>
        <w:t>A.</w:t>
      </w:r>
      <w:r w:rsidRPr="006B5854">
        <w:rPr>
          <w:rFonts w:ascii="Arial" w:hAnsi="Arial" w:cs="Arial"/>
          <w:sz w:val="24"/>
          <w:szCs w:val="24"/>
        </w:rPr>
        <w:tab/>
      </w:r>
      <w:r>
        <w:rPr>
          <w:rFonts w:ascii="Arial" w:hAnsi="Arial" w:cs="Arial"/>
          <w:sz w:val="24"/>
          <w:szCs w:val="24"/>
        </w:rPr>
        <w:t xml:space="preserve">The Commission should start allocating these costs to the SSO price.  As any supplier can attest to, the cost of providing retail electric service consist of more than </w:t>
      </w:r>
      <w:r w:rsidR="00A5243A">
        <w:rPr>
          <w:rFonts w:ascii="Arial" w:hAnsi="Arial" w:cs="Arial"/>
          <w:sz w:val="24"/>
          <w:szCs w:val="24"/>
        </w:rPr>
        <w:t xml:space="preserve">just </w:t>
      </w:r>
      <w:r>
        <w:rPr>
          <w:rFonts w:ascii="Arial" w:hAnsi="Arial" w:cs="Arial"/>
          <w:sz w:val="24"/>
          <w:szCs w:val="24"/>
        </w:rPr>
        <w:t>a pass-through of wholesale energy prices.  As noted above, there are a number of non-electric costs that are required to offer SSO service to residential electric customers that are currently being recovered through distribution rates.</w:t>
      </w:r>
    </w:p>
    <w:p w14:paraId="71D9B2DE" w14:textId="7462C518" w:rsidR="00BF25B5" w:rsidRPr="00200D16" w:rsidRDefault="00BF25B5" w:rsidP="00D91BFF">
      <w:pPr>
        <w:spacing w:line="480" w:lineRule="auto"/>
        <w:ind w:left="720" w:hanging="720"/>
        <w:jc w:val="both"/>
        <w:rPr>
          <w:rFonts w:ascii="Arial" w:hAnsi="Arial" w:cs="Arial"/>
          <w:b/>
          <w:sz w:val="24"/>
          <w:szCs w:val="24"/>
        </w:rPr>
      </w:pPr>
      <w:r w:rsidRPr="00200D16">
        <w:rPr>
          <w:rFonts w:ascii="Arial" w:hAnsi="Arial" w:cs="Arial"/>
          <w:b/>
          <w:sz w:val="24"/>
          <w:szCs w:val="24"/>
        </w:rPr>
        <w:lastRenderedPageBreak/>
        <w:t>Q.</w:t>
      </w:r>
      <w:r w:rsidRPr="00200D16">
        <w:rPr>
          <w:rFonts w:ascii="Arial" w:hAnsi="Arial" w:cs="Arial"/>
          <w:b/>
          <w:sz w:val="24"/>
          <w:szCs w:val="24"/>
        </w:rPr>
        <w:tab/>
        <w:t xml:space="preserve">Are there other examples of </w:t>
      </w:r>
      <w:r w:rsidR="00200D16" w:rsidRPr="00200D16">
        <w:rPr>
          <w:rFonts w:ascii="Arial" w:hAnsi="Arial" w:cs="Arial"/>
          <w:b/>
          <w:sz w:val="24"/>
          <w:szCs w:val="24"/>
        </w:rPr>
        <w:t>disparity of costs allocated to the SSO price vs. the costs allocated to CRES providers?</w:t>
      </w:r>
    </w:p>
    <w:p w14:paraId="72D71C82" w14:textId="4AE40575" w:rsidR="00200D16" w:rsidRDefault="00200D16" w:rsidP="00D91BFF">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Yes.  Duke’s supplier tariff sheet 52.3 lists a multitude of charges </w:t>
      </w:r>
      <w:r w:rsidR="00634B21">
        <w:rPr>
          <w:rFonts w:ascii="Arial" w:hAnsi="Arial" w:cs="Arial"/>
          <w:sz w:val="24"/>
          <w:szCs w:val="24"/>
        </w:rPr>
        <w:t xml:space="preserve">that </w:t>
      </w:r>
      <w:r>
        <w:rPr>
          <w:rFonts w:ascii="Arial" w:hAnsi="Arial" w:cs="Arial"/>
          <w:sz w:val="24"/>
          <w:szCs w:val="24"/>
        </w:rPr>
        <w:t xml:space="preserve">Duke places on CRES providers that offer retail electric service in the Duke service territory.  Those charges include: </w:t>
      </w:r>
    </w:p>
    <w:p w14:paraId="3DD42053" w14:textId="5AF66DF9" w:rsidR="00200D16" w:rsidRPr="00200D16" w:rsidRDefault="00200D16" w:rsidP="00200D16">
      <w:pPr>
        <w:pStyle w:val="ListParagraph"/>
        <w:numPr>
          <w:ilvl w:val="0"/>
          <w:numId w:val="10"/>
        </w:numPr>
        <w:spacing w:line="480" w:lineRule="auto"/>
        <w:jc w:val="both"/>
        <w:rPr>
          <w:rFonts w:ascii="Arial" w:hAnsi="Arial" w:cs="Arial"/>
          <w:sz w:val="24"/>
          <w:szCs w:val="24"/>
        </w:rPr>
      </w:pPr>
      <w:r w:rsidRPr="00200D16">
        <w:rPr>
          <w:rFonts w:ascii="Arial" w:hAnsi="Arial" w:cs="Arial"/>
          <w:sz w:val="24"/>
          <w:szCs w:val="24"/>
        </w:rPr>
        <w:t xml:space="preserve">CRES registration fees; </w:t>
      </w:r>
    </w:p>
    <w:p w14:paraId="11D07667" w14:textId="11F729AC" w:rsidR="00200D16" w:rsidRPr="00200D16" w:rsidRDefault="00200D16" w:rsidP="00200D16">
      <w:pPr>
        <w:pStyle w:val="ListParagraph"/>
        <w:numPr>
          <w:ilvl w:val="0"/>
          <w:numId w:val="10"/>
        </w:numPr>
        <w:spacing w:line="480" w:lineRule="auto"/>
        <w:jc w:val="both"/>
        <w:rPr>
          <w:rFonts w:ascii="Arial" w:hAnsi="Arial" w:cs="Arial"/>
          <w:sz w:val="24"/>
          <w:szCs w:val="24"/>
        </w:rPr>
      </w:pPr>
      <w:r w:rsidRPr="00200D16">
        <w:rPr>
          <w:rFonts w:ascii="Arial" w:hAnsi="Arial" w:cs="Arial"/>
          <w:sz w:val="24"/>
          <w:szCs w:val="24"/>
        </w:rPr>
        <w:t xml:space="preserve">customer switching fees; </w:t>
      </w:r>
    </w:p>
    <w:p w14:paraId="20ED05C0" w14:textId="77777777" w:rsidR="00200D16" w:rsidRDefault="00200D16" w:rsidP="00200D16">
      <w:pPr>
        <w:pStyle w:val="ListParagraph"/>
        <w:numPr>
          <w:ilvl w:val="0"/>
          <w:numId w:val="10"/>
        </w:numPr>
        <w:spacing w:line="480" w:lineRule="auto"/>
        <w:jc w:val="both"/>
        <w:rPr>
          <w:rFonts w:ascii="Arial" w:hAnsi="Arial" w:cs="Arial"/>
          <w:sz w:val="24"/>
          <w:szCs w:val="24"/>
        </w:rPr>
      </w:pPr>
      <w:r w:rsidRPr="00200D16">
        <w:rPr>
          <w:rFonts w:ascii="Arial" w:hAnsi="Arial" w:cs="Arial"/>
          <w:sz w:val="24"/>
          <w:szCs w:val="24"/>
        </w:rPr>
        <w:t>customer list fees;</w:t>
      </w:r>
    </w:p>
    <w:p w14:paraId="1C14E8E9" w14:textId="40024A14" w:rsidR="00200D16" w:rsidRPr="00200D16" w:rsidRDefault="00200D16" w:rsidP="00200D16">
      <w:pPr>
        <w:pStyle w:val="ListParagraph"/>
        <w:numPr>
          <w:ilvl w:val="0"/>
          <w:numId w:val="10"/>
        </w:numPr>
        <w:spacing w:line="480" w:lineRule="auto"/>
        <w:jc w:val="both"/>
        <w:rPr>
          <w:rFonts w:ascii="Arial" w:hAnsi="Arial" w:cs="Arial"/>
          <w:sz w:val="24"/>
          <w:szCs w:val="24"/>
        </w:rPr>
      </w:pPr>
      <w:r w:rsidRPr="00200D16">
        <w:rPr>
          <w:rFonts w:ascii="Arial" w:hAnsi="Arial" w:cs="Arial"/>
          <w:sz w:val="24"/>
          <w:szCs w:val="24"/>
        </w:rPr>
        <w:t xml:space="preserve"> fees for submitting market monitoring reports for CRES suppliers; </w:t>
      </w:r>
    </w:p>
    <w:p w14:paraId="43F20ED5" w14:textId="50C375A3" w:rsidR="00200D16" w:rsidRPr="00200D16" w:rsidRDefault="00200D16" w:rsidP="00200D16">
      <w:pPr>
        <w:pStyle w:val="ListParagraph"/>
        <w:numPr>
          <w:ilvl w:val="0"/>
          <w:numId w:val="10"/>
        </w:numPr>
        <w:spacing w:line="480" w:lineRule="auto"/>
        <w:jc w:val="both"/>
        <w:rPr>
          <w:rFonts w:ascii="Arial" w:hAnsi="Arial" w:cs="Arial"/>
          <w:sz w:val="24"/>
          <w:szCs w:val="24"/>
        </w:rPr>
      </w:pPr>
      <w:r w:rsidRPr="00200D16">
        <w:rPr>
          <w:rFonts w:ascii="Arial" w:hAnsi="Arial" w:cs="Arial"/>
          <w:sz w:val="24"/>
          <w:szCs w:val="24"/>
        </w:rPr>
        <w:t xml:space="preserve">fees to receive customer interval data; </w:t>
      </w:r>
    </w:p>
    <w:p w14:paraId="16F5F272" w14:textId="382FC783" w:rsidR="00200D16" w:rsidRDefault="00200D16" w:rsidP="00200D16">
      <w:pPr>
        <w:pStyle w:val="ListParagraph"/>
        <w:numPr>
          <w:ilvl w:val="0"/>
          <w:numId w:val="10"/>
        </w:numPr>
        <w:spacing w:line="480" w:lineRule="auto"/>
        <w:jc w:val="both"/>
        <w:rPr>
          <w:rFonts w:ascii="Arial" w:hAnsi="Arial" w:cs="Arial"/>
          <w:sz w:val="24"/>
          <w:szCs w:val="24"/>
        </w:rPr>
      </w:pPr>
      <w:r w:rsidRPr="00200D16">
        <w:rPr>
          <w:rFonts w:ascii="Arial" w:hAnsi="Arial" w:cs="Arial"/>
          <w:sz w:val="24"/>
          <w:szCs w:val="24"/>
        </w:rPr>
        <w:t xml:space="preserve">hourly charges for technical support provided to CRES suppliers; </w:t>
      </w:r>
    </w:p>
    <w:p w14:paraId="328D9E6A" w14:textId="1669A341" w:rsidR="00200D16" w:rsidRPr="00843C76" w:rsidRDefault="00200D16" w:rsidP="00843C76">
      <w:pPr>
        <w:pStyle w:val="ListParagraph"/>
        <w:numPr>
          <w:ilvl w:val="0"/>
          <w:numId w:val="10"/>
        </w:numPr>
        <w:spacing w:line="480" w:lineRule="auto"/>
        <w:jc w:val="both"/>
        <w:rPr>
          <w:rFonts w:ascii="Arial" w:hAnsi="Arial" w:cs="Arial"/>
          <w:sz w:val="24"/>
          <w:szCs w:val="24"/>
        </w:rPr>
      </w:pPr>
      <w:r>
        <w:rPr>
          <w:rFonts w:ascii="Arial" w:hAnsi="Arial" w:cs="Arial"/>
          <w:sz w:val="24"/>
          <w:szCs w:val="24"/>
        </w:rPr>
        <w:t>fees for bill preparation request.</w:t>
      </w:r>
    </w:p>
    <w:p w14:paraId="4532E2DE" w14:textId="1F2246DA" w:rsidR="00843C76" w:rsidRDefault="00200D16" w:rsidP="00843C76">
      <w:pPr>
        <w:pStyle w:val="ListParagraph"/>
        <w:spacing w:line="480" w:lineRule="auto"/>
        <w:jc w:val="both"/>
        <w:rPr>
          <w:rFonts w:ascii="Arial" w:hAnsi="Arial" w:cs="Arial"/>
          <w:sz w:val="24"/>
          <w:szCs w:val="24"/>
        </w:rPr>
      </w:pPr>
      <w:r>
        <w:rPr>
          <w:rFonts w:ascii="Arial" w:hAnsi="Arial" w:cs="Arial"/>
          <w:sz w:val="24"/>
          <w:szCs w:val="24"/>
        </w:rPr>
        <w:t>No</w:t>
      </w:r>
      <w:r w:rsidR="0070136B">
        <w:rPr>
          <w:rFonts w:ascii="Arial" w:hAnsi="Arial" w:cs="Arial"/>
          <w:sz w:val="24"/>
          <w:szCs w:val="24"/>
        </w:rPr>
        <w:t>ne</w:t>
      </w:r>
      <w:r>
        <w:rPr>
          <w:rFonts w:ascii="Arial" w:hAnsi="Arial" w:cs="Arial"/>
          <w:sz w:val="24"/>
          <w:szCs w:val="24"/>
        </w:rPr>
        <w:t xml:space="preserve"> of these charges are required of SSO cust</w:t>
      </w:r>
      <w:r w:rsidR="00843C76">
        <w:rPr>
          <w:rFonts w:ascii="Arial" w:hAnsi="Arial" w:cs="Arial"/>
          <w:sz w:val="24"/>
          <w:szCs w:val="24"/>
        </w:rPr>
        <w:t xml:space="preserve">omers or </w:t>
      </w:r>
      <w:r w:rsidR="00AE1246">
        <w:rPr>
          <w:rFonts w:ascii="Arial" w:hAnsi="Arial" w:cs="Arial"/>
          <w:sz w:val="24"/>
          <w:szCs w:val="24"/>
        </w:rPr>
        <w:t>allocated to</w:t>
      </w:r>
      <w:r w:rsidR="00843C76">
        <w:rPr>
          <w:rFonts w:ascii="Arial" w:hAnsi="Arial" w:cs="Arial"/>
          <w:sz w:val="24"/>
          <w:szCs w:val="24"/>
        </w:rPr>
        <w:t xml:space="preserve"> SSO service.</w:t>
      </w:r>
    </w:p>
    <w:p w14:paraId="32EEDD80" w14:textId="65F3B1F9" w:rsidR="00843C76" w:rsidRDefault="00843C76" w:rsidP="00843C76">
      <w:pPr>
        <w:pStyle w:val="ListParagraph"/>
        <w:spacing w:line="480" w:lineRule="auto"/>
        <w:ind w:left="0"/>
        <w:jc w:val="both"/>
        <w:rPr>
          <w:rFonts w:ascii="Arial" w:hAnsi="Arial" w:cs="Arial"/>
          <w:b/>
          <w:sz w:val="24"/>
          <w:szCs w:val="24"/>
        </w:rPr>
      </w:pPr>
      <w:r w:rsidRPr="00843C76">
        <w:rPr>
          <w:rFonts w:ascii="Arial" w:hAnsi="Arial" w:cs="Arial"/>
          <w:b/>
          <w:sz w:val="24"/>
          <w:szCs w:val="24"/>
        </w:rPr>
        <w:t>Q.</w:t>
      </w:r>
      <w:r w:rsidRPr="00843C76">
        <w:rPr>
          <w:rFonts w:ascii="Arial" w:hAnsi="Arial" w:cs="Arial"/>
          <w:b/>
          <w:sz w:val="24"/>
          <w:szCs w:val="24"/>
        </w:rPr>
        <w:tab/>
        <w:t xml:space="preserve">Why do these fees demonstrate the subsidies provided to SSO service? </w:t>
      </w:r>
    </w:p>
    <w:p w14:paraId="518F888C" w14:textId="59F1C6D0" w:rsidR="00843C76" w:rsidRPr="00200D16" w:rsidRDefault="00843C76" w:rsidP="00843C76">
      <w:pPr>
        <w:pStyle w:val="ListParagraph"/>
        <w:spacing w:line="480" w:lineRule="auto"/>
        <w:ind w:hanging="720"/>
        <w:jc w:val="both"/>
        <w:rPr>
          <w:rFonts w:ascii="Arial" w:hAnsi="Arial" w:cs="Arial"/>
          <w:sz w:val="24"/>
          <w:szCs w:val="24"/>
        </w:rPr>
      </w:pPr>
      <w:r w:rsidRPr="00843C76">
        <w:rPr>
          <w:rFonts w:ascii="Arial" w:hAnsi="Arial" w:cs="Arial"/>
          <w:sz w:val="24"/>
          <w:szCs w:val="24"/>
        </w:rPr>
        <w:t>A.</w:t>
      </w:r>
      <w:r w:rsidRPr="00843C76">
        <w:rPr>
          <w:rFonts w:ascii="Arial" w:hAnsi="Arial" w:cs="Arial"/>
          <w:sz w:val="24"/>
          <w:szCs w:val="24"/>
        </w:rPr>
        <w:tab/>
      </w:r>
      <w:r w:rsidR="00AE1246">
        <w:rPr>
          <w:rFonts w:ascii="Arial" w:hAnsi="Arial" w:cs="Arial"/>
          <w:sz w:val="24"/>
          <w:szCs w:val="24"/>
        </w:rPr>
        <w:t>P</w:t>
      </w:r>
      <w:r>
        <w:rPr>
          <w:rFonts w:ascii="Arial" w:hAnsi="Arial" w:cs="Arial"/>
          <w:sz w:val="24"/>
          <w:szCs w:val="24"/>
        </w:rPr>
        <w:t>resumably Duke charges CRES suppliers, or CRES customers</w:t>
      </w:r>
      <w:r w:rsidR="00AE1246">
        <w:rPr>
          <w:rFonts w:ascii="Arial" w:hAnsi="Arial" w:cs="Arial"/>
          <w:sz w:val="24"/>
          <w:szCs w:val="24"/>
        </w:rPr>
        <w:t>,</w:t>
      </w:r>
      <w:r>
        <w:rPr>
          <w:rFonts w:ascii="Arial" w:hAnsi="Arial" w:cs="Arial"/>
          <w:sz w:val="24"/>
          <w:szCs w:val="24"/>
        </w:rPr>
        <w:t xml:space="preserve"> these fees in order to recover costs to make CRES products available to customers.  Yet Duke makes available SSO service to customers</w:t>
      </w:r>
      <w:r w:rsidR="00AE1246">
        <w:rPr>
          <w:rFonts w:ascii="Arial" w:hAnsi="Arial" w:cs="Arial"/>
          <w:sz w:val="24"/>
          <w:szCs w:val="24"/>
        </w:rPr>
        <w:t xml:space="preserve"> for free</w:t>
      </w:r>
      <w:r>
        <w:rPr>
          <w:rFonts w:ascii="Arial" w:hAnsi="Arial" w:cs="Arial"/>
          <w:sz w:val="24"/>
          <w:szCs w:val="24"/>
        </w:rPr>
        <w:t xml:space="preserve">, </w:t>
      </w:r>
      <w:r w:rsidR="00AE1246">
        <w:rPr>
          <w:rFonts w:ascii="Arial" w:hAnsi="Arial" w:cs="Arial"/>
          <w:sz w:val="24"/>
          <w:szCs w:val="24"/>
        </w:rPr>
        <w:t xml:space="preserve">and does not charge SSO customers </w:t>
      </w:r>
      <w:r>
        <w:rPr>
          <w:rFonts w:ascii="Arial" w:hAnsi="Arial" w:cs="Arial"/>
          <w:sz w:val="24"/>
          <w:szCs w:val="24"/>
        </w:rPr>
        <w:t>comparable fee</w:t>
      </w:r>
      <w:r w:rsidR="00AE1246">
        <w:rPr>
          <w:rFonts w:ascii="Arial" w:hAnsi="Arial" w:cs="Arial"/>
          <w:sz w:val="24"/>
          <w:szCs w:val="24"/>
        </w:rPr>
        <w:t>s</w:t>
      </w:r>
      <w:r>
        <w:rPr>
          <w:rFonts w:ascii="Arial" w:hAnsi="Arial" w:cs="Arial"/>
          <w:sz w:val="24"/>
          <w:szCs w:val="24"/>
        </w:rPr>
        <w:t xml:space="preserve">.  Rather, all of </w:t>
      </w:r>
      <w:r w:rsidR="00AE1246">
        <w:rPr>
          <w:rFonts w:ascii="Arial" w:hAnsi="Arial" w:cs="Arial"/>
          <w:sz w:val="24"/>
          <w:szCs w:val="24"/>
        </w:rPr>
        <w:t>the costs to offer SSO service are</w:t>
      </w:r>
      <w:r>
        <w:rPr>
          <w:rFonts w:ascii="Arial" w:hAnsi="Arial" w:cs="Arial"/>
          <w:sz w:val="24"/>
          <w:szCs w:val="24"/>
        </w:rPr>
        <w:t xml:space="preserve"> recovered through distribution rates. </w:t>
      </w:r>
      <w:r w:rsidR="00200D16">
        <w:rPr>
          <w:rFonts w:ascii="Arial" w:hAnsi="Arial" w:cs="Arial"/>
          <w:sz w:val="24"/>
          <w:szCs w:val="24"/>
        </w:rPr>
        <w:t xml:space="preserve">One particularly poignant example is </w:t>
      </w:r>
      <w:r w:rsidR="00AE1246">
        <w:rPr>
          <w:rFonts w:ascii="Arial" w:hAnsi="Arial" w:cs="Arial"/>
          <w:sz w:val="24"/>
          <w:szCs w:val="24"/>
        </w:rPr>
        <w:t>the</w:t>
      </w:r>
      <w:r w:rsidR="00200D16">
        <w:rPr>
          <w:rFonts w:ascii="Arial" w:hAnsi="Arial" w:cs="Arial"/>
          <w:sz w:val="24"/>
          <w:szCs w:val="24"/>
        </w:rPr>
        <w:t xml:space="preserve"> $5 switching fee applied to </w:t>
      </w:r>
      <w:r w:rsidR="00AE1246">
        <w:rPr>
          <w:rFonts w:ascii="Arial" w:hAnsi="Arial" w:cs="Arial"/>
          <w:sz w:val="24"/>
          <w:szCs w:val="24"/>
        </w:rPr>
        <w:t>a customer every time the customer switches to a CRES provider but not charged whenever a customer switches to SSO service</w:t>
      </w:r>
      <w:r w:rsidR="00200D16">
        <w:rPr>
          <w:rFonts w:ascii="Arial" w:hAnsi="Arial" w:cs="Arial"/>
          <w:sz w:val="24"/>
          <w:szCs w:val="24"/>
        </w:rPr>
        <w:t xml:space="preserve">.  This </w:t>
      </w:r>
      <w:r w:rsidR="00200D16">
        <w:rPr>
          <w:rFonts w:ascii="Arial" w:hAnsi="Arial" w:cs="Arial"/>
          <w:sz w:val="24"/>
          <w:szCs w:val="24"/>
        </w:rPr>
        <w:lastRenderedPageBreak/>
        <w:t xml:space="preserve">switching fee continues to exist although there is no legitimate rationale for applying it the CRES customers </w:t>
      </w:r>
      <w:r w:rsidR="0070136B">
        <w:rPr>
          <w:rFonts w:ascii="Arial" w:hAnsi="Arial" w:cs="Arial"/>
          <w:sz w:val="24"/>
          <w:szCs w:val="24"/>
        </w:rPr>
        <w:t>only</w:t>
      </w:r>
      <w:r w:rsidR="00200D16">
        <w:rPr>
          <w:rFonts w:ascii="Arial" w:hAnsi="Arial" w:cs="Arial"/>
          <w:sz w:val="24"/>
          <w:szCs w:val="24"/>
        </w:rPr>
        <w:t>.</w:t>
      </w:r>
    </w:p>
    <w:p w14:paraId="051C21FC" w14:textId="0E3FD904" w:rsidR="006B5854" w:rsidRPr="006B5854" w:rsidRDefault="006B5854" w:rsidP="00D91BFF">
      <w:pPr>
        <w:spacing w:line="480" w:lineRule="auto"/>
        <w:ind w:left="720" w:hanging="720"/>
        <w:jc w:val="both"/>
        <w:rPr>
          <w:rFonts w:ascii="Arial" w:hAnsi="Arial" w:cs="Arial"/>
          <w:b/>
          <w:sz w:val="24"/>
          <w:szCs w:val="24"/>
        </w:rPr>
      </w:pPr>
      <w:r w:rsidRPr="006B5854">
        <w:rPr>
          <w:rFonts w:ascii="Arial" w:hAnsi="Arial" w:cs="Arial"/>
          <w:b/>
          <w:sz w:val="24"/>
          <w:szCs w:val="24"/>
        </w:rPr>
        <w:t>Q.</w:t>
      </w:r>
      <w:r w:rsidRPr="006B5854">
        <w:rPr>
          <w:rFonts w:ascii="Arial" w:hAnsi="Arial" w:cs="Arial"/>
          <w:b/>
          <w:sz w:val="24"/>
          <w:szCs w:val="24"/>
        </w:rPr>
        <w:tab/>
        <w:t xml:space="preserve">Are other states unbundling costs required to support SSO service?  </w:t>
      </w:r>
    </w:p>
    <w:p w14:paraId="7ECE5B22" w14:textId="1E6AD16F" w:rsidR="002719F1" w:rsidRDefault="006B5854" w:rsidP="00DD1AFE">
      <w:pPr>
        <w:spacing w:line="480" w:lineRule="auto"/>
        <w:ind w:left="720" w:hanging="720"/>
        <w:jc w:val="both"/>
        <w:rPr>
          <w:rFonts w:ascii="Arial" w:hAnsi="Arial" w:cs="Arial"/>
          <w:sz w:val="24"/>
          <w:szCs w:val="24"/>
        </w:rPr>
      </w:pPr>
      <w:r w:rsidRPr="006B5854">
        <w:rPr>
          <w:rFonts w:ascii="Arial" w:hAnsi="Arial" w:cs="Arial"/>
          <w:sz w:val="24"/>
          <w:szCs w:val="24"/>
        </w:rPr>
        <w:t>A.</w:t>
      </w:r>
      <w:r w:rsidRPr="006B5854">
        <w:rPr>
          <w:rFonts w:ascii="Arial" w:hAnsi="Arial" w:cs="Arial"/>
          <w:sz w:val="24"/>
          <w:szCs w:val="24"/>
        </w:rPr>
        <w:tab/>
      </w:r>
      <w:r>
        <w:rPr>
          <w:rFonts w:ascii="Arial" w:hAnsi="Arial" w:cs="Arial"/>
          <w:sz w:val="24"/>
          <w:szCs w:val="24"/>
        </w:rPr>
        <w:t>Yes.  There are a number of other states</w:t>
      </w:r>
      <w:r w:rsidR="00A5243A">
        <w:rPr>
          <w:rFonts w:ascii="Arial" w:hAnsi="Arial" w:cs="Arial"/>
          <w:sz w:val="24"/>
          <w:szCs w:val="24"/>
        </w:rPr>
        <w:t xml:space="preserve"> and utility Commissions</w:t>
      </w:r>
      <w:r>
        <w:rPr>
          <w:rFonts w:ascii="Arial" w:hAnsi="Arial" w:cs="Arial"/>
          <w:sz w:val="24"/>
          <w:szCs w:val="24"/>
        </w:rPr>
        <w:t xml:space="preserve"> that have begun to unbundle costs recovered through distribution rates that are required to support SSO service.  </w:t>
      </w:r>
      <w:r w:rsidR="00A5243A">
        <w:rPr>
          <w:rFonts w:ascii="Arial" w:hAnsi="Arial" w:cs="Arial"/>
          <w:sz w:val="24"/>
          <w:szCs w:val="24"/>
        </w:rPr>
        <w:t>In fact</w:t>
      </w:r>
      <w:r w:rsidR="00154BB2">
        <w:rPr>
          <w:rFonts w:ascii="Arial" w:hAnsi="Arial" w:cs="Arial"/>
          <w:sz w:val="24"/>
          <w:szCs w:val="24"/>
        </w:rPr>
        <w:t>,</w:t>
      </w:r>
      <w:r w:rsidR="00A5243A">
        <w:rPr>
          <w:rFonts w:ascii="Arial" w:hAnsi="Arial" w:cs="Arial"/>
          <w:sz w:val="24"/>
          <w:szCs w:val="24"/>
        </w:rPr>
        <w:t xml:space="preserve"> many of the markets with any level of residential electric shopping have unbundled some costs required to support default service from distribution rates and began recovering those costs </w:t>
      </w:r>
      <w:r w:rsidR="00890DAF">
        <w:rPr>
          <w:rFonts w:ascii="Arial" w:hAnsi="Arial" w:cs="Arial"/>
          <w:sz w:val="24"/>
          <w:szCs w:val="24"/>
        </w:rPr>
        <w:t>through</w:t>
      </w:r>
      <w:r w:rsidR="00A5243A">
        <w:rPr>
          <w:rFonts w:ascii="Arial" w:hAnsi="Arial" w:cs="Arial"/>
          <w:sz w:val="24"/>
          <w:szCs w:val="24"/>
        </w:rPr>
        <w:t xml:space="preserve"> the default service price.  Those states include, but are not limited to, New York, Maryland, Pennsylvania, Illinois and Texas.  Ohio is behind</w:t>
      </w:r>
      <w:r w:rsidR="00890DAF">
        <w:rPr>
          <w:rFonts w:ascii="Arial" w:hAnsi="Arial" w:cs="Arial"/>
          <w:sz w:val="24"/>
          <w:szCs w:val="24"/>
        </w:rPr>
        <w:t xml:space="preserve"> given that </w:t>
      </w:r>
      <w:r w:rsidR="00A5243A">
        <w:rPr>
          <w:rFonts w:ascii="Arial" w:hAnsi="Arial" w:cs="Arial"/>
          <w:sz w:val="24"/>
          <w:szCs w:val="24"/>
        </w:rPr>
        <w:t>it still contin</w:t>
      </w:r>
      <w:r w:rsidR="00890DAF">
        <w:rPr>
          <w:rFonts w:ascii="Arial" w:hAnsi="Arial" w:cs="Arial"/>
          <w:sz w:val="24"/>
          <w:szCs w:val="24"/>
        </w:rPr>
        <w:t xml:space="preserve">ues to treat default service price as just </w:t>
      </w:r>
      <w:r w:rsidR="00A5243A">
        <w:rPr>
          <w:rFonts w:ascii="Arial" w:hAnsi="Arial" w:cs="Arial"/>
          <w:sz w:val="24"/>
          <w:szCs w:val="24"/>
        </w:rPr>
        <w:t>a pass-through price for wholesale electric costs, and other costs required to support SSO service</w:t>
      </w:r>
      <w:r w:rsidR="00890DAF">
        <w:rPr>
          <w:rFonts w:ascii="Arial" w:hAnsi="Arial" w:cs="Arial"/>
          <w:sz w:val="24"/>
          <w:szCs w:val="24"/>
        </w:rPr>
        <w:t xml:space="preserve"> are not included in </w:t>
      </w:r>
      <w:r w:rsidR="00A5243A">
        <w:rPr>
          <w:rFonts w:ascii="Arial" w:hAnsi="Arial" w:cs="Arial"/>
          <w:sz w:val="24"/>
          <w:szCs w:val="24"/>
        </w:rPr>
        <w:t>the default rate.</w:t>
      </w:r>
    </w:p>
    <w:p w14:paraId="4759E671" w14:textId="3FBB4CE7" w:rsidR="00A5243A" w:rsidRDefault="00A5243A" w:rsidP="00DD1AFE">
      <w:pPr>
        <w:spacing w:line="480" w:lineRule="auto"/>
        <w:ind w:left="720" w:hanging="720"/>
        <w:jc w:val="both"/>
        <w:rPr>
          <w:rFonts w:ascii="Arial" w:hAnsi="Arial" w:cs="Arial"/>
          <w:b/>
          <w:sz w:val="24"/>
          <w:szCs w:val="24"/>
        </w:rPr>
      </w:pPr>
      <w:r w:rsidRPr="00A5243A">
        <w:rPr>
          <w:rFonts w:ascii="Arial" w:hAnsi="Arial" w:cs="Arial"/>
          <w:b/>
          <w:sz w:val="24"/>
          <w:szCs w:val="24"/>
        </w:rPr>
        <w:t>Q.</w:t>
      </w:r>
      <w:r w:rsidRPr="00A5243A">
        <w:rPr>
          <w:rFonts w:ascii="Arial" w:hAnsi="Arial" w:cs="Arial"/>
          <w:b/>
          <w:sz w:val="24"/>
          <w:szCs w:val="24"/>
        </w:rPr>
        <w:tab/>
        <w:t xml:space="preserve">Why is it important that the SSO price reflect </w:t>
      </w:r>
      <w:r w:rsidR="00890DAF">
        <w:rPr>
          <w:rFonts w:ascii="Arial" w:hAnsi="Arial" w:cs="Arial"/>
          <w:b/>
          <w:sz w:val="24"/>
          <w:szCs w:val="24"/>
        </w:rPr>
        <w:t>all of the</w:t>
      </w:r>
      <w:r w:rsidRPr="00A5243A">
        <w:rPr>
          <w:rFonts w:ascii="Arial" w:hAnsi="Arial" w:cs="Arial"/>
          <w:b/>
          <w:sz w:val="24"/>
          <w:szCs w:val="24"/>
        </w:rPr>
        <w:t xml:space="preserve"> cost </w:t>
      </w:r>
      <w:r w:rsidR="00890DAF">
        <w:rPr>
          <w:rFonts w:ascii="Arial" w:hAnsi="Arial" w:cs="Arial"/>
          <w:b/>
          <w:sz w:val="24"/>
          <w:szCs w:val="24"/>
        </w:rPr>
        <w:t>required to support the SSO</w:t>
      </w:r>
      <w:r w:rsidRPr="00A5243A">
        <w:rPr>
          <w:rFonts w:ascii="Arial" w:hAnsi="Arial" w:cs="Arial"/>
          <w:b/>
          <w:sz w:val="24"/>
          <w:szCs w:val="24"/>
        </w:rPr>
        <w:t>?</w:t>
      </w:r>
    </w:p>
    <w:p w14:paraId="45410FDB" w14:textId="65AE5E37" w:rsidR="00A5243A" w:rsidRDefault="00A5243A" w:rsidP="00DD1AFE">
      <w:pPr>
        <w:spacing w:line="480" w:lineRule="auto"/>
        <w:ind w:left="720" w:hanging="720"/>
        <w:jc w:val="both"/>
        <w:rPr>
          <w:rFonts w:ascii="Arial" w:hAnsi="Arial" w:cs="Arial"/>
          <w:sz w:val="24"/>
          <w:szCs w:val="24"/>
        </w:rPr>
      </w:pPr>
      <w:r w:rsidRPr="00A5243A">
        <w:rPr>
          <w:rFonts w:ascii="Arial" w:hAnsi="Arial" w:cs="Arial"/>
          <w:sz w:val="24"/>
          <w:szCs w:val="24"/>
        </w:rPr>
        <w:t>A.</w:t>
      </w:r>
      <w:r w:rsidRPr="00A5243A">
        <w:rPr>
          <w:rFonts w:ascii="Arial" w:hAnsi="Arial" w:cs="Arial"/>
          <w:sz w:val="24"/>
          <w:szCs w:val="24"/>
        </w:rPr>
        <w:tab/>
      </w:r>
      <w:r>
        <w:rPr>
          <w:rFonts w:ascii="Arial" w:hAnsi="Arial" w:cs="Arial"/>
          <w:sz w:val="24"/>
          <w:szCs w:val="24"/>
        </w:rPr>
        <w:t>First, it is a requirement in Ohio law that the SSO price be a</w:t>
      </w:r>
      <w:r w:rsidR="00583944">
        <w:rPr>
          <w:rFonts w:ascii="Arial" w:hAnsi="Arial" w:cs="Arial"/>
          <w:sz w:val="24"/>
          <w:szCs w:val="24"/>
        </w:rPr>
        <w:t>n</w:t>
      </w:r>
      <w:r>
        <w:rPr>
          <w:rFonts w:ascii="Arial" w:hAnsi="Arial" w:cs="Arial"/>
          <w:sz w:val="24"/>
          <w:szCs w:val="24"/>
        </w:rPr>
        <w:t xml:space="preserve"> unbundled comparable price to a </w:t>
      </w:r>
      <w:r w:rsidRPr="00A5243A">
        <w:rPr>
          <w:rFonts w:ascii="Arial" w:hAnsi="Arial" w:cs="Arial"/>
          <w:i/>
          <w:sz w:val="24"/>
          <w:szCs w:val="24"/>
        </w:rPr>
        <w:t>retail</w:t>
      </w:r>
      <w:r>
        <w:rPr>
          <w:rFonts w:ascii="Arial" w:hAnsi="Arial" w:cs="Arial"/>
          <w:sz w:val="24"/>
          <w:szCs w:val="24"/>
        </w:rPr>
        <w:t xml:space="preserve"> electric product in the market.  Second, if the SSO price does not reflect the full costs required to support that service, it will discourage competition, (particularly for the residential class) in Ohio’s retail electric markets.  </w:t>
      </w:r>
      <w:r w:rsidR="00042085">
        <w:rPr>
          <w:rFonts w:ascii="Arial" w:hAnsi="Arial" w:cs="Arial"/>
          <w:sz w:val="24"/>
          <w:szCs w:val="24"/>
        </w:rPr>
        <w:t>As I note</w:t>
      </w:r>
      <w:r w:rsidR="00634B21">
        <w:rPr>
          <w:rFonts w:ascii="Arial" w:hAnsi="Arial" w:cs="Arial"/>
          <w:sz w:val="24"/>
          <w:szCs w:val="24"/>
        </w:rPr>
        <w:t>d</w:t>
      </w:r>
      <w:r w:rsidR="00042085">
        <w:rPr>
          <w:rFonts w:ascii="Arial" w:hAnsi="Arial" w:cs="Arial"/>
          <w:sz w:val="24"/>
          <w:szCs w:val="24"/>
        </w:rPr>
        <w:t xml:space="preserve"> already, Duke’s SSO service contains a disproportionately high market share, given the numerous other competitive products that are available to customer.  By encouraging customers to remain on </w:t>
      </w:r>
      <w:r w:rsidR="00042085">
        <w:rPr>
          <w:rFonts w:ascii="Arial" w:hAnsi="Arial" w:cs="Arial"/>
          <w:sz w:val="24"/>
          <w:szCs w:val="24"/>
        </w:rPr>
        <w:lastRenderedPageBreak/>
        <w:t>SSO service, the Commission is effectively adopting a policy that discourages engagement in the retail electric markets.  In the long run, a disengaged market with miss out on the multitude of innovative products and technologies that will enhance Ohio’s electric reliability and enable customers to use energy more efficiently.</w:t>
      </w:r>
    </w:p>
    <w:p w14:paraId="23305121" w14:textId="18745274" w:rsidR="00042085" w:rsidRPr="00042085" w:rsidRDefault="00042085" w:rsidP="00DD1AFE">
      <w:pPr>
        <w:spacing w:line="480" w:lineRule="auto"/>
        <w:ind w:left="720" w:hanging="720"/>
        <w:jc w:val="both"/>
        <w:rPr>
          <w:rFonts w:ascii="Arial" w:hAnsi="Arial" w:cs="Arial"/>
          <w:b/>
          <w:sz w:val="24"/>
          <w:szCs w:val="24"/>
        </w:rPr>
      </w:pPr>
      <w:r w:rsidRPr="00042085">
        <w:rPr>
          <w:rFonts w:ascii="Arial" w:hAnsi="Arial" w:cs="Arial"/>
          <w:b/>
          <w:sz w:val="24"/>
          <w:szCs w:val="24"/>
        </w:rPr>
        <w:t>Q.</w:t>
      </w:r>
      <w:r w:rsidRPr="00042085">
        <w:rPr>
          <w:rFonts w:ascii="Arial" w:hAnsi="Arial" w:cs="Arial"/>
          <w:b/>
          <w:sz w:val="24"/>
          <w:szCs w:val="24"/>
        </w:rPr>
        <w:tab/>
        <w:t>What do you recommend the Commission require Duke to do with respect to unbundling of the costs required to support SSO service?</w:t>
      </w:r>
    </w:p>
    <w:p w14:paraId="6648F88E" w14:textId="2EC739F6" w:rsidR="00042085" w:rsidRDefault="00042085" w:rsidP="00DD1AFE">
      <w:pPr>
        <w:spacing w:line="480" w:lineRule="auto"/>
        <w:ind w:left="720" w:hanging="720"/>
        <w:jc w:val="both"/>
        <w:rPr>
          <w:rFonts w:ascii="Arial" w:hAnsi="Arial" w:cs="Arial"/>
          <w:sz w:val="24"/>
          <w:szCs w:val="24"/>
        </w:rPr>
      </w:pPr>
      <w:r>
        <w:rPr>
          <w:rFonts w:ascii="Arial" w:hAnsi="Arial" w:cs="Arial"/>
          <w:sz w:val="24"/>
          <w:szCs w:val="24"/>
        </w:rPr>
        <w:t>A.</w:t>
      </w:r>
      <w:r>
        <w:rPr>
          <w:rFonts w:ascii="Arial" w:hAnsi="Arial" w:cs="Arial"/>
          <w:sz w:val="24"/>
          <w:szCs w:val="24"/>
        </w:rPr>
        <w:tab/>
        <w:t xml:space="preserve">I recommend that the Commission require Duke to start the process of unbundling costs required to support SSO service. The Commission should direct Duke in the earlier of its next ESP Application or distribution rate case to make a </w:t>
      </w:r>
      <w:r w:rsidR="00BF25B5">
        <w:rPr>
          <w:rFonts w:ascii="Arial" w:hAnsi="Arial" w:cs="Arial"/>
          <w:sz w:val="24"/>
          <w:szCs w:val="24"/>
        </w:rPr>
        <w:t xml:space="preserve">proposal that will unbundle the direct costs required to support SSO service and allocate those costs to the SSO price.  Those costs should include, but are not limited to an allocation of: </w:t>
      </w:r>
    </w:p>
    <w:p w14:paraId="38B6851B" w14:textId="5077B96D" w:rsidR="00BF25B5" w:rsidRDefault="00BF25B5" w:rsidP="00BF25B5">
      <w:pPr>
        <w:pStyle w:val="ListParagraph"/>
        <w:numPr>
          <w:ilvl w:val="0"/>
          <w:numId w:val="9"/>
        </w:numPr>
        <w:spacing w:line="480" w:lineRule="auto"/>
        <w:jc w:val="both"/>
        <w:rPr>
          <w:rFonts w:ascii="Arial" w:hAnsi="Arial" w:cs="Arial"/>
          <w:sz w:val="24"/>
          <w:szCs w:val="24"/>
        </w:rPr>
      </w:pPr>
      <w:r>
        <w:rPr>
          <w:rFonts w:ascii="Arial" w:hAnsi="Arial" w:cs="Arial"/>
          <w:sz w:val="24"/>
          <w:szCs w:val="24"/>
        </w:rPr>
        <w:t>Duke employee costs;</w:t>
      </w:r>
    </w:p>
    <w:p w14:paraId="0CC2C6B5" w14:textId="27B57888" w:rsidR="00BF25B5" w:rsidRDefault="00BF25B5" w:rsidP="00BF25B5">
      <w:pPr>
        <w:pStyle w:val="ListParagraph"/>
        <w:numPr>
          <w:ilvl w:val="0"/>
          <w:numId w:val="9"/>
        </w:numPr>
        <w:spacing w:line="480" w:lineRule="auto"/>
        <w:jc w:val="both"/>
        <w:rPr>
          <w:rFonts w:ascii="Arial" w:hAnsi="Arial" w:cs="Arial"/>
          <w:sz w:val="24"/>
          <w:szCs w:val="24"/>
        </w:rPr>
      </w:pPr>
      <w:r>
        <w:rPr>
          <w:rFonts w:ascii="Arial" w:hAnsi="Arial" w:cs="Arial"/>
          <w:sz w:val="24"/>
          <w:szCs w:val="24"/>
        </w:rPr>
        <w:t>Working capital costs;</w:t>
      </w:r>
    </w:p>
    <w:p w14:paraId="0C681136" w14:textId="27199D2C" w:rsidR="00BF25B5" w:rsidRDefault="00BF25B5" w:rsidP="00BF25B5">
      <w:pPr>
        <w:pStyle w:val="ListParagraph"/>
        <w:numPr>
          <w:ilvl w:val="0"/>
          <w:numId w:val="9"/>
        </w:numPr>
        <w:spacing w:line="480" w:lineRule="auto"/>
        <w:jc w:val="both"/>
        <w:rPr>
          <w:rFonts w:ascii="Arial" w:hAnsi="Arial" w:cs="Arial"/>
          <w:sz w:val="24"/>
          <w:szCs w:val="24"/>
        </w:rPr>
      </w:pPr>
      <w:r>
        <w:rPr>
          <w:rFonts w:ascii="Arial" w:hAnsi="Arial" w:cs="Arial"/>
          <w:sz w:val="24"/>
          <w:szCs w:val="24"/>
        </w:rPr>
        <w:t>IT and other infrastructure costs;</w:t>
      </w:r>
    </w:p>
    <w:p w14:paraId="3FE09DFC" w14:textId="14C02C4E" w:rsidR="00BF25B5" w:rsidRDefault="00BF25B5" w:rsidP="00BF25B5">
      <w:pPr>
        <w:pStyle w:val="ListParagraph"/>
        <w:numPr>
          <w:ilvl w:val="0"/>
          <w:numId w:val="9"/>
        </w:numPr>
        <w:spacing w:line="480" w:lineRule="auto"/>
        <w:jc w:val="both"/>
        <w:rPr>
          <w:rFonts w:ascii="Arial" w:hAnsi="Arial" w:cs="Arial"/>
          <w:sz w:val="24"/>
          <w:szCs w:val="24"/>
        </w:rPr>
      </w:pPr>
      <w:r>
        <w:rPr>
          <w:rFonts w:ascii="Arial" w:hAnsi="Arial" w:cs="Arial"/>
          <w:sz w:val="24"/>
          <w:szCs w:val="24"/>
        </w:rPr>
        <w:t>Customer care costs; and</w:t>
      </w:r>
    </w:p>
    <w:p w14:paraId="03CF093C" w14:textId="498309FA" w:rsidR="00BF25B5" w:rsidRDefault="00BF25B5" w:rsidP="00BF25B5">
      <w:pPr>
        <w:pStyle w:val="ListParagraph"/>
        <w:numPr>
          <w:ilvl w:val="0"/>
          <w:numId w:val="9"/>
        </w:numPr>
        <w:spacing w:line="480" w:lineRule="auto"/>
        <w:jc w:val="both"/>
        <w:rPr>
          <w:rFonts w:ascii="Arial" w:hAnsi="Arial" w:cs="Arial"/>
          <w:sz w:val="24"/>
          <w:szCs w:val="24"/>
        </w:rPr>
      </w:pPr>
      <w:r>
        <w:rPr>
          <w:rFonts w:ascii="Arial" w:hAnsi="Arial" w:cs="Arial"/>
          <w:sz w:val="24"/>
          <w:szCs w:val="24"/>
        </w:rPr>
        <w:t xml:space="preserve">Legal costs </w:t>
      </w:r>
    </w:p>
    <w:p w14:paraId="26A35FC3" w14:textId="6283C5D8" w:rsidR="00843C76" w:rsidRDefault="00843C76" w:rsidP="00843C76">
      <w:pPr>
        <w:pStyle w:val="ListParagraph"/>
        <w:spacing w:line="480" w:lineRule="auto"/>
        <w:ind w:hanging="720"/>
        <w:jc w:val="both"/>
        <w:rPr>
          <w:rFonts w:ascii="Arial" w:hAnsi="Arial" w:cs="Arial"/>
          <w:b/>
          <w:sz w:val="24"/>
          <w:szCs w:val="24"/>
        </w:rPr>
      </w:pPr>
      <w:r w:rsidRPr="00843C76">
        <w:rPr>
          <w:rFonts w:ascii="Arial" w:hAnsi="Arial" w:cs="Arial"/>
          <w:b/>
          <w:sz w:val="24"/>
          <w:szCs w:val="24"/>
        </w:rPr>
        <w:t>Q.</w:t>
      </w:r>
      <w:r w:rsidRPr="00843C76">
        <w:rPr>
          <w:rFonts w:ascii="Arial" w:hAnsi="Arial" w:cs="Arial"/>
          <w:b/>
          <w:sz w:val="24"/>
          <w:szCs w:val="24"/>
        </w:rPr>
        <w:tab/>
        <w:t xml:space="preserve">Are there recommendations you make with respect to the customer switching fees? </w:t>
      </w:r>
    </w:p>
    <w:p w14:paraId="297D2BD7" w14:textId="6E65AE80" w:rsidR="00843C76" w:rsidRPr="00843C76" w:rsidRDefault="00843C76" w:rsidP="00843C76">
      <w:pPr>
        <w:pStyle w:val="ListParagraph"/>
        <w:spacing w:line="480" w:lineRule="auto"/>
        <w:ind w:hanging="720"/>
        <w:jc w:val="both"/>
        <w:rPr>
          <w:rFonts w:ascii="Arial" w:hAnsi="Arial" w:cs="Arial"/>
          <w:sz w:val="24"/>
          <w:szCs w:val="24"/>
        </w:rPr>
      </w:pPr>
      <w:r w:rsidRPr="00843C76">
        <w:rPr>
          <w:rFonts w:ascii="Arial" w:hAnsi="Arial" w:cs="Arial"/>
          <w:sz w:val="24"/>
          <w:szCs w:val="24"/>
        </w:rPr>
        <w:t>A.</w:t>
      </w:r>
      <w:r w:rsidRPr="00843C76">
        <w:rPr>
          <w:rFonts w:ascii="Arial" w:hAnsi="Arial" w:cs="Arial"/>
          <w:sz w:val="24"/>
          <w:szCs w:val="24"/>
        </w:rPr>
        <w:tab/>
      </w:r>
      <w:r>
        <w:rPr>
          <w:rFonts w:ascii="Arial" w:hAnsi="Arial" w:cs="Arial"/>
          <w:sz w:val="24"/>
          <w:szCs w:val="24"/>
        </w:rPr>
        <w:t>Yes.  The Commission should order Duke to stop applying customer switching fees to customers that switch to CRES service, or at a very minimum</w:t>
      </w:r>
      <w:r w:rsidR="00154BB2">
        <w:rPr>
          <w:rFonts w:ascii="Arial" w:hAnsi="Arial" w:cs="Arial"/>
          <w:sz w:val="24"/>
          <w:szCs w:val="24"/>
        </w:rPr>
        <w:t>,</w:t>
      </w:r>
      <w:r>
        <w:rPr>
          <w:rFonts w:ascii="Arial" w:hAnsi="Arial" w:cs="Arial"/>
          <w:sz w:val="24"/>
          <w:szCs w:val="24"/>
        </w:rPr>
        <w:t xml:space="preserve"> require </w:t>
      </w:r>
      <w:r>
        <w:rPr>
          <w:rFonts w:ascii="Arial" w:hAnsi="Arial" w:cs="Arial"/>
          <w:sz w:val="24"/>
          <w:szCs w:val="24"/>
        </w:rPr>
        <w:lastRenderedPageBreak/>
        <w:t>Duke to start charging switching fees to customers that return to SSO service.  There is no justifiable reason why switching fees</w:t>
      </w:r>
      <w:r w:rsidR="0070136B">
        <w:rPr>
          <w:rFonts w:ascii="Arial" w:hAnsi="Arial" w:cs="Arial"/>
          <w:sz w:val="24"/>
          <w:szCs w:val="24"/>
        </w:rPr>
        <w:t xml:space="preserve"> only</w:t>
      </w:r>
      <w:r w:rsidR="00890DAF">
        <w:rPr>
          <w:rFonts w:ascii="Arial" w:hAnsi="Arial" w:cs="Arial"/>
          <w:sz w:val="24"/>
          <w:szCs w:val="24"/>
        </w:rPr>
        <w:t xml:space="preserve"> apply to CRES customers but not SSO customers</w:t>
      </w:r>
      <w:r>
        <w:rPr>
          <w:rFonts w:ascii="Arial" w:hAnsi="Arial" w:cs="Arial"/>
          <w:sz w:val="24"/>
          <w:szCs w:val="24"/>
        </w:rPr>
        <w:t xml:space="preserve">.   </w:t>
      </w:r>
    </w:p>
    <w:p w14:paraId="4AED6563" w14:textId="4EBD470F" w:rsidR="00042085" w:rsidRDefault="00042085" w:rsidP="00042085">
      <w:pPr>
        <w:spacing w:line="480" w:lineRule="auto"/>
        <w:ind w:left="720" w:hanging="720"/>
        <w:jc w:val="both"/>
        <w:rPr>
          <w:rFonts w:ascii="Arial" w:hAnsi="Arial" w:cs="Arial"/>
          <w:b/>
          <w:sz w:val="24"/>
          <w:szCs w:val="24"/>
          <w:u w:val="single"/>
        </w:rPr>
      </w:pPr>
      <w:r>
        <w:rPr>
          <w:rFonts w:ascii="Arial" w:hAnsi="Arial" w:cs="Arial"/>
          <w:b/>
          <w:sz w:val="24"/>
          <w:szCs w:val="24"/>
        </w:rPr>
        <w:t>V</w:t>
      </w:r>
      <w:r w:rsidRPr="002515F4">
        <w:rPr>
          <w:rFonts w:ascii="Arial" w:hAnsi="Arial" w:cs="Arial"/>
          <w:b/>
          <w:sz w:val="24"/>
          <w:szCs w:val="24"/>
        </w:rPr>
        <w:t>.</w:t>
      </w:r>
      <w:r w:rsidRPr="002515F4">
        <w:rPr>
          <w:rFonts w:ascii="Arial" w:hAnsi="Arial" w:cs="Arial"/>
          <w:b/>
          <w:sz w:val="24"/>
          <w:szCs w:val="24"/>
        </w:rPr>
        <w:tab/>
      </w:r>
      <w:r>
        <w:rPr>
          <w:rFonts w:ascii="Arial" w:hAnsi="Arial" w:cs="Arial"/>
          <w:b/>
          <w:sz w:val="24"/>
          <w:szCs w:val="24"/>
          <w:u w:val="single"/>
        </w:rPr>
        <w:t>SUMMARY</w:t>
      </w:r>
    </w:p>
    <w:p w14:paraId="22530A01" w14:textId="16EA5629" w:rsidR="00843C76" w:rsidRDefault="00843C76" w:rsidP="00042085">
      <w:pPr>
        <w:spacing w:line="480" w:lineRule="auto"/>
        <w:ind w:left="720" w:hanging="720"/>
        <w:jc w:val="both"/>
        <w:rPr>
          <w:rFonts w:ascii="Arial" w:hAnsi="Arial" w:cs="Arial"/>
          <w:b/>
          <w:sz w:val="24"/>
          <w:szCs w:val="24"/>
        </w:rPr>
      </w:pPr>
      <w:r>
        <w:rPr>
          <w:rFonts w:ascii="Arial" w:hAnsi="Arial" w:cs="Arial"/>
          <w:b/>
          <w:sz w:val="24"/>
          <w:szCs w:val="24"/>
        </w:rPr>
        <w:t>Q.</w:t>
      </w:r>
      <w:r>
        <w:rPr>
          <w:rFonts w:ascii="Arial" w:hAnsi="Arial" w:cs="Arial"/>
          <w:b/>
          <w:sz w:val="24"/>
          <w:szCs w:val="24"/>
        </w:rPr>
        <w:tab/>
        <w:t>Can you please summarize the recommendations you make in your testimony?</w:t>
      </w:r>
    </w:p>
    <w:p w14:paraId="6F83308C" w14:textId="04636544" w:rsidR="00843C76" w:rsidRDefault="00843C76" w:rsidP="00042085">
      <w:pPr>
        <w:spacing w:line="480" w:lineRule="auto"/>
        <w:ind w:left="720" w:hanging="720"/>
        <w:jc w:val="both"/>
        <w:rPr>
          <w:rFonts w:ascii="Arial" w:hAnsi="Arial" w:cs="Arial"/>
          <w:sz w:val="24"/>
          <w:szCs w:val="24"/>
        </w:rPr>
      </w:pPr>
      <w:r w:rsidRPr="00843C76">
        <w:rPr>
          <w:rFonts w:ascii="Arial" w:hAnsi="Arial" w:cs="Arial"/>
          <w:sz w:val="24"/>
          <w:szCs w:val="24"/>
        </w:rPr>
        <w:t>A.</w:t>
      </w:r>
      <w:r w:rsidRPr="00843C76">
        <w:rPr>
          <w:rFonts w:ascii="Arial" w:hAnsi="Arial" w:cs="Arial"/>
          <w:sz w:val="24"/>
          <w:szCs w:val="24"/>
        </w:rPr>
        <w:tab/>
      </w:r>
      <w:r>
        <w:rPr>
          <w:rFonts w:ascii="Arial" w:hAnsi="Arial" w:cs="Arial"/>
          <w:sz w:val="24"/>
          <w:szCs w:val="24"/>
        </w:rPr>
        <w:t>Yes. I recommend that the Commission:</w:t>
      </w:r>
    </w:p>
    <w:p w14:paraId="5E4C07BF" w14:textId="026B371C" w:rsidR="00843C76" w:rsidRDefault="00843C76" w:rsidP="00843C76">
      <w:pPr>
        <w:pStyle w:val="ListParagraph"/>
        <w:numPr>
          <w:ilvl w:val="0"/>
          <w:numId w:val="11"/>
        </w:numPr>
        <w:spacing w:line="480" w:lineRule="auto"/>
        <w:jc w:val="both"/>
        <w:rPr>
          <w:rFonts w:ascii="Arial" w:hAnsi="Arial" w:cs="Arial"/>
          <w:sz w:val="24"/>
          <w:szCs w:val="24"/>
        </w:rPr>
      </w:pPr>
      <w:r>
        <w:rPr>
          <w:rFonts w:ascii="Arial" w:hAnsi="Arial" w:cs="Arial"/>
          <w:sz w:val="24"/>
          <w:szCs w:val="24"/>
        </w:rPr>
        <w:t>reject Duke’s proposal to prohibit CRES suppliers from using the bill ready function to bill for non-electric charges, and order Duke to make the necessary changes to its tariffs to enable CRES suppliers to place non-electric charges on the utility bill;</w:t>
      </w:r>
    </w:p>
    <w:p w14:paraId="2129CD69" w14:textId="37E1A010" w:rsidR="00843C76" w:rsidRDefault="00843C76" w:rsidP="00843C76">
      <w:pPr>
        <w:pStyle w:val="ListParagraph"/>
        <w:numPr>
          <w:ilvl w:val="0"/>
          <w:numId w:val="11"/>
        </w:numPr>
        <w:spacing w:line="480" w:lineRule="auto"/>
        <w:jc w:val="both"/>
        <w:rPr>
          <w:rFonts w:ascii="Arial" w:hAnsi="Arial" w:cs="Arial"/>
          <w:sz w:val="24"/>
          <w:szCs w:val="24"/>
        </w:rPr>
      </w:pPr>
      <w:r>
        <w:rPr>
          <w:rFonts w:ascii="Arial" w:hAnsi="Arial" w:cs="Arial"/>
          <w:sz w:val="24"/>
          <w:szCs w:val="24"/>
        </w:rPr>
        <w:t>find that Duke is not in compliance with its corporate separation plan;</w:t>
      </w:r>
    </w:p>
    <w:p w14:paraId="21F15662" w14:textId="29467320" w:rsidR="006A15B4" w:rsidRDefault="006A15B4" w:rsidP="00843C76">
      <w:pPr>
        <w:pStyle w:val="ListParagraph"/>
        <w:numPr>
          <w:ilvl w:val="0"/>
          <w:numId w:val="11"/>
        </w:numPr>
        <w:spacing w:line="480" w:lineRule="auto"/>
        <w:jc w:val="both"/>
        <w:rPr>
          <w:rFonts w:ascii="Arial" w:hAnsi="Arial" w:cs="Arial"/>
          <w:sz w:val="24"/>
          <w:szCs w:val="24"/>
        </w:rPr>
      </w:pPr>
      <w:r>
        <w:rPr>
          <w:rFonts w:ascii="Arial" w:hAnsi="Arial" w:cs="Arial"/>
          <w:sz w:val="24"/>
          <w:szCs w:val="24"/>
        </w:rPr>
        <w:t>require that Duke implement supplier consolidated billing</w:t>
      </w:r>
    </w:p>
    <w:p w14:paraId="2EAF3252" w14:textId="2B64F739" w:rsidR="00843C76" w:rsidRDefault="0065610D" w:rsidP="00843C76">
      <w:pPr>
        <w:pStyle w:val="ListParagraph"/>
        <w:numPr>
          <w:ilvl w:val="0"/>
          <w:numId w:val="11"/>
        </w:numPr>
        <w:spacing w:line="480" w:lineRule="auto"/>
        <w:jc w:val="both"/>
        <w:rPr>
          <w:rFonts w:ascii="Arial" w:hAnsi="Arial" w:cs="Arial"/>
          <w:sz w:val="24"/>
          <w:szCs w:val="24"/>
        </w:rPr>
      </w:pPr>
      <w:r>
        <w:rPr>
          <w:rFonts w:ascii="Arial" w:hAnsi="Arial" w:cs="Arial"/>
          <w:sz w:val="24"/>
          <w:szCs w:val="24"/>
        </w:rPr>
        <w:t>require that Duke begin unbundling th</w:t>
      </w:r>
      <w:r w:rsidR="00634B21">
        <w:rPr>
          <w:rFonts w:ascii="Arial" w:hAnsi="Arial" w:cs="Arial"/>
          <w:sz w:val="24"/>
          <w:szCs w:val="24"/>
        </w:rPr>
        <w:t>e</w:t>
      </w:r>
      <w:r>
        <w:rPr>
          <w:rFonts w:ascii="Arial" w:hAnsi="Arial" w:cs="Arial"/>
          <w:sz w:val="24"/>
          <w:szCs w:val="24"/>
        </w:rPr>
        <w:t xml:space="preserve"> actual costs Duke recovers through distribution rates and require that those costs be recovered through the SSO price;</w:t>
      </w:r>
    </w:p>
    <w:p w14:paraId="0FEC7F2C" w14:textId="084AD96E" w:rsidR="0065610D" w:rsidRDefault="0065610D" w:rsidP="00843C76">
      <w:pPr>
        <w:pStyle w:val="ListParagraph"/>
        <w:numPr>
          <w:ilvl w:val="0"/>
          <w:numId w:val="11"/>
        </w:numPr>
        <w:spacing w:line="480" w:lineRule="auto"/>
        <w:jc w:val="both"/>
        <w:rPr>
          <w:rFonts w:ascii="Arial" w:hAnsi="Arial" w:cs="Arial"/>
          <w:sz w:val="24"/>
          <w:szCs w:val="24"/>
        </w:rPr>
      </w:pPr>
      <w:r>
        <w:rPr>
          <w:rFonts w:ascii="Arial" w:hAnsi="Arial" w:cs="Arial"/>
          <w:sz w:val="24"/>
          <w:szCs w:val="24"/>
        </w:rPr>
        <w:t>require that Duke stops charging customer switching fees to customers that switch to a CRES provider</w:t>
      </w:r>
    </w:p>
    <w:p w14:paraId="1B82E9AA" w14:textId="3C128A0E" w:rsidR="0065610D" w:rsidRPr="0065610D" w:rsidRDefault="0065610D" w:rsidP="0065610D">
      <w:pPr>
        <w:spacing w:line="480" w:lineRule="auto"/>
        <w:jc w:val="both"/>
        <w:rPr>
          <w:rFonts w:ascii="Arial" w:hAnsi="Arial" w:cs="Arial"/>
          <w:b/>
          <w:sz w:val="24"/>
          <w:szCs w:val="24"/>
        </w:rPr>
      </w:pPr>
      <w:r w:rsidRPr="0065610D">
        <w:rPr>
          <w:rFonts w:ascii="Arial" w:hAnsi="Arial" w:cs="Arial"/>
          <w:b/>
          <w:sz w:val="24"/>
          <w:szCs w:val="24"/>
        </w:rPr>
        <w:t>Q.</w:t>
      </w:r>
      <w:r w:rsidRPr="0065610D">
        <w:rPr>
          <w:rFonts w:ascii="Arial" w:hAnsi="Arial" w:cs="Arial"/>
          <w:b/>
          <w:sz w:val="24"/>
          <w:szCs w:val="24"/>
        </w:rPr>
        <w:tab/>
        <w:t>Does this conclude your testimony?</w:t>
      </w:r>
    </w:p>
    <w:p w14:paraId="6CCAD321" w14:textId="17E43BE0" w:rsidR="0065610D" w:rsidRPr="0065610D" w:rsidRDefault="0065610D" w:rsidP="0065610D">
      <w:pPr>
        <w:spacing w:line="480" w:lineRule="auto"/>
        <w:jc w:val="both"/>
        <w:rPr>
          <w:rFonts w:ascii="Arial" w:hAnsi="Arial" w:cs="Arial"/>
          <w:sz w:val="24"/>
          <w:szCs w:val="24"/>
        </w:rPr>
      </w:pPr>
      <w:r>
        <w:rPr>
          <w:rFonts w:ascii="Arial" w:hAnsi="Arial" w:cs="Arial"/>
          <w:sz w:val="24"/>
          <w:szCs w:val="24"/>
        </w:rPr>
        <w:t>A.</w:t>
      </w:r>
      <w:r>
        <w:rPr>
          <w:rFonts w:ascii="Arial" w:hAnsi="Arial" w:cs="Arial"/>
          <w:sz w:val="24"/>
          <w:szCs w:val="24"/>
        </w:rPr>
        <w:tab/>
        <w:t>Yes it does.</w:t>
      </w:r>
    </w:p>
    <w:p w14:paraId="0F5F52C6" w14:textId="77777777" w:rsidR="00DD1AFE" w:rsidRPr="00DD1AFE" w:rsidRDefault="00DD1AFE" w:rsidP="00D90237">
      <w:pPr>
        <w:spacing w:line="480" w:lineRule="auto"/>
        <w:ind w:left="720" w:hanging="720"/>
        <w:jc w:val="both"/>
        <w:rPr>
          <w:rFonts w:ascii="Arial" w:hAnsi="Arial" w:cs="Arial"/>
          <w:sz w:val="24"/>
          <w:szCs w:val="24"/>
        </w:rPr>
      </w:pPr>
    </w:p>
    <w:p w14:paraId="75AA9659" w14:textId="77777777" w:rsidR="00DD1AFE" w:rsidRPr="00DD1AFE" w:rsidRDefault="00DD1AFE" w:rsidP="00D90237">
      <w:pPr>
        <w:spacing w:line="480" w:lineRule="auto"/>
        <w:ind w:left="720" w:hanging="720"/>
        <w:jc w:val="both"/>
        <w:rPr>
          <w:rFonts w:ascii="Arial" w:hAnsi="Arial" w:cs="Arial"/>
          <w:b/>
          <w:sz w:val="24"/>
          <w:szCs w:val="24"/>
        </w:rPr>
      </w:pPr>
    </w:p>
    <w:p w14:paraId="6EA1078B" w14:textId="77777777" w:rsidR="001716E2" w:rsidRDefault="001716E2" w:rsidP="0028014B">
      <w:pPr>
        <w:spacing w:after="120" w:line="480" w:lineRule="auto"/>
        <w:ind w:left="720" w:hanging="720"/>
        <w:jc w:val="both"/>
        <w:rPr>
          <w:rFonts w:ascii="Arial" w:hAnsi="Arial" w:cs="Arial"/>
          <w:sz w:val="24"/>
          <w:szCs w:val="24"/>
        </w:rPr>
        <w:sectPr w:rsidR="001716E2" w:rsidSect="00967BC0">
          <w:pgSz w:w="12240" w:h="15840"/>
          <w:pgMar w:top="1440" w:right="1440" w:bottom="1440" w:left="1440" w:header="720" w:footer="720" w:gutter="0"/>
          <w:lnNumType w:countBy="1"/>
          <w:cols w:space="720"/>
          <w:docGrid w:linePitch="360"/>
        </w:sectPr>
      </w:pPr>
    </w:p>
    <w:p w14:paraId="42986F6A" w14:textId="77777777" w:rsidR="00BD0A04" w:rsidRPr="00BD0A04" w:rsidRDefault="00BD0A04" w:rsidP="00BD0A04">
      <w:pPr>
        <w:spacing w:after="0" w:line="240" w:lineRule="auto"/>
        <w:ind w:left="2160" w:firstLine="720"/>
        <w:rPr>
          <w:rFonts w:ascii="Arial" w:eastAsia="Arial" w:hAnsi="Arial" w:cs="Arial"/>
          <w:b/>
          <w:sz w:val="24"/>
          <w:szCs w:val="24"/>
          <w:u w:val="single"/>
        </w:rPr>
      </w:pPr>
      <w:r w:rsidRPr="00BD0A04">
        <w:rPr>
          <w:rFonts w:ascii="Arial" w:eastAsia="Arial" w:hAnsi="Arial" w:cs="Arial"/>
          <w:b/>
          <w:sz w:val="24"/>
          <w:szCs w:val="24"/>
          <w:u w:val="single"/>
        </w:rPr>
        <w:lastRenderedPageBreak/>
        <w:t>CERTIFICATE OF SERVICE</w:t>
      </w:r>
    </w:p>
    <w:p w14:paraId="6CF7157D" w14:textId="77777777" w:rsidR="00BD0A04" w:rsidRPr="00BD0A04" w:rsidRDefault="00BD0A04" w:rsidP="00BD0A04">
      <w:pPr>
        <w:spacing w:after="0" w:line="240" w:lineRule="auto"/>
        <w:jc w:val="center"/>
        <w:rPr>
          <w:rFonts w:ascii="Arial" w:eastAsia="Arial" w:hAnsi="Arial" w:cs="Arial"/>
          <w:b/>
          <w:sz w:val="24"/>
          <w:szCs w:val="24"/>
          <w:u w:val="single"/>
        </w:rPr>
      </w:pPr>
    </w:p>
    <w:p w14:paraId="5E005066" w14:textId="15ABE3D3" w:rsidR="00BD0A04" w:rsidRPr="00BD0A04" w:rsidRDefault="00BD0A04" w:rsidP="00BD0A04">
      <w:pPr>
        <w:spacing w:after="0" w:line="240" w:lineRule="auto"/>
        <w:jc w:val="both"/>
        <w:rPr>
          <w:rFonts w:ascii="Arial" w:eastAsia="Calibri" w:hAnsi="Arial" w:cs="Arial"/>
          <w:sz w:val="24"/>
          <w:szCs w:val="24"/>
        </w:rPr>
      </w:pPr>
      <w:r w:rsidRPr="00BD0A04">
        <w:rPr>
          <w:rFonts w:ascii="Arial" w:eastAsia="Arial" w:hAnsi="Arial" w:cs="Arial"/>
          <w:sz w:val="24"/>
          <w:szCs w:val="24"/>
        </w:rPr>
        <w:tab/>
      </w:r>
      <w:r w:rsidRPr="00BD0A04">
        <w:rPr>
          <w:rFonts w:ascii="Arial" w:eastAsia="Calibri" w:hAnsi="Arial" w:cs="Arial"/>
          <w:sz w:val="24"/>
          <w:szCs w:val="24"/>
        </w:rPr>
        <w:t xml:space="preserve">The undersigned hereby certifies that a copy of the foregoing </w:t>
      </w:r>
      <w:r w:rsidRPr="00BD0A04">
        <w:rPr>
          <w:rFonts w:ascii="Arial" w:eastAsia="Calibri" w:hAnsi="Arial" w:cs="Arial"/>
          <w:i/>
          <w:sz w:val="24"/>
          <w:szCs w:val="24"/>
        </w:rPr>
        <w:t xml:space="preserve">IGS Energy’s Second Set of Discovery on Duke Energy Ohio </w:t>
      </w:r>
      <w:r w:rsidRPr="00BD0A04">
        <w:rPr>
          <w:rFonts w:ascii="Arial" w:eastAsia="Calibri" w:hAnsi="Arial" w:cs="Arial"/>
          <w:sz w:val="24"/>
          <w:szCs w:val="24"/>
        </w:rPr>
        <w:t>was served this 2</w:t>
      </w:r>
      <w:r>
        <w:rPr>
          <w:rFonts w:ascii="Arial" w:eastAsia="Calibri" w:hAnsi="Arial" w:cs="Arial"/>
          <w:sz w:val="24"/>
          <w:szCs w:val="24"/>
        </w:rPr>
        <w:t>6</w:t>
      </w:r>
      <w:r w:rsidRPr="00BD0A04">
        <w:rPr>
          <w:rFonts w:ascii="Arial" w:eastAsia="Calibri" w:hAnsi="Arial" w:cs="Arial"/>
          <w:sz w:val="24"/>
          <w:szCs w:val="24"/>
        </w:rPr>
        <w:t xml:space="preserve"> day of </w:t>
      </w:r>
      <w:r w:rsidR="00AE4E8B">
        <w:rPr>
          <w:rFonts w:ascii="Arial" w:eastAsia="Calibri" w:hAnsi="Arial" w:cs="Arial"/>
          <w:sz w:val="24"/>
          <w:szCs w:val="24"/>
        </w:rPr>
        <w:t>September</w:t>
      </w:r>
      <w:r w:rsidRPr="00BD0A04">
        <w:rPr>
          <w:rFonts w:ascii="Arial" w:eastAsia="Calibri" w:hAnsi="Arial" w:cs="Arial"/>
          <w:sz w:val="24"/>
          <w:szCs w:val="24"/>
        </w:rPr>
        <w:t xml:space="preserve"> 2014 via electronic mail upon the following:</w:t>
      </w:r>
    </w:p>
    <w:p w14:paraId="4D1939C9" w14:textId="77777777" w:rsidR="00BD0A04" w:rsidRPr="00BD0A04" w:rsidRDefault="00BD0A04" w:rsidP="00BD0A04">
      <w:pPr>
        <w:spacing w:after="0" w:line="240" w:lineRule="auto"/>
        <w:jc w:val="both"/>
        <w:rPr>
          <w:rFonts w:ascii="Arial" w:eastAsia="Calibri" w:hAnsi="Arial" w:cs="Arial"/>
          <w:sz w:val="24"/>
          <w:szCs w:val="24"/>
        </w:rPr>
      </w:pPr>
    </w:p>
    <w:p w14:paraId="5BCAC0F7" w14:textId="77777777" w:rsidR="00BD0A04" w:rsidRPr="00BD0A04" w:rsidRDefault="00BD0A04" w:rsidP="00BD0A04">
      <w:pPr>
        <w:spacing w:after="0" w:line="240" w:lineRule="auto"/>
        <w:jc w:val="both"/>
        <w:rPr>
          <w:rFonts w:ascii="Arial" w:eastAsia="Arial" w:hAnsi="Arial" w:cs="Arial"/>
          <w:sz w:val="24"/>
          <w:szCs w:val="24"/>
        </w:rPr>
      </w:pPr>
    </w:p>
    <w:p w14:paraId="0C59A19E" w14:textId="77777777" w:rsidR="00BD0A04" w:rsidRPr="00BD0A04" w:rsidRDefault="00BD0A04" w:rsidP="00BD0A04">
      <w:pPr>
        <w:spacing w:after="0" w:line="240" w:lineRule="auto"/>
        <w:jc w:val="both"/>
        <w:rPr>
          <w:rFonts w:ascii="Arial" w:eastAsia="Arial" w:hAnsi="Arial" w:cs="Arial"/>
          <w:sz w:val="24"/>
          <w:szCs w:val="24"/>
        </w:rPr>
      </w:pPr>
    </w:p>
    <w:p w14:paraId="6599F4BA" w14:textId="77777777" w:rsidR="00BD0A04" w:rsidRPr="00BD0A04" w:rsidRDefault="00BD0A04" w:rsidP="00BD0A04">
      <w:pPr>
        <w:spacing w:after="0" w:line="240" w:lineRule="auto"/>
        <w:ind w:left="5040" w:firstLine="720"/>
        <w:rPr>
          <w:rFonts w:ascii="Arial" w:eastAsia="Calibri" w:hAnsi="Arial" w:cs="Arial"/>
          <w:sz w:val="24"/>
          <w:szCs w:val="24"/>
          <w:u w:val="single"/>
        </w:rPr>
      </w:pPr>
      <w:r w:rsidRPr="00BD0A04">
        <w:rPr>
          <w:rFonts w:ascii="Arial" w:eastAsia="Arial" w:hAnsi="Arial" w:cs="Arial"/>
          <w:i/>
          <w:sz w:val="24"/>
          <w:szCs w:val="24"/>
          <w:u w:val="single"/>
        </w:rPr>
        <w:t>/s/ Joseph Oliker_______</w:t>
      </w:r>
    </w:p>
    <w:p w14:paraId="5E4E649A" w14:textId="77777777" w:rsidR="00BD0A04" w:rsidRPr="00BD0A04" w:rsidRDefault="00BD0A04" w:rsidP="00BD0A04">
      <w:pPr>
        <w:spacing w:after="0" w:line="240" w:lineRule="auto"/>
        <w:ind w:left="5040" w:firstLine="720"/>
        <w:rPr>
          <w:rFonts w:ascii="Arial" w:eastAsia="Times New Roman" w:hAnsi="Arial" w:cs="Arial"/>
          <w:sz w:val="24"/>
          <w:szCs w:val="24"/>
        </w:rPr>
      </w:pPr>
      <w:r w:rsidRPr="00BD0A04">
        <w:rPr>
          <w:rFonts w:ascii="Arial" w:eastAsia="Times New Roman" w:hAnsi="Arial" w:cs="Arial"/>
          <w:sz w:val="24"/>
          <w:szCs w:val="24"/>
        </w:rPr>
        <w:t>Joseph Oliker</w:t>
      </w:r>
    </w:p>
    <w:p w14:paraId="00764A68" w14:textId="77777777" w:rsidR="00BD0A04" w:rsidRPr="00BD0A04" w:rsidRDefault="00BD0A04" w:rsidP="00BD0A04">
      <w:pPr>
        <w:spacing w:after="0" w:line="240" w:lineRule="auto"/>
        <w:rPr>
          <w:rFonts w:ascii="Arial" w:eastAsia="Times New Roman" w:hAnsi="Arial" w:cs="Arial"/>
          <w:sz w:val="16"/>
          <w:szCs w:val="16"/>
        </w:rPr>
      </w:pPr>
    </w:p>
    <w:tbl>
      <w:tblPr>
        <w:tblStyle w:val="TableGrid3"/>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50"/>
        <w:gridCol w:w="4320"/>
      </w:tblGrid>
      <w:tr w:rsidR="00BD0A04" w:rsidRPr="00BD0A04" w14:paraId="05B42C30" w14:textId="77777777" w:rsidTr="00857F1D">
        <w:trPr>
          <w:cantSplit/>
        </w:trPr>
        <w:tc>
          <w:tcPr>
            <w:tcW w:w="4248" w:type="dxa"/>
          </w:tcPr>
          <w:p w14:paraId="55111ED1"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Amy B. Spiller</w:t>
            </w:r>
          </w:p>
          <w:p w14:paraId="0CD82A1F"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Deputy General Counsel</w:t>
            </w:r>
          </w:p>
          <w:p w14:paraId="5BD49F4F"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Elizabeth Watts</w:t>
            </w:r>
          </w:p>
          <w:p w14:paraId="06F06E72"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Associate General Counsel</w:t>
            </w:r>
          </w:p>
          <w:p w14:paraId="50C9CF99"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Jeanne W. Kingery</w:t>
            </w:r>
          </w:p>
          <w:p w14:paraId="692E05A8"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Associate General Counsel</w:t>
            </w:r>
          </w:p>
          <w:p w14:paraId="259BFF82"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Rocco D’Ascenzo</w:t>
            </w:r>
          </w:p>
          <w:p w14:paraId="6CA5F345"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Associate General Counsel</w:t>
            </w:r>
          </w:p>
          <w:p w14:paraId="35727E20"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Duke Energy Business Services, Inc.</w:t>
            </w:r>
          </w:p>
          <w:p w14:paraId="045D6639"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139 Fourth Street, 1301-Main</w:t>
            </w:r>
          </w:p>
          <w:p w14:paraId="0E274EF5"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P. O. Box 960</w:t>
            </w:r>
          </w:p>
          <w:p w14:paraId="150CD3F7"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Cincinnati, Ohio  45202-0960</w:t>
            </w:r>
          </w:p>
          <w:p w14:paraId="282C5EBC" w14:textId="77777777" w:rsidR="00BD0A04" w:rsidRPr="00BD0A04" w:rsidRDefault="00B57E8D" w:rsidP="00BD0A04">
            <w:pPr>
              <w:ind w:right="162"/>
              <w:jc w:val="both"/>
              <w:rPr>
                <w:rFonts w:ascii="Arial" w:eastAsia="Calibri" w:hAnsi="Arial" w:cs="Arial"/>
                <w:sz w:val="24"/>
                <w:szCs w:val="24"/>
              </w:rPr>
            </w:pPr>
            <w:hyperlink r:id="rId14" w:history="1">
              <w:r w:rsidR="00BD0A04" w:rsidRPr="00BD0A04">
                <w:rPr>
                  <w:rFonts w:ascii="Arial" w:eastAsia="Calibri" w:hAnsi="Arial" w:cs="Arial"/>
                  <w:color w:val="0000FF"/>
                  <w:sz w:val="24"/>
                  <w:szCs w:val="24"/>
                  <w:u w:val="single"/>
                </w:rPr>
                <w:t>Amy.Spiller@duke-energy.com</w:t>
              </w:r>
            </w:hyperlink>
          </w:p>
          <w:p w14:paraId="493B0805" w14:textId="77777777" w:rsidR="00BD0A04" w:rsidRPr="00BD0A04" w:rsidRDefault="00B57E8D" w:rsidP="00BD0A04">
            <w:pPr>
              <w:ind w:right="162"/>
              <w:jc w:val="both"/>
              <w:rPr>
                <w:rFonts w:ascii="Arial" w:eastAsia="Calibri" w:hAnsi="Arial" w:cs="Arial"/>
                <w:sz w:val="24"/>
                <w:szCs w:val="24"/>
              </w:rPr>
            </w:pPr>
            <w:hyperlink r:id="rId15" w:history="1">
              <w:r w:rsidR="00BD0A04" w:rsidRPr="00BD0A04">
                <w:rPr>
                  <w:rFonts w:ascii="Arial" w:eastAsia="Calibri" w:hAnsi="Arial" w:cs="Arial"/>
                  <w:color w:val="0000FF"/>
                  <w:sz w:val="24"/>
                  <w:szCs w:val="24"/>
                  <w:u w:val="single"/>
                </w:rPr>
                <w:t>Elizabeth.Watts@duke-energy.com</w:t>
              </w:r>
            </w:hyperlink>
          </w:p>
          <w:p w14:paraId="78AF8AB8" w14:textId="77777777" w:rsidR="00BD0A04" w:rsidRPr="00BD0A04" w:rsidRDefault="00B57E8D" w:rsidP="00BD0A04">
            <w:pPr>
              <w:ind w:right="162"/>
              <w:jc w:val="both"/>
              <w:rPr>
                <w:rFonts w:ascii="Arial" w:eastAsia="Calibri" w:hAnsi="Arial" w:cs="Arial"/>
                <w:sz w:val="24"/>
                <w:szCs w:val="24"/>
              </w:rPr>
            </w:pPr>
            <w:hyperlink r:id="rId16" w:history="1">
              <w:r w:rsidR="00BD0A04" w:rsidRPr="00BD0A04">
                <w:rPr>
                  <w:rFonts w:ascii="Arial" w:eastAsia="Calibri" w:hAnsi="Arial" w:cs="Arial"/>
                  <w:color w:val="0000FF"/>
                  <w:sz w:val="24"/>
                  <w:szCs w:val="24"/>
                  <w:u w:val="single"/>
                </w:rPr>
                <w:t>Jeanne.Kingery@duke-energy.com</w:t>
              </w:r>
            </w:hyperlink>
          </w:p>
          <w:p w14:paraId="0169AC0F" w14:textId="77777777" w:rsidR="00BD0A04" w:rsidRPr="00BD0A04" w:rsidRDefault="00B57E8D" w:rsidP="00BD0A04">
            <w:pPr>
              <w:ind w:right="162"/>
              <w:jc w:val="both"/>
              <w:rPr>
                <w:rFonts w:ascii="Arial" w:eastAsia="Calibri" w:hAnsi="Arial" w:cs="Arial"/>
                <w:sz w:val="24"/>
                <w:szCs w:val="24"/>
              </w:rPr>
            </w:pPr>
            <w:hyperlink r:id="rId17" w:history="1">
              <w:r w:rsidR="00BD0A04" w:rsidRPr="00BD0A04">
                <w:rPr>
                  <w:rFonts w:ascii="Arial" w:eastAsia="Calibri" w:hAnsi="Arial" w:cs="Arial"/>
                  <w:color w:val="0000FF"/>
                  <w:sz w:val="24"/>
                  <w:szCs w:val="24"/>
                  <w:u w:val="single"/>
                </w:rPr>
                <w:t>Rocco.D’Ascenzo@duke-energy.com</w:t>
              </w:r>
            </w:hyperlink>
          </w:p>
          <w:p w14:paraId="4DFA6EA0" w14:textId="77777777" w:rsidR="00BD0A04" w:rsidRPr="00BD0A04" w:rsidRDefault="00BD0A04" w:rsidP="00BD0A04">
            <w:pPr>
              <w:ind w:right="162"/>
              <w:jc w:val="both"/>
              <w:rPr>
                <w:rFonts w:ascii="Arial" w:eastAsia="Calibri" w:hAnsi="Arial" w:cs="Arial"/>
                <w:sz w:val="24"/>
                <w:szCs w:val="24"/>
              </w:rPr>
            </w:pPr>
          </w:p>
          <w:p w14:paraId="1B72CC4A" w14:textId="77777777" w:rsidR="00BD0A04" w:rsidRPr="00BD0A04" w:rsidRDefault="00BD0A04" w:rsidP="00BD0A04">
            <w:pPr>
              <w:ind w:right="162"/>
              <w:jc w:val="both"/>
              <w:rPr>
                <w:rFonts w:ascii="Arial" w:eastAsia="Calibri" w:hAnsi="Arial" w:cs="Arial"/>
                <w:b/>
                <w:sz w:val="24"/>
                <w:szCs w:val="24"/>
              </w:rPr>
            </w:pPr>
            <w:r w:rsidRPr="00BD0A04">
              <w:rPr>
                <w:rFonts w:ascii="Arial" w:eastAsia="Calibri" w:hAnsi="Arial" w:cs="Arial"/>
                <w:b/>
                <w:sz w:val="24"/>
                <w:szCs w:val="24"/>
              </w:rPr>
              <w:t>Counsel for Duke Energy Ohio</w:t>
            </w:r>
          </w:p>
          <w:p w14:paraId="1E1401DC" w14:textId="77777777" w:rsidR="00BD0A04" w:rsidRPr="00BD0A04" w:rsidRDefault="00BD0A04" w:rsidP="00BD0A04">
            <w:pPr>
              <w:ind w:right="162"/>
              <w:jc w:val="both"/>
              <w:rPr>
                <w:rFonts w:ascii="Arial" w:eastAsia="Calibri" w:hAnsi="Arial" w:cs="Arial"/>
                <w:sz w:val="24"/>
                <w:szCs w:val="24"/>
              </w:rPr>
            </w:pPr>
          </w:p>
          <w:p w14:paraId="009819A3" w14:textId="77777777" w:rsidR="00BD0A04" w:rsidRPr="00BD0A04" w:rsidRDefault="00BD0A04" w:rsidP="00BD0A04">
            <w:pPr>
              <w:ind w:right="162"/>
              <w:jc w:val="both"/>
              <w:rPr>
                <w:rFonts w:ascii="Arial" w:eastAsia="Calibri" w:hAnsi="Arial" w:cs="Arial"/>
                <w:sz w:val="24"/>
                <w:szCs w:val="24"/>
              </w:rPr>
            </w:pPr>
          </w:p>
        </w:tc>
        <w:tc>
          <w:tcPr>
            <w:tcW w:w="450" w:type="dxa"/>
          </w:tcPr>
          <w:p w14:paraId="661C24FB" w14:textId="77777777" w:rsidR="00BD0A04" w:rsidRPr="00BD0A04" w:rsidRDefault="00BD0A04" w:rsidP="00BD0A04">
            <w:pPr>
              <w:ind w:right="162"/>
              <w:jc w:val="both"/>
              <w:rPr>
                <w:rFonts w:ascii="Arial" w:eastAsia="Calibri" w:hAnsi="Arial" w:cs="Arial"/>
                <w:sz w:val="24"/>
                <w:szCs w:val="24"/>
              </w:rPr>
            </w:pPr>
          </w:p>
        </w:tc>
        <w:tc>
          <w:tcPr>
            <w:tcW w:w="4320" w:type="dxa"/>
          </w:tcPr>
          <w:p w14:paraId="60C395D0"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David F. Boehm</w:t>
            </w:r>
          </w:p>
          <w:p w14:paraId="4A572FB1"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Michael L. Kurtz</w:t>
            </w:r>
          </w:p>
          <w:p w14:paraId="0DCD7F0F"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Jody M. Kyler Cohn</w:t>
            </w:r>
          </w:p>
          <w:p w14:paraId="1F900931"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Boehm, Kurtz &amp; Lowry</w:t>
            </w:r>
          </w:p>
          <w:p w14:paraId="73BD4CC1"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36 East Seventh Street, Suite 1510</w:t>
            </w:r>
          </w:p>
          <w:p w14:paraId="40366B8B"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Cincinnati, Ohio 45202</w:t>
            </w:r>
          </w:p>
          <w:p w14:paraId="02C88ED6" w14:textId="77777777" w:rsidR="00BD0A04" w:rsidRPr="00BD0A04" w:rsidRDefault="00B57E8D" w:rsidP="00BD0A04">
            <w:pPr>
              <w:ind w:right="162"/>
              <w:jc w:val="both"/>
              <w:rPr>
                <w:rFonts w:ascii="Arial" w:eastAsia="Calibri" w:hAnsi="Arial" w:cs="Arial"/>
                <w:sz w:val="24"/>
                <w:szCs w:val="24"/>
              </w:rPr>
            </w:pPr>
            <w:hyperlink r:id="rId18" w:history="1">
              <w:r w:rsidR="00BD0A04" w:rsidRPr="00BD0A04">
                <w:rPr>
                  <w:rFonts w:ascii="Arial" w:eastAsia="Calibri" w:hAnsi="Arial" w:cs="Arial"/>
                  <w:color w:val="0000FF"/>
                  <w:sz w:val="24"/>
                  <w:szCs w:val="24"/>
                  <w:u w:val="single"/>
                </w:rPr>
                <w:t>dboehm@BKLlawfirm.com</w:t>
              </w:r>
            </w:hyperlink>
          </w:p>
          <w:p w14:paraId="631C6B53" w14:textId="77777777" w:rsidR="00BD0A04" w:rsidRPr="00BD0A04" w:rsidRDefault="00B57E8D" w:rsidP="00BD0A04">
            <w:pPr>
              <w:ind w:right="162"/>
              <w:jc w:val="both"/>
              <w:rPr>
                <w:rFonts w:ascii="Arial" w:eastAsia="Calibri" w:hAnsi="Arial" w:cs="Arial"/>
                <w:sz w:val="24"/>
                <w:szCs w:val="24"/>
              </w:rPr>
            </w:pPr>
            <w:hyperlink r:id="rId19" w:history="1">
              <w:r w:rsidR="00BD0A04" w:rsidRPr="00BD0A04">
                <w:rPr>
                  <w:rFonts w:ascii="Arial" w:eastAsia="Calibri" w:hAnsi="Arial" w:cs="Arial"/>
                  <w:color w:val="0000FF"/>
                  <w:sz w:val="24"/>
                  <w:szCs w:val="24"/>
                  <w:u w:val="single"/>
                </w:rPr>
                <w:t>mkurtz@BKLlawfirm.com</w:t>
              </w:r>
            </w:hyperlink>
          </w:p>
          <w:p w14:paraId="544E4936" w14:textId="77777777" w:rsidR="00BD0A04" w:rsidRPr="00BD0A04" w:rsidRDefault="00B57E8D" w:rsidP="00BD0A04">
            <w:pPr>
              <w:ind w:right="162"/>
              <w:jc w:val="both"/>
              <w:rPr>
                <w:rFonts w:ascii="Arial" w:eastAsia="Calibri" w:hAnsi="Arial" w:cs="Arial"/>
                <w:sz w:val="24"/>
                <w:szCs w:val="24"/>
              </w:rPr>
            </w:pPr>
            <w:hyperlink r:id="rId20" w:history="1">
              <w:r w:rsidR="00BD0A04" w:rsidRPr="00BD0A04">
                <w:rPr>
                  <w:rFonts w:ascii="Arial" w:eastAsia="Calibri" w:hAnsi="Arial" w:cs="Arial"/>
                  <w:color w:val="0000FF"/>
                  <w:sz w:val="24"/>
                  <w:szCs w:val="24"/>
                  <w:u w:val="single"/>
                </w:rPr>
                <w:t>jkylercohn@BKLlawfirm.com</w:t>
              </w:r>
            </w:hyperlink>
          </w:p>
          <w:p w14:paraId="5A5B8956" w14:textId="77777777" w:rsidR="00BD0A04" w:rsidRPr="00BD0A04" w:rsidRDefault="00BD0A04" w:rsidP="00BD0A04">
            <w:pPr>
              <w:ind w:right="162"/>
              <w:jc w:val="both"/>
              <w:rPr>
                <w:rFonts w:ascii="Arial" w:eastAsia="Calibri" w:hAnsi="Arial" w:cs="Arial"/>
                <w:sz w:val="24"/>
                <w:szCs w:val="24"/>
              </w:rPr>
            </w:pPr>
          </w:p>
          <w:p w14:paraId="04B09797" w14:textId="77777777" w:rsidR="00BD0A04" w:rsidRPr="00BD0A04" w:rsidRDefault="00BD0A04" w:rsidP="00BD0A04">
            <w:pPr>
              <w:ind w:right="162"/>
              <w:jc w:val="both"/>
              <w:rPr>
                <w:rFonts w:ascii="Arial" w:eastAsia="Calibri" w:hAnsi="Arial" w:cs="Arial"/>
                <w:b/>
                <w:sz w:val="24"/>
                <w:szCs w:val="24"/>
              </w:rPr>
            </w:pPr>
            <w:r w:rsidRPr="00BD0A04">
              <w:rPr>
                <w:rFonts w:ascii="Arial" w:eastAsia="Calibri" w:hAnsi="Arial" w:cs="Arial"/>
                <w:b/>
                <w:sz w:val="24"/>
                <w:szCs w:val="24"/>
              </w:rPr>
              <w:t>Counsel for the Ohio Energy Group</w:t>
            </w:r>
          </w:p>
        </w:tc>
      </w:tr>
      <w:tr w:rsidR="00BD0A04" w:rsidRPr="00BD0A04" w14:paraId="23F1B6A6" w14:textId="77777777" w:rsidTr="00857F1D">
        <w:trPr>
          <w:cantSplit/>
        </w:trPr>
        <w:tc>
          <w:tcPr>
            <w:tcW w:w="4248" w:type="dxa"/>
          </w:tcPr>
          <w:p w14:paraId="6C0FE6FB"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Steven Beeler</w:t>
            </w:r>
          </w:p>
          <w:p w14:paraId="391D1834"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Thomas Lindgren</w:t>
            </w:r>
          </w:p>
          <w:p w14:paraId="2C3667D2"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Ryan O’Rourke</w:t>
            </w:r>
          </w:p>
          <w:p w14:paraId="3E39B077"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Assistant Attorneys General</w:t>
            </w:r>
          </w:p>
          <w:p w14:paraId="4633A284"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Public Utilities Section</w:t>
            </w:r>
          </w:p>
          <w:p w14:paraId="45EE8143"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180 East Broad St., 6</w:t>
            </w:r>
            <w:r w:rsidRPr="00BD0A04">
              <w:rPr>
                <w:rFonts w:ascii="Arial" w:eastAsia="Calibri" w:hAnsi="Arial" w:cs="Arial"/>
                <w:sz w:val="24"/>
                <w:szCs w:val="24"/>
                <w:vertAlign w:val="superscript"/>
              </w:rPr>
              <w:t>th</w:t>
            </w:r>
            <w:r w:rsidRPr="00BD0A04">
              <w:rPr>
                <w:rFonts w:ascii="Arial" w:eastAsia="Calibri" w:hAnsi="Arial" w:cs="Arial"/>
                <w:sz w:val="24"/>
                <w:szCs w:val="24"/>
              </w:rPr>
              <w:t xml:space="preserve"> Floor</w:t>
            </w:r>
          </w:p>
          <w:p w14:paraId="69E1C2FA"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Columbus, Ohio 43215</w:t>
            </w:r>
          </w:p>
          <w:p w14:paraId="1501D048" w14:textId="77777777" w:rsidR="00BD0A04" w:rsidRPr="00BD0A04" w:rsidRDefault="00B57E8D" w:rsidP="00BD0A04">
            <w:pPr>
              <w:ind w:right="162"/>
              <w:jc w:val="both"/>
              <w:rPr>
                <w:rFonts w:ascii="Arial" w:eastAsia="Calibri" w:hAnsi="Arial" w:cs="Arial"/>
                <w:sz w:val="24"/>
                <w:szCs w:val="24"/>
              </w:rPr>
            </w:pPr>
            <w:hyperlink r:id="rId21" w:history="1">
              <w:r w:rsidR="00BD0A04" w:rsidRPr="00BD0A04">
                <w:rPr>
                  <w:rFonts w:ascii="Arial" w:eastAsia="Calibri" w:hAnsi="Arial" w:cs="Arial"/>
                  <w:color w:val="0000FF"/>
                  <w:sz w:val="24"/>
                  <w:szCs w:val="24"/>
                  <w:u w:val="single"/>
                </w:rPr>
                <w:t>Steven.beeler@puc.state.oh.us</w:t>
              </w:r>
            </w:hyperlink>
          </w:p>
          <w:p w14:paraId="01A01D5F" w14:textId="77777777" w:rsidR="00BD0A04" w:rsidRPr="00BD0A04" w:rsidRDefault="00B57E8D" w:rsidP="00BD0A04">
            <w:pPr>
              <w:ind w:right="162"/>
              <w:jc w:val="both"/>
              <w:rPr>
                <w:rFonts w:ascii="Arial" w:eastAsia="Calibri" w:hAnsi="Arial" w:cs="Arial"/>
                <w:sz w:val="24"/>
                <w:szCs w:val="24"/>
              </w:rPr>
            </w:pPr>
            <w:hyperlink r:id="rId22" w:history="1">
              <w:r w:rsidR="00BD0A04" w:rsidRPr="00BD0A04">
                <w:rPr>
                  <w:rFonts w:ascii="Arial" w:eastAsia="Calibri" w:hAnsi="Arial" w:cs="Arial"/>
                  <w:color w:val="0000FF"/>
                  <w:sz w:val="24"/>
                  <w:szCs w:val="24"/>
                  <w:u w:val="single"/>
                </w:rPr>
                <w:t>Thomas.lindgren@puc.state.oh.us</w:t>
              </w:r>
            </w:hyperlink>
          </w:p>
          <w:p w14:paraId="7693765D" w14:textId="77777777" w:rsidR="00BD0A04" w:rsidRPr="00BD0A04" w:rsidRDefault="00B57E8D" w:rsidP="00BD0A04">
            <w:pPr>
              <w:ind w:right="162"/>
              <w:jc w:val="both"/>
              <w:rPr>
                <w:rFonts w:ascii="Arial" w:eastAsia="Calibri" w:hAnsi="Arial" w:cs="Arial"/>
                <w:sz w:val="24"/>
                <w:szCs w:val="24"/>
              </w:rPr>
            </w:pPr>
            <w:hyperlink r:id="rId23" w:history="1">
              <w:r w:rsidR="00BD0A04" w:rsidRPr="00BD0A04">
                <w:rPr>
                  <w:rFonts w:ascii="Arial" w:eastAsia="Calibri" w:hAnsi="Arial" w:cs="Arial"/>
                  <w:color w:val="0000FF"/>
                  <w:sz w:val="24"/>
                  <w:szCs w:val="24"/>
                  <w:u w:val="single"/>
                </w:rPr>
                <w:t>Ryan.orouke@puc.state.oh.us</w:t>
              </w:r>
            </w:hyperlink>
          </w:p>
          <w:p w14:paraId="1230B81D" w14:textId="77777777" w:rsidR="00BD0A04" w:rsidRPr="00BD0A04" w:rsidRDefault="00BD0A04" w:rsidP="00BD0A04">
            <w:pPr>
              <w:ind w:right="162"/>
              <w:jc w:val="both"/>
              <w:rPr>
                <w:rFonts w:ascii="Arial" w:eastAsia="Calibri" w:hAnsi="Arial" w:cs="Arial"/>
                <w:b/>
                <w:sz w:val="24"/>
                <w:szCs w:val="24"/>
              </w:rPr>
            </w:pPr>
          </w:p>
          <w:p w14:paraId="7213E5CE" w14:textId="77777777" w:rsidR="00BD0A04" w:rsidRPr="00BD0A04" w:rsidRDefault="00BD0A04" w:rsidP="00BD0A04">
            <w:pPr>
              <w:ind w:right="162"/>
              <w:jc w:val="both"/>
              <w:rPr>
                <w:rFonts w:ascii="Arial" w:eastAsia="Calibri" w:hAnsi="Arial" w:cs="Arial"/>
                <w:b/>
                <w:sz w:val="24"/>
                <w:szCs w:val="24"/>
              </w:rPr>
            </w:pPr>
            <w:r w:rsidRPr="00BD0A04">
              <w:rPr>
                <w:rFonts w:ascii="Arial" w:eastAsia="Calibri" w:hAnsi="Arial" w:cs="Arial"/>
                <w:b/>
                <w:sz w:val="24"/>
                <w:szCs w:val="24"/>
              </w:rPr>
              <w:t>Counsel for Staff of the Commission</w:t>
            </w:r>
          </w:p>
          <w:p w14:paraId="006415A9" w14:textId="77777777" w:rsidR="00BD0A04" w:rsidRPr="00BD0A04" w:rsidRDefault="00BD0A04" w:rsidP="00BD0A04">
            <w:pPr>
              <w:ind w:right="162"/>
              <w:jc w:val="both"/>
              <w:rPr>
                <w:rFonts w:ascii="Arial" w:eastAsia="Calibri" w:hAnsi="Arial" w:cs="Arial"/>
                <w:sz w:val="24"/>
                <w:szCs w:val="24"/>
              </w:rPr>
            </w:pPr>
          </w:p>
        </w:tc>
        <w:tc>
          <w:tcPr>
            <w:tcW w:w="450" w:type="dxa"/>
          </w:tcPr>
          <w:p w14:paraId="1A9FB79C" w14:textId="77777777" w:rsidR="00BD0A04" w:rsidRPr="00BD0A04" w:rsidRDefault="00BD0A04" w:rsidP="00BD0A04">
            <w:pPr>
              <w:ind w:right="162"/>
              <w:jc w:val="both"/>
              <w:rPr>
                <w:rFonts w:ascii="Arial" w:eastAsia="Calibri" w:hAnsi="Arial" w:cs="Arial"/>
                <w:sz w:val="24"/>
                <w:szCs w:val="24"/>
              </w:rPr>
            </w:pPr>
          </w:p>
        </w:tc>
        <w:tc>
          <w:tcPr>
            <w:tcW w:w="4320" w:type="dxa"/>
          </w:tcPr>
          <w:p w14:paraId="7C538C86"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Judi L. Sobecki</w:t>
            </w:r>
          </w:p>
          <w:p w14:paraId="2C42E95F"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The Dayton Power and Light Company</w:t>
            </w:r>
          </w:p>
          <w:p w14:paraId="1DFFB4C2"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1065 Woodman Drive</w:t>
            </w:r>
          </w:p>
          <w:p w14:paraId="75C648BF"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Dayton, Ohio 45432</w:t>
            </w:r>
          </w:p>
          <w:p w14:paraId="52E1B229" w14:textId="77777777" w:rsidR="00BD0A04" w:rsidRPr="00BD0A04" w:rsidRDefault="00B57E8D" w:rsidP="00BD0A04">
            <w:pPr>
              <w:jc w:val="both"/>
              <w:rPr>
                <w:rFonts w:ascii="Arial" w:eastAsia="Calibri" w:hAnsi="Arial" w:cs="Arial"/>
                <w:sz w:val="24"/>
                <w:szCs w:val="24"/>
              </w:rPr>
            </w:pPr>
            <w:hyperlink r:id="rId24" w:history="1">
              <w:r w:rsidR="00BD0A04" w:rsidRPr="00BD0A04">
                <w:rPr>
                  <w:rFonts w:ascii="Arial" w:eastAsia="Calibri" w:hAnsi="Arial" w:cs="Arial"/>
                  <w:color w:val="0000FF"/>
                  <w:sz w:val="24"/>
                  <w:szCs w:val="24"/>
                  <w:u w:val="single"/>
                </w:rPr>
                <w:t>Judi.sobecki@aes.com</w:t>
              </w:r>
            </w:hyperlink>
          </w:p>
          <w:p w14:paraId="377CA297" w14:textId="77777777" w:rsidR="00BD0A04" w:rsidRPr="00BD0A04" w:rsidRDefault="00BD0A04" w:rsidP="00BD0A04">
            <w:pPr>
              <w:jc w:val="both"/>
              <w:rPr>
                <w:rFonts w:ascii="Arial" w:eastAsia="Calibri" w:hAnsi="Arial" w:cs="Arial"/>
                <w:b/>
                <w:sz w:val="24"/>
                <w:szCs w:val="24"/>
              </w:rPr>
            </w:pPr>
          </w:p>
          <w:p w14:paraId="43765093" w14:textId="77777777" w:rsidR="00BD0A04" w:rsidRPr="00BD0A04" w:rsidRDefault="00BD0A04" w:rsidP="00BD0A04">
            <w:pPr>
              <w:jc w:val="both"/>
              <w:rPr>
                <w:rFonts w:ascii="Arial" w:eastAsia="Calibri" w:hAnsi="Arial" w:cs="Arial"/>
                <w:b/>
                <w:sz w:val="24"/>
                <w:szCs w:val="24"/>
              </w:rPr>
            </w:pPr>
            <w:r w:rsidRPr="00BD0A04">
              <w:rPr>
                <w:rFonts w:ascii="Arial" w:eastAsia="Calibri" w:hAnsi="Arial" w:cs="Arial"/>
                <w:b/>
                <w:sz w:val="24"/>
                <w:szCs w:val="24"/>
              </w:rPr>
              <w:t>Counsel for The Dayton Power and Light Company</w:t>
            </w:r>
          </w:p>
          <w:p w14:paraId="2CFDE973" w14:textId="77777777" w:rsidR="00BD0A04" w:rsidRPr="00BD0A04" w:rsidRDefault="00BD0A04" w:rsidP="00BD0A04">
            <w:pPr>
              <w:ind w:right="162"/>
              <w:jc w:val="both"/>
              <w:rPr>
                <w:rFonts w:ascii="Arial" w:eastAsia="Calibri" w:hAnsi="Arial" w:cs="Arial"/>
                <w:sz w:val="24"/>
                <w:szCs w:val="24"/>
              </w:rPr>
            </w:pPr>
          </w:p>
        </w:tc>
      </w:tr>
      <w:tr w:rsidR="00BD0A04" w:rsidRPr="00BD0A04" w14:paraId="2319AEB3" w14:textId="77777777" w:rsidTr="00857F1D">
        <w:trPr>
          <w:cantSplit/>
        </w:trPr>
        <w:tc>
          <w:tcPr>
            <w:tcW w:w="4248" w:type="dxa"/>
          </w:tcPr>
          <w:p w14:paraId="0AF8B7EE"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lastRenderedPageBreak/>
              <w:t>Kevin R. Schmidt</w:t>
            </w:r>
          </w:p>
          <w:p w14:paraId="02B4CCBA"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88 East Broad Street, Suite 1770</w:t>
            </w:r>
          </w:p>
          <w:p w14:paraId="6D1EB5F0"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Columbus, Ohio 43215</w:t>
            </w:r>
          </w:p>
          <w:p w14:paraId="4E36A523" w14:textId="77777777" w:rsidR="00BD0A04" w:rsidRPr="00BD0A04" w:rsidRDefault="00B57E8D" w:rsidP="00BD0A04">
            <w:pPr>
              <w:ind w:right="162"/>
              <w:jc w:val="both"/>
              <w:rPr>
                <w:rFonts w:ascii="Arial" w:eastAsia="Calibri" w:hAnsi="Arial" w:cs="Arial"/>
                <w:sz w:val="24"/>
                <w:szCs w:val="24"/>
              </w:rPr>
            </w:pPr>
            <w:hyperlink r:id="rId25" w:history="1">
              <w:r w:rsidR="00BD0A04" w:rsidRPr="00BD0A04">
                <w:rPr>
                  <w:rFonts w:ascii="Arial" w:eastAsia="Calibri" w:hAnsi="Arial" w:cs="Arial"/>
                  <w:color w:val="0000FF"/>
                  <w:sz w:val="24"/>
                  <w:szCs w:val="24"/>
                  <w:u w:val="single"/>
                </w:rPr>
                <w:t>schmidt@sppgrp.com</w:t>
              </w:r>
            </w:hyperlink>
          </w:p>
          <w:p w14:paraId="2169FE2B" w14:textId="77777777" w:rsidR="00BD0A04" w:rsidRPr="00BD0A04" w:rsidRDefault="00BD0A04" w:rsidP="00BD0A04">
            <w:pPr>
              <w:ind w:right="162"/>
              <w:jc w:val="both"/>
              <w:rPr>
                <w:rFonts w:ascii="Arial" w:eastAsia="Calibri" w:hAnsi="Arial" w:cs="Arial"/>
                <w:sz w:val="24"/>
                <w:szCs w:val="24"/>
              </w:rPr>
            </w:pPr>
          </w:p>
          <w:p w14:paraId="7A4871E9" w14:textId="77777777" w:rsidR="00BD0A04" w:rsidRPr="00BD0A04" w:rsidRDefault="00BD0A04" w:rsidP="00BD0A04">
            <w:pPr>
              <w:ind w:right="162"/>
              <w:jc w:val="both"/>
              <w:rPr>
                <w:rFonts w:ascii="Arial" w:eastAsia="Calibri" w:hAnsi="Arial" w:cs="Arial"/>
                <w:b/>
                <w:sz w:val="24"/>
                <w:szCs w:val="24"/>
              </w:rPr>
            </w:pPr>
            <w:r w:rsidRPr="00BD0A04">
              <w:rPr>
                <w:rFonts w:ascii="Arial" w:eastAsia="Calibri" w:hAnsi="Arial" w:cs="Arial"/>
                <w:b/>
                <w:sz w:val="24"/>
                <w:szCs w:val="24"/>
              </w:rPr>
              <w:t>Counsel for the Energy Professionals of Ohio</w:t>
            </w:r>
          </w:p>
          <w:p w14:paraId="484703FC" w14:textId="77777777" w:rsidR="00BD0A04" w:rsidRPr="00BD0A04" w:rsidRDefault="00BD0A04" w:rsidP="00BD0A04">
            <w:pPr>
              <w:ind w:right="162"/>
              <w:jc w:val="both"/>
              <w:rPr>
                <w:rFonts w:ascii="Arial" w:eastAsia="Calibri" w:hAnsi="Arial" w:cs="Arial"/>
                <w:sz w:val="24"/>
                <w:szCs w:val="24"/>
              </w:rPr>
            </w:pPr>
          </w:p>
        </w:tc>
        <w:tc>
          <w:tcPr>
            <w:tcW w:w="450" w:type="dxa"/>
          </w:tcPr>
          <w:p w14:paraId="6770BCA0" w14:textId="77777777" w:rsidR="00BD0A04" w:rsidRPr="00BD0A04" w:rsidRDefault="00BD0A04" w:rsidP="00BD0A04">
            <w:pPr>
              <w:jc w:val="both"/>
              <w:rPr>
                <w:rFonts w:ascii="Arial" w:eastAsia="Calibri" w:hAnsi="Arial" w:cs="Arial"/>
                <w:sz w:val="24"/>
                <w:szCs w:val="24"/>
              </w:rPr>
            </w:pPr>
          </w:p>
        </w:tc>
        <w:tc>
          <w:tcPr>
            <w:tcW w:w="4320" w:type="dxa"/>
          </w:tcPr>
          <w:p w14:paraId="6B013D69"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Mark A. Hayden</w:t>
            </w:r>
          </w:p>
          <w:p w14:paraId="299DC594"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Jacob A. McDermott</w:t>
            </w:r>
          </w:p>
          <w:p w14:paraId="24B18FEA"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Scott J. Casto</w:t>
            </w:r>
          </w:p>
          <w:p w14:paraId="4AEAD2FB"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FirstEnergy Service Company</w:t>
            </w:r>
          </w:p>
          <w:p w14:paraId="2DACD242"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76 South Main Street</w:t>
            </w:r>
          </w:p>
          <w:p w14:paraId="5A0AF71B"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Akron, Ohio 44308</w:t>
            </w:r>
          </w:p>
          <w:p w14:paraId="71B6AB6F" w14:textId="77777777" w:rsidR="00BD0A04" w:rsidRPr="00BD0A04" w:rsidRDefault="00B57E8D" w:rsidP="00BD0A04">
            <w:pPr>
              <w:jc w:val="both"/>
              <w:rPr>
                <w:rFonts w:ascii="Arial" w:eastAsia="Calibri" w:hAnsi="Arial" w:cs="Arial"/>
                <w:color w:val="0000FF"/>
                <w:sz w:val="24"/>
                <w:szCs w:val="24"/>
                <w:u w:val="single"/>
              </w:rPr>
            </w:pPr>
            <w:hyperlink r:id="rId26" w:history="1">
              <w:r w:rsidR="00BD0A04" w:rsidRPr="00BD0A04">
                <w:rPr>
                  <w:rFonts w:ascii="Arial" w:eastAsia="Calibri" w:hAnsi="Arial" w:cs="Arial"/>
                  <w:color w:val="0000FF"/>
                  <w:sz w:val="24"/>
                  <w:szCs w:val="24"/>
                  <w:u w:val="single"/>
                </w:rPr>
                <w:t>haydenm@firstenergycorp.com</w:t>
              </w:r>
            </w:hyperlink>
          </w:p>
          <w:p w14:paraId="07DBBF5B" w14:textId="77777777" w:rsidR="00BD0A04" w:rsidRPr="00BD0A04" w:rsidRDefault="00B57E8D" w:rsidP="00BD0A04">
            <w:pPr>
              <w:jc w:val="both"/>
              <w:rPr>
                <w:rFonts w:ascii="Arial" w:eastAsia="Calibri" w:hAnsi="Arial" w:cs="Arial"/>
                <w:color w:val="0000FF"/>
                <w:sz w:val="24"/>
                <w:szCs w:val="24"/>
                <w:u w:val="single"/>
              </w:rPr>
            </w:pPr>
            <w:hyperlink r:id="rId27" w:history="1">
              <w:r w:rsidR="00BD0A04" w:rsidRPr="00BD0A04">
                <w:rPr>
                  <w:rFonts w:ascii="Arial" w:eastAsia="Calibri" w:hAnsi="Arial" w:cs="Arial"/>
                  <w:color w:val="0000FF"/>
                  <w:sz w:val="24"/>
                  <w:szCs w:val="24"/>
                  <w:u w:val="single"/>
                </w:rPr>
                <w:t>jmcdermott@firstenergycorp.com</w:t>
              </w:r>
            </w:hyperlink>
          </w:p>
          <w:p w14:paraId="1448CD78"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color w:val="0000FF"/>
                <w:sz w:val="24"/>
                <w:szCs w:val="24"/>
                <w:u w:val="single"/>
              </w:rPr>
              <w:t>scasto@firstenergycorp.com</w:t>
            </w:r>
          </w:p>
          <w:p w14:paraId="47FF2C0A" w14:textId="77777777" w:rsidR="00BD0A04" w:rsidRPr="00BD0A04" w:rsidRDefault="00BD0A04" w:rsidP="00BD0A04">
            <w:pPr>
              <w:jc w:val="both"/>
              <w:rPr>
                <w:rFonts w:ascii="Arial" w:eastAsia="Calibri" w:hAnsi="Arial" w:cs="Arial"/>
                <w:sz w:val="24"/>
                <w:szCs w:val="24"/>
              </w:rPr>
            </w:pPr>
          </w:p>
          <w:p w14:paraId="2349655C" w14:textId="77777777" w:rsidR="00BD0A04" w:rsidRPr="00BD0A04" w:rsidRDefault="00BD0A04" w:rsidP="00BD0A04">
            <w:pPr>
              <w:jc w:val="both"/>
              <w:rPr>
                <w:rFonts w:ascii="Arial" w:eastAsia="Calibri" w:hAnsi="Arial" w:cs="Arial"/>
                <w:b/>
                <w:sz w:val="24"/>
                <w:szCs w:val="24"/>
              </w:rPr>
            </w:pPr>
            <w:r w:rsidRPr="00BD0A04">
              <w:rPr>
                <w:rFonts w:ascii="Arial" w:eastAsia="Calibri" w:hAnsi="Arial" w:cs="Arial"/>
                <w:b/>
                <w:sz w:val="24"/>
                <w:szCs w:val="24"/>
              </w:rPr>
              <w:t>Counsel for FirstEnergy Solutions Corp.</w:t>
            </w:r>
          </w:p>
          <w:p w14:paraId="51C23936" w14:textId="77777777" w:rsidR="00BD0A04" w:rsidRPr="00BD0A04" w:rsidRDefault="00BD0A04" w:rsidP="00BD0A04">
            <w:pPr>
              <w:jc w:val="both"/>
              <w:rPr>
                <w:rFonts w:ascii="Arial" w:eastAsia="Calibri" w:hAnsi="Arial" w:cs="Arial"/>
                <w:sz w:val="24"/>
                <w:szCs w:val="24"/>
              </w:rPr>
            </w:pPr>
          </w:p>
        </w:tc>
      </w:tr>
      <w:tr w:rsidR="00BD0A04" w:rsidRPr="00BD0A04" w14:paraId="371F11F9" w14:textId="77777777" w:rsidTr="00857F1D">
        <w:trPr>
          <w:cantSplit/>
        </w:trPr>
        <w:tc>
          <w:tcPr>
            <w:tcW w:w="4248" w:type="dxa"/>
          </w:tcPr>
          <w:p w14:paraId="2B4FD9F4"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Maureen R. Grady</w:t>
            </w:r>
          </w:p>
          <w:p w14:paraId="31691FB6"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Joseph P. Serio</w:t>
            </w:r>
          </w:p>
          <w:p w14:paraId="28F25A31"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Edmund “Tad” Berger</w:t>
            </w:r>
          </w:p>
          <w:p w14:paraId="747AD1CE"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Office of the Ohio Consumers’ Counsel</w:t>
            </w:r>
          </w:p>
          <w:p w14:paraId="26CFBB08"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10 West Broad Street, Suite 1800</w:t>
            </w:r>
          </w:p>
          <w:p w14:paraId="0A46EAAA"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Columbus, Ohio 43215-3485</w:t>
            </w:r>
          </w:p>
          <w:p w14:paraId="5DA53D8B" w14:textId="77777777" w:rsidR="00BD0A04" w:rsidRPr="00BD0A04" w:rsidRDefault="00B57E8D" w:rsidP="00BD0A04">
            <w:pPr>
              <w:jc w:val="both"/>
              <w:rPr>
                <w:rFonts w:ascii="Arial" w:eastAsia="Calibri" w:hAnsi="Arial" w:cs="Arial"/>
                <w:sz w:val="24"/>
                <w:szCs w:val="24"/>
              </w:rPr>
            </w:pPr>
            <w:hyperlink r:id="rId28" w:history="1">
              <w:r w:rsidR="00BD0A04" w:rsidRPr="00BD0A04">
                <w:rPr>
                  <w:rFonts w:ascii="Arial" w:eastAsia="Calibri" w:hAnsi="Arial" w:cs="Arial"/>
                  <w:color w:val="0000FF"/>
                  <w:sz w:val="24"/>
                  <w:szCs w:val="24"/>
                  <w:u w:val="single"/>
                </w:rPr>
                <w:t>Maureen.grady@occ.ohio.gov</w:t>
              </w:r>
            </w:hyperlink>
          </w:p>
          <w:p w14:paraId="2736E9C5" w14:textId="77777777" w:rsidR="00BD0A04" w:rsidRPr="00BD0A04" w:rsidRDefault="00B57E8D" w:rsidP="00BD0A04">
            <w:pPr>
              <w:jc w:val="both"/>
              <w:rPr>
                <w:rFonts w:ascii="Arial" w:eastAsia="Calibri" w:hAnsi="Arial" w:cs="Arial"/>
                <w:sz w:val="24"/>
                <w:szCs w:val="24"/>
              </w:rPr>
            </w:pPr>
            <w:hyperlink r:id="rId29" w:history="1">
              <w:r w:rsidR="00BD0A04" w:rsidRPr="00BD0A04">
                <w:rPr>
                  <w:rFonts w:ascii="Arial" w:eastAsia="Calibri" w:hAnsi="Arial" w:cs="Arial"/>
                  <w:color w:val="0000FF"/>
                  <w:sz w:val="24"/>
                  <w:szCs w:val="24"/>
                  <w:u w:val="single"/>
                </w:rPr>
                <w:t>Joseph.serio@occ.ohio.gov</w:t>
              </w:r>
            </w:hyperlink>
          </w:p>
          <w:p w14:paraId="00B2F01B" w14:textId="77777777" w:rsidR="00BD0A04" w:rsidRPr="00BD0A04" w:rsidRDefault="00B57E8D" w:rsidP="00BD0A04">
            <w:pPr>
              <w:jc w:val="both"/>
              <w:rPr>
                <w:rFonts w:ascii="Arial" w:eastAsia="Calibri" w:hAnsi="Arial" w:cs="Arial"/>
                <w:sz w:val="24"/>
                <w:szCs w:val="24"/>
              </w:rPr>
            </w:pPr>
            <w:hyperlink r:id="rId30" w:history="1">
              <w:r w:rsidR="00BD0A04" w:rsidRPr="00BD0A04">
                <w:rPr>
                  <w:rFonts w:ascii="Arial" w:eastAsia="Calibri" w:hAnsi="Arial" w:cs="Arial"/>
                  <w:color w:val="0000FF"/>
                  <w:sz w:val="24"/>
                  <w:szCs w:val="24"/>
                  <w:u w:val="single"/>
                </w:rPr>
                <w:t>Edmund.berger@occ.ohio.gov</w:t>
              </w:r>
            </w:hyperlink>
          </w:p>
          <w:p w14:paraId="6BB1DE80" w14:textId="77777777" w:rsidR="00BD0A04" w:rsidRPr="00BD0A04" w:rsidRDefault="00BD0A04" w:rsidP="00BD0A04">
            <w:pPr>
              <w:jc w:val="both"/>
              <w:rPr>
                <w:rFonts w:ascii="Arial" w:eastAsia="Calibri" w:hAnsi="Arial" w:cs="Arial"/>
                <w:b/>
                <w:sz w:val="24"/>
                <w:szCs w:val="24"/>
              </w:rPr>
            </w:pPr>
          </w:p>
          <w:p w14:paraId="21B1B22A" w14:textId="77777777" w:rsidR="00BD0A04" w:rsidRPr="00BD0A04" w:rsidRDefault="00BD0A04" w:rsidP="00BD0A04">
            <w:pPr>
              <w:jc w:val="both"/>
              <w:rPr>
                <w:rFonts w:ascii="Arial" w:eastAsia="Calibri" w:hAnsi="Arial" w:cs="Arial"/>
                <w:b/>
                <w:sz w:val="24"/>
                <w:szCs w:val="24"/>
              </w:rPr>
            </w:pPr>
            <w:r w:rsidRPr="00BD0A04">
              <w:rPr>
                <w:rFonts w:ascii="Arial" w:eastAsia="Calibri" w:hAnsi="Arial" w:cs="Arial"/>
                <w:b/>
                <w:sz w:val="24"/>
                <w:szCs w:val="24"/>
              </w:rPr>
              <w:t>Counsel for the Ohio Consumers’ Counsel</w:t>
            </w:r>
          </w:p>
          <w:p w14:paraId="390CB639" w14:textId="77777777" w:rsidR="00BD0A04" w:rsidRPr="00BD0A04" w:rsidRDefault="00BD0A04" w:rsidP="00BD0A04">
            <w:pPr>
              <w:jc w:val="both"/>
              <w:rPr>
                <w:rFonts w:ascii="Arial" w:eastAsia="Calibri" w:hAnsi="Arial" w:cs="Arial"/>
                <w:b/>
                <w:sz w:val="24"/>
                <w:szCs w:val="24"/>
              </w:rPr>
            </w:pPr>
          </w:p>
        </w:tc>
        <w:tc>
          <w:tcPr>
            <w:tcW w:w="450" w:type="dxa"/>
          </w:tcPr>
          <w:p w14:paraId="37B76EB1" w14:textId="77777777" w:rsidR="00BD0A04" w:rsidRPr="00BD0A04" w:rsidRDefault="00BD0A04" w:rsidP="00BD0A04">
            <w:pPr>
              <w:jc w:val="both"/>
              <w:rPr>
                <w:rFonts w:ascii="Arial" w:eastAsia="Calibri" w:hAnsi="Arial" w:cs="Arial"/>
                <w:sz w:val="24"/>
                <w:szCs w:val="24"/>
              </w:rPr>
            </w:pPr>
          </w:p>
        </w:tc>
        <w:tc>
          <w:tcPr>
            <w:tcW w:w="4320" w:type="dxa"/>
          </w:tcPr>
          <w:p w14:paraId="131E48CE"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Howard Petricoff</w:t>
            </w:r>
          </w:p>
          <w:p w14:paraId="0BDBCBC6"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Michael Settinari</w:t>
            </w:r>
          </w:p>
          <w:p w14:paraId="0A25229B"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Gretchen Petrucci</w:t>
            </w:r>
          </w:p>
          <w:p w14:paraId="4DAD4636"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Vorys, Sater, Semour, Pease, LLP</w:t>
            </w:r>
          </w:p>
          <w:p w14:paraId="0B6B5E69"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52 East Gay Street</w:t>
            </w:r>
          </w:p>
          <w:p w14:paraId="31119EFD"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Columbus, Ohio 43015</w:t>
            </w:r>
          </w:p>
          <w:p w14:paraId="0C0D1645" w14:textId="77777777" w:rsidR="00BD0A04" w:rsidRPr="00BD0A04" w:rsidRDefault="00B57E8D" w:rsidP="00BD0A04">
            <w:pPr>
              <w:jc w:val="both"/>
              <w:rPr>
                <w:rFonts w:ascii="Arial" w:eastAsia="Calibri" w:hAnsi="Arial" w:cs="Arial"/>
                <w:color w:val="0000FF"/>
                <w:sz w:val="24"/>
                <w:szCs w:val="24"/>
                <w:u w:val="single"/>
              </w:rPr>
            </w:pPr>
            <w:hyperlink r:id="rId31" w:history="1">
              <w:r w:rsidR="00BD0A04" w:rsidRPr="00BD0A04">
                <w:rPr>
                  <w:rFonts w:ascii="Arial" w:eastAsia="Calibri" w:hAnsi="Arial" w:cs="Arial"/>
                  <w:color w:val="0000FF"/>
                  <w:szCs w:val="24"/>
                  <w:u w:val="single"/>
                </w:rPr>
                <w:t>MHPetricoff@vorys.com</w:t>
              </w:r>
            </w:hyperlink>
          </w:p>
          <w:p w14:paraId="6D1C1E0B" w14:textId="77777777" w:rsidR="00BD0A04" w:rsidRPr="00BD0A04" w:rsidRDefault="00BD0A04" w:rsidP="00BD0A04">
            <w:pPr>
              <w:jc w:val="both"/>
              <w:rPr>
                <w:rFonts w:ascii="Arial" w:eastAsia="Calibri" w:hAnsi="Arial" w:cs="Arial"/>
                <w:color w:val="0000FF"/>
                <w:sz w:val="24"/>
                <w:szCs w:val="24"/>
                <w:u w:val="single"/>
              </w:rPr>
            </w:pPr>
            <w:r w:rsidRPr="00BD0A04">
              <w:rPr>
                <w:rFonts w:ascii="Arial" w:eastAsia="Calibri" w:hAnsi="Arial" w:cs="Arial"/>
                <w:color w:val="0000FF"/>
                <w:sz w:val="24"/>
                <w:szCs w:val="24"/>
                <w:u w:val="single"/>
              </w:rPr>
              <w:t>mjsettinari@vorys.com</w:t>
            </w:r>
          </w:p>
          <w:p w14:paraId="6AB9890D" w14:textId="77777777" w:rsidR="00BD0A04" w:rsidRPr="00BD0A04" w:rsidRDefault="00BD0A04" w:rsidP="00BD0A04">
            <w:pPr>
              <w:jc w:val="both"/>
              <w:rPr>
                <w:rFonts w:ascii="Arial" w:eastAsia="Calibri" w:hAnsi="Arial" w:cs="Arial"/>
                <w:color w:val="0000FF"/>
                <w:sz w:val="24"/>
                <w:szCs w:val="24"/>
                <w:u w:val="single"/>
              </w:rPr>
            </w:pPr>
            <w:r w:rsidRPr="00BD0A04">
              <w:rPr>
                <w:rFonts w:ascii="Arial" w:eastAsia="Calibri" w:hAnsi="Arial" w:cs="Arial"/>
                <w:color w:val="0000FF"/>
                <w:sz w:val="24"/>
                <w:szCs w:val="24"/>
                <w:u w:val="single"/>
              </w:rPr>
              <w:t>glpetrucci@vorys.com</w:t>
            </w:r>
          </w:p>
          <w:p w14:paraId="6ACB97B4" w14:textId="77777777" w:rsidR="00BD0A04" w:rsidRPr="00BD0A04" w:rsidRDefault="00BD0A04" w:rsidP="00BD0A04">
            <w:pPr>
              <w:jc w:val="both"/>
              <w:rPr>
                <w:rFonts w:ascii="Arial" w:eastAsia="Calibri" w:hAnsi="Arial" w:cs="Arial"/>
                <w:sz w:val="24"/>
                <w:szCs w:val="24"/>
              </w:rPr>
            </w:pPr>
          </w:p>
          <w:p w14:paraId="1F87C862" w14:textId="77777777" w:rsidR="00BD0A04" w:rsidRPr="00BD0A04" w:rsidRDefault="00BD0A04" w:rsidP="00BD0A04">
            <w:pPr>
              <w:jc w:val="both"/>
              <w:rPr>
                <w:rFonts w:ascii="Arial" w:eastAsia="Calibri" w:hAnsi="Arial" w:cs="Arial"/>
                <w:b/>
                <w:sz w:val="24"/>
                <w:szCs w:val="24"/>
              </w:rPr>
            </w:pPr>
            <w:r w:rsidRPr="00BD0A04">
              <w:rPr>
                <w:rFonts w:ascii="Arial" w:eastAsia="Calibri" w:hAnsi="Arial" w:cs="Arial"/>
                <w:b/>
                <w:sz w:val="24"/>
                <w:szCs w:val="24"/>
              </w:rPr>
              <w:t>Counsel for Constellation New Energy, Inc.</w:t>
            </w:r>
          </w:p>
        </w:tc>
      </w:tr>
      <w:tr w:rsidR="00BD0A04" w:rsidRPr="00BD0A04" w14:paraId="27D162EF" w14:textId="77777777" w:rsidTr="00857F1D">
        <w:trPr>
          <w:cantSplit/>
        </w:trPr>
        <w:tc>
          <w:tcPr>
            <w:tcW w:w="4248" w:type="dxa"/>
          </w:tcPr>
          <w:p w14:paraId="3E01440A"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Kimberly W. Bojko</w:t>
            </w:r>
          </w:p>
          <w:p w14:paraId="519C1184"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Mallory M. Mohler</w:t>
            </w:r>
          </w:p>
          <w:p w14:paraId="6B58E5A5"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Carpenter Lipps &amp; Leland LLP</w:t>
            </w:r>
          </w:p>
          <w:p w14:paraId="4C6ECBF9"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280 Plaza, Suite 1300</w:t>
            </w:r>
          </w:p>
          <w:p w14:paraId="5193F1FD"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280 North High Street</w:t>
            </w:r>
          </w:p>
          <w:p w14:paraId="33B74B48" w14:textId="77777777" w:rsidR="00BD0A04" w:rsidRPr="00BD0A04" w:rsidRDefault="00BD0A04" w:rsidP="00BD0A04">
            <w:pPr>
              <w:ind w:right="162"/>
              <w:jc w:val="both"/>
              <w:rPr>
                <w:rFonts w:ascii="Arial" w:eastAsia="Calibri" w:hAnsi="Arial" w:cs="Arial"/>
                <w:sz w:val="24"/>
                <w:szCs w:val="24"/>
              </w:rPr>
            </w:pPr>
            <w:r w:rsidRPr="00BD0A04">
              <w:rPr>
                <w:rFonts w:ascii="Arial" w:eastAsia="Calibri" w:hAnsi="Arial" w:cs="Arial"/>
                <w:sz w:val="24"/>
                <w:szCs w:val="24"/>
              </w:rPr>
              <w:t>Columbus, Ohio 43215</w:t>
            </w:r>
          </w:p>
          <w:p w14:paraId="19CFD0DE" w14:textId="77777777" w:rsidR="00BD0A04" w:rsidRPr="00BD0A04" w:rsidRDefault="00B57E8D" w:rsidP="00BD0A04">
            <w:pPr>
              <w:ind w:right="162"/>
              <w:jc w:val="both"/>
              <w:rPr>
                <w:rFonts w:ascii="Arial" w:eastAsia="Calibri" w:hAnsi="Arial" w:cs="Arial"/>
                <w:sz w:val="24"/>
                <w:szCs w:val="24"/>
              </w:rPr>
            </w:pPr>
            <w:hyperlink r:id="rId32" w:history="1">
              <w:r w:rsidR="00BD0A04" w:rsidRPr="00BD0A04">
                <w:rPr>
                  <w:rFonts w:ascii="Arial" w:eastAsia="Calibri" w:hAnsi="Arial" w:cs="Arial"/>
                  <w:color w:val="0000FF"/>
                  <w:sz w:val="24"/>
                  <w:szCs w:val="24"/>
                  <w:u w:val="single"/>
                </w:rPr>
                <w:t>Bojko@carpenterlipps.com</w:t>
              </w:r>
            </w:hyperlink>
          </w:p>
          <w:p w14:paraId="548C819B" w14:textId="77777777" w:rsidR="00BD0A04" w:rsidRPr="00BD0A04" w:rsidRDefault="00B57E8D" w:rsidP="00BD0A04">
            <w:pPr>
              <w:ind w:right="162"/>
              <w:jc w:val="both"/>
              <w:rPr>
                <w:rFonts w:ascii="Arial" w:eastAsia="Calibri" w:hAnsi="Arial" w:cs="Arial"/>
                <w:sz w:val="24"/>
                <w:szCs w:val="24"/>
              </w:rPr>
            </w:pPr>
            <w:hyperlink r:id="rId33" w:history="1">
              <w:r w:rsidR="00BD0A04" w:rsidRPr="00BD0A04">
                <w:rPr>
                  <w:rFonts w:ascii="Arial" w:eastAsia="Calibri" w:hAnsi="Arial" w:cs="Arial"/>
                  <w:color w:val="0000FF"/>
                  <w:sz w:val="24"/>
                  <w:szCs w:val="24"/>
                  <w:u w:val="single"/>
                </w:rPr>
                <w:t>Mohler@carpenterlipps.com</w:t>
              </w:r>
            </w:hyperlink>
          </w:p>
          <w:p w14:paraId="2D54F08D" w14:textId="77777777" w:rsidR="00BD0A04" w:rsidRPr="00BD0A04" w:rsidRDefault="00BD0A04" w:rsidP="00BD0A04">
            <w:pPr>
              <w:ind w:right="162"/>
              <w:jc w:val="both"/>
              <w:rPr>
                <w:rFonts w:ascii="Arial" w:eastAsia="Calibri" w:hAnsi="Arial" w:cs="Arial"/>
                <w:sz w:val="24"/>
                <w:szCs w:val="24"/>
              </w:rPr>
            </w:pPr>
          </w:p>
          <w:p w14:paraId="2E9D1183" w14:textId="77777777" w:rsidR="00BD0A04" w:rsidRPr="00BD0A04" w:rsidRDefault="00BD0A04" w:rsidP="00BD0A04">
            <w:pPr>
              <w:ind w:right="162"/>
              <w:jc w:val="both"/>
              <w:rPr>
                <w:rFonts w:ascii="Arial" w:eastAsia="Calibri" w:hAnsi="Arial" w:cs="Arial"/>
                <w:b/>
                <w:sz w:val="24"/>
                <w:szCs w:val="24"/>
              </w:rPr>
            </w:pPr>
            <w:r w:rsidRPr="00BD0A04">
              <w:rPr>
                <w:rFonts w:ascii="Arial" w:eastAsia="Calibri" w:hAnsi="Arial" w:cs="Arial"/>
                <w:b/>
                <w:sz w:val="24"/>
                <w:szCs w:val="24"/>
              </w:rPr>
              <w:t>Counsel for the Ohio Manufacturers’ Association</w:t>
            </w:r>
          </w:p>
          <w:p w14:paraId="5AB5A295" w14:textId="77777777" w:rsidR="00BD0A04" w:rsidRPr="00BD0A04" w:rsidRDefault="00BD0A04" w:rsidP="00BD0A04">
            <w:pPr>
              <w:ind w:right="162"/>
              <w:jc w:val="both"/>
              <w:rPr>
                <w:rFonts w:ascii="Arial" w:eastAsia="Calibri" w:hAnsi="Arial" w:cs="Arial"/>
                <w:sz w:val="24"/>
                <w:szCs w:val="24"/>
              </w:rPr>
            </w:pPr>
          </w:p>
        </w:tc>
        <w:tc>
          <w:tcPr>
            <w:tcW w:w="450" w:type="dxa"/>
          </w:tcPr>
          <w:p w14:paraId="052B1FB9" w14:textId="77777777" w:rsidR="00BD0A04" w:rsidRPr="00BD0A04" w:rsidRDefault="00BD0A04" w:rsidP="00BD0A04">
            <w:pPr>
              <w:jc w:val="both"/>
              <w:rPr>
                <w:rFonts w:ascii="Arial" w:eastAsia="Calibri" w:hAnsi="Arial" w:cs="Arial"/>
                <w:sz w:val="24"/>
                <w:szCs w:val="24"/>
              </w:rPr>
            </w:pPr>
          </w:p>
        </w:tc>
        <w:tc>
          <w:tcPr>
            <w:tcW w:w="4320" w:type="dxa"/>
          </w:tcPr>
          <w:p w14:paraId="626CBDC4"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Gerit F. Hull</w:t>
            </w:r>
          </w:p>
          <w:p w14:paraId="00B905F0"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Eckert Seamans Cherin &amp; Mellot, LLC</w:t>
            </w:r>
          </w:p>
          <w:p w14:paraId="552573B8"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1717 Pennsylvania Avenue, N.W.</w:t>
            </w:r>
          </w:p>
          <w:p w14:paraId="18D54824"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12</w:t>
            </w:r>
            <w:r w:rsidRPr="00BD0A04">
              <w:rPr>
                <w:rFonts w:ascii="Arial" w:eastAsia="Calibri" w:hAnsi="Arial" w:cs="Arial"/>
                <w:sz w:val="24"/>
                <w:szCs w:val="24"/>
                <w:vertAlign w:val="superscript"/>
              </w:rPr>
              <w:t>th</w:t>
            </w:r>
            <w:r w:rsidRPr="00BD0A04">
              <w:rPr>
                <w:rFonts w:ascii="Arial" w:eastAsia="Calibri" w:hAnsi="Arial" w:cs="Arial"/>
                <w:sz w:val="24"/>
                <w:szCs w:val="24"/>
              </w:rPr>
              <w:t xml:space="preserve"> Floor</w:t>
            </w:r>
          </w:p>
          <w:p w14:paraId="493D5A67"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Washington, DC 20006</w:t>
            </w:r>
          </w:p>
          <w:p w14:paraId="51C20CA4" w14:textId="77777777" w:rsidR="00BD0A04" w:rsidRPr="00BD0A04" w:rsidRDefault="00B57E8D" w:rsidP="00BD0A04">
            <w:pPr>
              <w:jc w:val="both"/>
              <w:rPr>
                <w:rFonts w:ascii="Arial" w:eastAsia="Calibri" w:hAnsi="Arial" w:cs="Arial"/>
                <w:sz w:val="24"/>
                <w:szCs w:val="24"/>
              </w:rPr>
            </w:pPr>
            <w:hyperlink r:id="rId34" w:history="1">
              <w:r w:rsidR="00BD0A04" w:rsidRPr="00BD0A04">
                <w:rPr>
                  <w:rFonts w:ascii="Arial" w:eastAsia="Calibri" w:hAnsi="Arial" w:cs="Arial"/>
                  <w:color w:val="0000FF"/>
                  <w:sz w:val="24"/>
                  <w:szCs w:val="24"/>
                  <w:u w:val="single"/>
                </w:rPr>
                <w:t>ghull@eckertseamans.com</w:t>
              </w:r>
            </w:hyperlink>
          </w:p>
          <w:p w14:paraId="1C6BC6A6" w14:textId="77777777" w:rsidR="00BD0A04" w:rsidRPr="00BD0A04" w:rsidRDefault="00BD0A04" w:rsidP="00BD0A04">
            <w:pPr>
              <w:jc w:val="both"/>
              <w:rPr>
                <w:rFonts w:ascii="Arial" w:eastAsia="Calibri" w:hAnsi="Arial" w:cs="Arial"/>
                <w:b/>
                <w:sz w:val="24"/>
                <w:szCs w:val="24"/>
              </w:rPr>
            </w:pPr>
          </w:p>
          <w:p w14:paraId="6DB08453" w14:textId="77777777" w:rsidR="00BD0A04" w:rsidRPr="00BD0A04" w:rsidRDefault="00BD0A04" w:rsidP="00BD0A04">
            <w:pPr>
              <w:jc w:val="both"/>
              <w:rPr>
                <w:rFonts w:ascii="Arial" w:eastAsia="Calibri" w:hAnsi="Arial" w:cs="Arial"/>
                <w:b/>
                <w:sz w:val="24"/>
                <w:szCs w:val="24"/>
              </w:rPr>
            </w:pPr>
            <w:r w:rsidRPr="00BD0A04">
              <w:rPr>
                <w:rFonts w:ascii="Arial" w:eastAsia="Calibri" w:hAnsi="Arial" w:cs="Arial"/>
                <w:b/>
                <w:sz w:val="24"/>
                <w:szCs w:val="24"/>
              </w:rPr>
              <w:t>Counsel for Direct Energy Services, LLC and Direct Energy Business, LLC</w:t>
            </w:r>
          </w:p>
        </w:tc>
      </w:tr>
      <w:tr w:rsidR="00BD0A04" w:rsidRPr="00BD0A04" w14:paraId="6DDD05AC" w14:textId="77777777" w:rsidTr="00857F1D">
        <w:trPr>
          <w:cantSplit/>
        </w:trPr>
        <w:tc>
          <w:tcPr>
            <w:tcW w:w="4248" w:type="dxa"/>
          </w:tcPr>
          <w:p w14:paraId="26CD2B31"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lastRenderedPageBreak/>
              <w:t>Joseph M. Clark</w:t>
            </w:r>
          </w:p>
          <w:p w14:paraId="27FEAB67"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Direct Energy</w:t>
            </w:r>
          </w:p>
          <w:p w14:paraId="70025586"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21 East State Street, 19</w:t>
            </w:r>
            <w:r w:rsidRPr="00BD0A04">
              <w:rPr>
                <w:rFonts w:ascii="Arial" w:eastAsia="Calibri" w:hAnsi="Arial" w:cs="Arial"/>
                <w:sz w:val="24"/>
                <w:szCs w:val="24"/>
                <w:vertAlign w:val="superscript"/>
              </w:rPr>
              <w:t>th</w:t>
            </w:r>
            <w:r w:rsidRPr="00BD0A04">
              <w:rPr>
                <w:rFonts w:ascii="Arial" w:eastAsia="Calibri" w:hAnsi="Arial" w:cs="Arial"/>
                <w:sz w:val="24"/>
                <w:szCs w:val="24"/>
              </w:rPr>
              <w:t xml:space="preserve"> Floor</w:t>
            </w:r>
          </w:p>
          <w:p w14:paraId="2497DDFB"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Columbus, Ohio 43215</w:t>
            </w:r>
          </w:p>
          <w:p w14:paraId="712BBA07" w14:textId="77777777" w:rsidR="00BD0A04" w:rsidRPr="00BD0A04" w:rsidRDefault="00B57E8D" w:rsidP="00BD0A04">
            <w:pPr>
              <w:jc w:val="both"/>
              <w:rPr>
                <w:rFonts w:ascii="Arial" w:eastAsia="Calibri" w:hAnsi="Arial" w:cs="Arial"/>
                <w:sz w:val="24"/>
                <w:szCs w:val="24"/>
              </w:rPr>
            </w:pPr>
            <w:hyperlink r:id="rId35" w:history="1">
              <w:r w:rsidR="00BD0A04" w:rsidRPr="00BD0A04">
                <w:rPr>
                  <w:rFonts w:ascii="Arial" w:eastAsia="Calibri" w:hAnsi="Arial" w:cs="Arial"/>
                  <w:color w:val="0000FF"/>
                  <w:sz w:val="24"/>
                  <w:szCs w:val="24"/>
                  <w:u w:val="single"/>
                </w:rPr>
                <w:t>joseph.clark@directenergy.com</w:t>
              </w:r>
            </w:hyperlink>
          </w:p>
          <w:p w14:paraId="358C8233" w14:textId="77777777" w:rsidR="00BD0A04" w:rsidRPr="00BD0A04" w:rsidRDefault="00BD0A04" w:rsidP="00BD0A04">
            <w:pPr>
              <w:jc w:val="both"/>
              <w:rPr>
                <w:rFonts w:ascii="Arial" w:eastAsia="Calibri" w:hAnsi="Arial" w:cs="Arial"/>
                <w:sz w:val="24"/>
                <w:szCs w:val="24"/>
              </w:rPr>
            </w:pPr>
          </w:p>
          <w:p w14:paraId="6A6BA854" w14:textId="77777777" w:rsidR="00BD0A04" w:rsidRPr="00BD0A04" w:rsidRDefault="00BD0A04" w:rsidP="00BD0A04">
            <w:pPr>
              <w:jc w:val="both"/>
              <w:rPr>
                <w:rFonts w:ascii="Arial" w:eastAsia="Calibri" w:hAnsi="Arial" w:cs="Arial"/>
                <w:b/>
                <w:sz w:val="24"/>
                <w:szCs w:val="24"/>
              </w:rPr>
            </w:pPr>
            <w:r w:rsidRPr="00BD0A04">
              <w:rPr>
                <w:rFonts w:ascii="Arial" w:eastAsia="Calibri" w:hAnsi="Arial" w:cs="Arial"/>
                <w:b/>
                <w:sz w:val="24"/>
                <w:szCs w:val="24"/>
              </w:rPr>
              <w:t>Counsel for Direct Energy Services, LLC and Direct Energy Business, LLC</w:t>
            </w:r>
          </w:p>
          <w:p w14:paraId="3F259B7F" w14:textId="77777777" w:rsidR="00BD0A04" w:rsidRPr="00BD0A04" w:rsidRDefault="00BD0A04" w:rsidP="00BD0A04">
            <w:pPr>
              <w:jc w:val="both"/>
              <w:rPr>
                <w:rFonts w:ascii="Arial" w:eastAsia="Calibri" w:hAnsi="Arial" w:cs="Arial"/>
                <w:sz w:val="24"/>
                <w:szCs w:val="24"/>
              </w:rPr>
            </w:pPr>
          </w:p>
        </w:tc>
        <w:tc>
          <w:tcPr>
            <w:tcW w:w="450" w:type="dxa"/>
          </w:tcPr>
          <w:p w14:paraId="20CB3014" w14:textId="77777777" w:rsidR="00BD0A04" w:rsidRPr="00BD0A04" w:rsidRDefault="00BD0A04" w:rsidP="00BD0A04">
            <w:pPr>
              <w:jc w:val="both"/>
              <w:rPr>
                <w:rFonts w:ascii="Arial" w:eastAsia="Calibri" w:hAnsi="Arial" w:cs="Arial"/>
                <w:b/>
                <w:sz w:val="24"/>
                <w:szCs w:val="24"/>
              </w:rPr>
            </w:pPr>
          </w:p>
        </w:tc>
        <w:tc>
          <w:tcPr>
            <w:tcW w:w="4320" w:type="dxa"/>
          </w:tcPr>
          <w:p w14:paraId="2E003A0C"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Colleen L. Mooney</w:t>
            </w:r>
          </w:p>
          <w:p w14:paraId="59BF9C79"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Cathryn N. Loucas</w:t>
            </w:r>
          </w:p>
          <w:p w14:paraId="26E2BE0D"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Ohio Partners for Affordable Energy</w:t>
            </w:r>
          </w:p>
          <w:p w14:paraId="63A1C85F"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231 West Lima Street</w:t>
            </w:r>
          </w:p>
          <w:p w14:paraId="5090C192"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Findlay, Ohio 45839-1793</w:t>
            </w:r>
          </w:p>
          <w:p w14:paraId="5C5EEECE" w14:textId="77777777" w:rsidR="00BD0A04" w:rsidRPr="00BD0A04" w:rsidRDefault="00B57E8D" w:rsidP="00BD0A04">
            <w:pPr>
              <w:jc w:val="both"/>
              <w:rPr>
                <w:rFonts w:ascii="Arial" w:eastAsia="Calibri" w:hAnsi="Arial" w:cs="Arial"/>
                <w:sz w:val="24"/>
                <w:szCs w:val="24"/>
                <w:u w:val="single"/>
              </w:rPr>
            </w:pPr>
            <w:hyperlink r:id="rId36" w:history="1">
              <w:r w:rsidR="00BD0A04" w:rsidRPr="00BD0A04">
                <w:rPr>
                  <w:rFonts w:ascii="Arial" w:eastAsia="Calibri" w:hAnsi="Arial" w:cs="Arial"/>
                  <w:color w:val="0000FF"/>
                  <w:sz w:val="24"/>
                  <w:szCs w:val="24"/>
                  <w:u w:val="single"/>
                </w:rPr>
                <w:t>cmooney@ohiopartners.org</w:t>
              </w:r>
            </w:hyperlink>
          </w:p>
          <w:p w14:paraId="40FC3CD6" w14:textId="77777777" w:rsidR="00BD0A04" w:rsidRPr="00BD0A04" w:rsidRDefault="00B57E8D" w:rsidP="00BD0A04">
            <w:pPr>
              <w:jc w:val="both"/>
              <w:rPr>
                <w:rFonts w:ascii="Arial" w:eastAsia="Calibri" w:hAnsi="Arial" w:cs="Arial"/>
                <w:sz w:val="24"/>
                <w:szCs w:val="24"/>
                <w:u w:val="single"/>
              </w:rPr>
            </w:pPr>
            <w:hyperlink r:id="rId37" w:history="1">
              <w:r w:rsidR="00BD0A04" w:rsidRPr="00BD0A04">
                <w:rPr>
                  <w:rFonts w:ascii="Arial" w:eastAsia="Calibri" w:hAnsi="Arial" w:cs="Arial"/>
                  <w:color w:val="0000FF"/>
                  <w:sz w:val="24"/>
                  <w:szCs w:val="24"/>
                  <w:u w:val="single"/>
                </w:rPr>
                <w:t>cloucas@ohiopartners.org</w:t>
              </w:r>
            </w:hyperlink>
          </w:p>
          <w:p w14:paraId="27B6BC14" w14:textId="77777777" w:rsidR="00BD0A04" w:rsidRPr="00BD0A04" w:rsidRDefault="00BD0A04" w:rsidP="00BD0A04">
            <w:pPr>
              <w:jc w:val="both"/>
              <w:rPr>
                <w:rFonts w:ascii="Arial" w:eastAsia="Calibri" w:hAnsi="Arial" w:cs="Arial"/>
                <w:sz w:val="24"/>
                <w:szCs w:val="24"/>
              </w:rPr>
            </w:pPr>
          </w:p>
          <w:p w14:paraId="285A190B"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b/>
                <w:sz w:val="24"/>
                <w:szCs w:val="24"/>
              </w:rPr>
              <w:t>Counsel for Ohio Partners for Affordable Energy</w:t>
            </w:r>
          </w:p>
          <w:p w14:paraId="237F834E" w14:textId="77777777" w:rsidR="00BD0A04" w:rsidRPr="00BD0A04" w:rsidRDefault="00BD0A04" w:rsidP="00BD0A04">
            <w:pPr>
              <w:jc w:val="both"/>
              <w:rPr>
                <w:rFonts w:ascii="Arial" w:eastAsia="Calibri" w:hAnsi="Arial" w:cs="Arial"/>
                <w:sz w:val="24"/>
                <w:szCs w:val="24"/>
              </w:rPr>
            </w:pPr>
          </w:p>
        </w:tc>
      </w:tr>
      <w:tr w:rsidR="00BD0A04" w:rsidRPr="00BD0A04" w14:paraId="39E17749" w14:textId="77777777" w:rsidTr="00857F1D">
        <w:trPr>
          <w:cantSplit/>
        </w:trPr>
        <w:tc>
          <w:tcPr>
            <w:tcW w:w="4248" w:type="dxa"/>
          </w:tcPr>
          <w:p w14:paraId="532F9C7B"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Samuel C. Randazzo</w:t>
            </w:r>
          </w:p>
          <w:p w14:paraId="64930468"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Frank P. Darr</w:t>
            </w:r>
          </w:p>
          <w:p w14:paraId="771CEEEE"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Matthew R. Pritchard</w:t>
            </w:r>
          </w:p>
          <w:p w14:paraId="2C0728E8"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McNees Wallace &amp; Nurick LLC</w:t>
            </w:r>
          </w:p>
          <w:p w14:paraId="29B91D48"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21 East State Street, 17</w:t>
            </w:r>
            <w:r w:rsidRPr="00BD0A04">
              <w:rPr>
                <w:rFonts w:ascii="Arial" w:eastAsia="Calibri" w:hAnsi="Arial" w:cs="Arial"/>
                <w:sz w:val="24"/>
                <w:szCs w:val="24"/>
                <w:vertAlign w:val="superscript"/>
              </w:rPr>
              <w:t>th</w:t>
            </w:r>
            <w:r w:rsidRPr="00BD0A04">
              <w:rPr>
                <w:rFonts w:ascii="Arial" w:eastAsia="Calibri" w:hAnsi="Arial" w:cs="Arial"/>
                <w:sz w:val="24"/>
                <w:szCs w:val="24"/>
              </w:rPr>
              <w:t xml:space="preserve"> Floor</w:t>
            </w:r>
          </w:p>
          <w:p w14:paraId="3DA51432"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Columbus, Ohio  43215</w:t>
            </w:r>
          </w:p>
          <w:p w14:paraId="01048F1F" w14:textId="77777777" w:rsidR="00BD0A04" w:rsidRPr="00BD0A04" w:rsidRDefault="00B57E8D" w:rsidP="00BD0A04">
            <w:pPr>
              <w:jc w:val="both"/>
              <w:rPr>
                <w:rFonts w:ascii="Arial" w:eastAsia="Calibri" w:hAnsi="Arial" w:cs="Arial"/>
                <w:sz w:val="24"/>
                <w:szCs w:val="24"/>
              </w:rPr>
            </w:pPr>
            <w:hyperlink r:id="rId38" w:history="1">
              <w:r w:rsidR="00BD0A04" w:rsidRPr="00BD0A04">
                <w:rPr>
                  <w:rFonts w:ascii="Arial" w:eastAsia="Calibri" w:hAnsi="Arial" w:cs="Arial"/>
                  <w:color w:val="0000FF"/>
                  <w:sz w:val="24"/>
                  <w:szCs w:val="24"/>
                  <w:u w:val="single"/>
                </w:rPr>
                <w:t>sam@mwncmh.com</w:t>
              </w:r>
            </w:hyperlink>
          </w:p>
          <w:p w14:paraId="26F33A48" w14:textId="77777777" w:rsidR="00BD0A04" w:rsidRPr="00BD0A04" w:rsidRDefault="00B57E8D" w:rsidP="00BD0A04">
            <w:pPr>
              <w:jc w:val="both"/>
              <w:rPr>
                <w:rFonts w:ascii="Arial" w:eastAsia="Calibri" w:hAnsi="Arial" w:cs="Arial"/>
                <w:sz w:val="24"/>
                <w:szCs w:val="24"/>
              </w:rPr>
            </w:pPr>
            <w:hyperlink r:id="rId39" w:history="1">
              <w:r w:rsidR="00BD0A04" w:rsidRPr="00BD0A04">
                <w:rPr>
                  <w:rFonts w:ascii="Arial" w:eastAsia="Calibri" w:hAnsi="Arial" w:cs="Arial"/>
                  <w:color w:val="0000FF"/>
                  <w:sz w:val="24"/>
                  <w:szCs w:val="24"/>
                  <w:u w:val="single"/>
                </w:rPr>
                <w:t>fdarr@mwncmh.com</w:t>
              </w:r>
            </w:hyperlink>
          </w:p>
          <w:p w14:paraId="5C0FA177" w14:textId="77777777" w:rsidR="00BD0A04" w:rsidRPr="00BD0A04" w:rsidRDefault="00B57E8D" w:rsidP="00BD0A04">
            <w:pPr>
              <w:jc w:val="both"/>
              <w:rPr>
                <w:rFonts w:ascii="Arial" w:eastAsia="Calibri" w:hAnsi="Arial" w:cs="Arial"/>
                <w:sz w:val="24"/>
                <w:szCs w:val="24"/>
              </w:rPr>
            </w:pPr>
            <w:hyperlink r:id="rId40" w:history="1">
              <w:r w:rsidR="00BD0A04" w:rsidRPr="00BD0A04">
                <w:rPr>
                  <w:rFonts w:ascii="Arial" w:eastAsia="Calibri" w:hAnsi="Arial" w:cs="Arial"/>
                  <w:color w:val="0000FF"/>
                  <w:sz w:val="24"/>
                  <w:szCs w:val="24"/>
                  <w:u w:val="single"/>
                </w:rPr>
                <w:t>mpritchard@mwncmh.com</w:t>
              </w:r>
            </w:hyperlink>
          </w:p>
          <w:p w14:paraId="5EB2383E" w14:textId="77777777" w:rsidR="00BD0A04" w:rsidRPr="00BD0A04" w:rsidRDefault="00BD0A04" w:rsidP="00BD0A04">
            <w:pPr>
              <w:jc w:val="both"/>
              <w:rPr>
                <w:rFonts w:ascii="Arial" w:eastAsia="Calibri" w:hAnsi="Arial" w:cs="Arial"/>
                <w:b/>
                <w:sz w:val="24"/>
                <w:szCs w:val="24"/>
              </w:rPr>
            </w:pPr>
          </w:p>
          <w:p w14:paraId="76249B3B" w14:textId="77777777" w:rsidR="00BD0A04" w:rsidRPr="00BD0A04" w:rsidRDefault="00BD0A04" w:rsidP="00BD0A04">
            <w:pPr>
              <w:jc w:val="both"/>
              <w:rPr>
                <w:rFonts w:ascii="Arial" w:eastAsia="Calibri" w:hAnsi="Arial" w:cs="Arial"/>
                <w:b/>
                <w:sz w:val="24"/>
                <w:szCs w:val="24"/>
              </w:rPr>
            </w:pPr>
            <w:r w:rsidRPr="00BD0A04">
              <w:rPr>
                <w:rFonts w:ascii="Arial" w:eastAsia="Calibri" w:hAnsi="Arial" w:cs="Arial"/>
                <w:b/>
                <w:sz w:val="24"/>
                <w:szCs w:val="24"/>
              </w:rPr>
              <w:t>Counsel for Industrial Energy Users-Ohio</w:t>
            </w:r>
          </w:p>
          <w:p w14:paraId="7564182C" w14:textId="77777777" w:rsidR="00BD0A04" w:rsidRPr="00BD0A04" w:rsidRDefault="00BD0A04" w:rsidP="00BD0A04">
            <w:pPr>
              <w:jc w:val="both"/>
              <w:rPr>
                <w:rFonts w:ascii="Arial" w:eastAsia="Calibri" w:hAnsi="Arial" w:cs="Arial"/>
                <w:b/>
                <w:sz w:val="24"/>
                <w:szCs w:val="24"/>
              </w:rPr>
            </w:pPr>
          </w:p>
        </w:tc>
        <w:tc>
          <w:tcPr>
            <w:tcW w:w="450" w:type="dxa"/>
          </w:tcPr>
          <w:p w14:paraId="1C0045D9" w14:textId="77777777" w:rsidR="00BD0A04" w:rsidRPr="00BD0A04" w:rsidRDefault="00BD0A04" w:rsidP="00BD0A04">
            <w:pPr>
              <w:jc w:val="both"/>
              <w:rPr>
                <w:rFonts w:ascii="Arial" w:eastAsia="Calibri" w:hAnsi="Arial" w:cs="Arial"/>
                <w:b/>
                <w:sz w:val="24"/>
                <w:szCs w:val="24"/>
              </w:rPr>
            </w:pPr>
          </w:p>
        </w:tc>
        <w:tc>
          <w:tcPr>
            <w:tcW w:w="4320" w:type="dxa"/>
          </w:tcPr>
          <w:p w14:paraId="51846508" w14:textId="77777777" w:rsidR="00BD0A04" w:rsidRPr="00BD0A04" w:rsidRDefault="00BD0A04" w:rsidP="00BD0A04">
            <w:pPr>
              <w:rPr>
                <w:rFonts w:ascii="Arial" w:eastAsia="Calibri" w:hAnsi="Arial" w:cs="Arial"/>
                <w:sz w:val="24"/>
                <w:szCs w:val="24"/>
              </w:rPr>
            </w:pPr>
            <w:r w:rsidRPr="00BD0A04">
              <w:rPr>
                <w:rFonts w:ascii="Arial" w:eastAsia="Calibri" w:hAnsi="Arial" w:cs="Arial"/>
                <w:sz w:val="24"/>
                <w:szCs w:val="24"/>
              </w:rPr>
              <w:t>Steven T. Nourse</w:t>
            </w:r>
          </w:p>
          <w:p w14:paraId="5F24BD85" w14:textId="77777777" w:rsidR="00BD0A04" w:rsidRPr="00BD0A04" w:rsidRDefault="00BD0A04" w:rsidP="00BD0A04">
            <w:pPr>
              <w:rPr>
                <w:rFonts w:ascii="Arial" w:eastAsia="Calibri" w:hAnsi="Arial" w:cs="Arial"/>
                <w:sz w:val="24"/>
                <w:szCs w:val="24"/>
              </w:rPr>
            </w:pPr>
            <w:r w:rsidRPr="00BD0A04">
              <w:rPr>
                <w:rFonts w:ascii="Arial" w:eastAsia="Calibri" w:hAnsi="Arial" w:cs="Arial"/>
                <w:sz w:val="24"/>
                <w:szCs w:val="24"/>
              </w:rPr>
              <w:t>Matthew J. Satterwhite</w:t>
            </w:r>
          </w:p>
          <w:p w14:paraId="1F877A73" w14:textId="77777777" w:rsidR="00BD0A04" w:rsidRPr="00BD0A04" w:rsidRDefault="00BD0A04" w:rsidP="00BD0A04">
            <w:pPr>
              <w:rPr>
                <w:rFonts w:ascii="Arial" w:eastAsia="Calibri" w:hAnsi="Arial" w:cs="Arial"/>
                <w:sz w:val="24"/>
                <w:szCs w:val="24"/>
              </w:rPr>
            </w:pPr>
            <w:r w:rsidRPr="00BD0A04">
              <w:rPr>
                <w:rFonts w:ascii="Arial" w:eastAsia="Calibri" w:hAnsi="Arial" w:cs="Arial"/>
                <w:sz w:val="24"/>
                <w:szCs w:val="24"/>
              </w:rPr>
              <w:t>Yazen Alami</w:t>
            </w:r>
          </w:p>
          <w:p w14:paraId="2B714D2B" w14:textId="77777777" w:rsidR="00BD0A04" w:rsidRPr="00BD0A04" w:rsidRDefault="00BD0A04" w:rsidP="00BD0A04">
            <w:pPr>
              <w:rPr>
                <w:rFonts w:ascii="Arial" w:eastAsia="Calibri" w:hAnsi="Arial" w:cs="Arial"/>
                <w:sz w:val="24"/>
                <w:szCs w:val="24"/>
              </w:rPr>
            </w:pPr>
            <w:r w:rsidRPr="00BD0A04">
              <w:rPr>
                <w:rFonts w:ascii="Arial" w:eastAsia="Calibri" w:hAnsi="Arial" w:cs="Arial"/>
                <w:sz w:val="24"/>
                <w:szCs w:val="24"/>
              </w:rPr>
              <w:t>American Electric Power Service Corporation</w:t>
            </w:r>
          </w:p>
          <w:p w14:paraId="34AA37B9" w14:textId="77777777" w:rsidR="00BD0A04" w:rsidRPr="00BD0A04" w:rsidRDefault="00BD0A04" w:rsidP="00BD0A04">
            <w:pPr>
              <w:rPr>
                <w:rFonts w:ascii="Arial" w:eastAsia="Calibri" w:hAnsi="Arial" w:cs="Arial"/>
                <w:sz w:val="24"/>
                <w:szCs w:val="24"/>
              </w:rPr>
            </w:pPr>
            <w:r w:rsidRPr="00BD0A04">
              <w:rPr>
                <w:rFonts w:ascii="Arial" w:eastAsia="Calibri" w:hAnsi="Arial" w:cs="Arial"/>
                <w:sz w:val="24"/>
                <w:szCs w:val="24"/>
              </w:rPr>
              <w:t>1 Riverside Plaza 29</w:t>
            </w:r>
            <w:r w:rsidRPr="00BD0A04">
              <w:rPr>
                <w:rFonts w:ascii="Arial" w:eastAsia="Calibri" w:hAnsi="Arial" w:cs="Arial"/>
                <w:sz w:val="24"/>
                <w:szCs w:val="24"/>
                <w:vertAlign w:val="superscript"/>
              </w:rPr>
              <w:t>th</w:t>
            </w:r>
            <w:r w:rsidRPr="00BD0A04">
              <w:rPr>
                <w:rFonts w:ascii="Arial" w:eastAsia="Calibri" w:hAnsi="Arial" w:cs="Arial"/>
                <w:sz w:val="24"/>
                <w:szCs w:val="24"/>
              </w:rPr>
              <w:t xml:space="preserve"> Floor</w:t>
            </w:r>
          </w:p>
          <w:p w14:paraId="01288A87" w14:textId="77777777" w:rsidR="00BD0A04" w:rsidRPr="00BD0A04" w:rsidRDefault="00BD0A04" w:rsidP="00BD0A04">
            <w:pPr>
              <w:rPr>
                <w:rFonts w:ascii="Arial" w:eastAsia="Calibri" w:hAnsi="Arial" w:cs="Arial"/>
                <w:sz w:val="24"/>
                <w:szCs w:val="24"/>
              </w:rPr>
            </w:pPr>
            <w:r w:rsidRPr="00BD0A04">
              <w:rPr>
                <w:rFonts w:ascii="Arial" w:eastAsia="Calibri" w:hAnsi="Arial" w:cs="Arial"/>
                <w:sz w:val="24"/>
                <w:szCs w:val="24"/>
              </w:rPr>
              <w:t>Columbus, Ohio 43215</w:t>
            </w:r>
          </w:p>
          <w:p w14:paraId="0B571A1D" w14:textId="77777777" w:rsidR="00BD0A04" w:rsidRPr="00BD0A04" w:rsidRDefault="00B57E8D" w:rsidP="00BD0A04">
            <w:pPr>
              <w:rPr>
                <w:rFonts w:ascii="Arial" w:eastAsia="Calibri" w:hAnsi="Arial" w:cs="Arial"/>
                <w:sz w:val="24"/>
                <w:szCs w:val="24"/>
              </w:rPr>
            </w:pPr>
            <w:hyperlink r:id="rId41" w:history="1">
              <w:r w:rsidR="00BD0A04" w:rsidRPr="00BD0A04">
                <w:rPr>
                  <w:rFonts w:ascii="Arial" w:eastAsia="Calibri" w:hAnsi="Arial" w:cs="Arial"/>
                  <w:color w:val="0000FF"/>
                  <w:sz w:val="24"/>
                  <w:szCs w:val="24"/>
                  <w:u w:val="single"/>
                </w:rPr>
                <w:t>stnourse@aep.com</w:t>
              </w:r>
            </w:hyperlink>
          </w:p>
          <w:p w14:paraId="27917F70" w14:textId="77777777" w:rsidR="00BD0A04" w:rsidRPr="00BD0A04" w:rsidRDefault="00B57E8D" w:rsidP="00BD0A04">
            <w:pPr>
              <w:rPr>
                <w:rFonts w:ascii="Arial" w:eastAsia="Calibri" w:hAnsi="Arial" w:cs="Arial"/>
                <w:sz w:val="24"/>
                <w:szCs w:val="24"/>
              </w:rPr>
            </w:pPr>
            <w:hyperlink r:id="rId42" w:history="1">
              <w:r w:rsidR="00BD0A04" w:rsidRPr="00BD0A04">
                <w:rPr>
                  <w:rFonts w:ascii="Arial" w:eastAsia="Calibri" w:hAnsi="Arial" w:cs="Arial"/>
                  <w:color w:val="0000FF"/>
                  <w:sz w:val="24"/>
                  <w:szCs w:val="24"/>
                  <w:u w:val="single"/>
                </w:rPr>
                <w:t>mjsatterwhite@aep.com</w:t>
              </w:r>
            </w:hyperlink>
          </w:p>
          <w:p w14:paraId="13D2B3CF" w14:textId="77777777" w:rsidR="00BD0A04" w:rsidRPr="00BD0A04" w:rsidRDefault="00B57E8D" w:rsidP="00BD0A04">
            <w:pPr>
              <w:rPr>
                <w:rFonts w:ascii="Arial" w:eastAsia="Calibri" w:hAnsi="Arial" w:cs="Arial"/>
                <w:sz w:val="24"/>
                <w:szCs w:val="24"/>
              </w:rPr>
            </w:pPr>
            <w:hyperlink r:id="rId43" w:history="1">
              <w:r w:rsidR="00BD0A04" w:rsidRPr="00BD0A04">
                <w:rPr>
                  <w:rFonts w:ascii="Arial" w:eastAsia="Calibri" w:hAnsi="Arial" w:cs="Arial"/>
                  <w:color w:val="0000FF"/>
                  <w:sz w:val="24"/>
                  <w:szCs w:val="24"/>
                  <w:u w:val="single"/>
                </w:rPr>
                <w:t>yalami@aep.com</w:t>
              </w:r>
            </w:hyperlink>
          </w:p>
          <w:p w14:paraId="1548CC4E" w14:textId="77777777" w:rsidR="00BD0A04" w:rsidRPr="00BD0A04" w:rsidRDefault="00BD0A04" w:rsidP="00BD0A04">
            <w:pPr>
              <w:jc w:val="both"/>
              <w:rPr>
                <w:rFonts w:ascii="Arial" w:eastAsia="Calibri" w:hAnsi="Arial" w:cs="Arial"/>
                <w:b/>
                <w:sz w:val="24"/>
                <w:szCs w:val="24"/>
              </w:rPr>
            </w:pPr>
          </w:p>
          <w:p w14:paraId="24D27BBB" w14:textId="77777777" w:rsidR="00BD0A04" w:rsidRPr="00BD0A04" w:rsidRDefault="00BD0A04" w:rsidP="00BD0A04">
            <w:pPr>
              <w:jc w:val="both"/>
              <w:rPr>
                <w:rFonts w:ascii="Arial" w:eastAsia="Calibri" w:hAnsi="Arial" w:cs="Arial"/>
                <w:b/>
                <w:vanish/>
                <w:sz w:val="24"/>
                <w:szCs w:val="24"/>
              </w:rPr>
            </w:pPr>
            <w:r w:rsidRPr="00BD0A04">
              <w:rPr>
                <w:rFonts w:ascii="Arial" w:eastAsia="Calibri" w:hAnsi="Arial" w:cs="Arial"/>
                <w:b/>
                <w:sz w:val="24"/>
                <w:szCs w:val="24"/>
              </w:rPr>
              <w:t>Counsel for Ohio Power Company</w:t>
            </w:r>
          </w:p>
        </w:tc>
      </w:tr>
      <w:tr w:rsidR="00BD0A04" w:rsidRPr="00BD0A04" w14:paraId="0A560446" w14:textId="77777777" w:rsidTr="00857F1D">
        <w:trPr>
          <w:cantSplit/>
        </w:trPr>
        <w:tc>
          <w:tcPr>
            <w:tcW w:w="4248" w:type="dxa"/>
          </w:tcPr>
          <w:p w14:paraId="19A9EC26"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Trent Dougherty</w:t>
            </w:r>
          </w:p>
          <w:p w14:paraId="26D527A7"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1207 Grandview Avenue, Suite 201</w:t>
            </w:r>
          </w:p>
          <w:p w14:paraId="5A5EEDD6"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Columbus, Ohio 43212-3449</w:t>
            </w:r>
          </w:p>
          <w:p w14:paraId="06D6FF1E" w14:textId="77777777" w:rsidR="00BD0A04" w:rsidRPr="00BD0A04" w:rsidRDefault="00B57E8D" w:rsidP="00BD0A04">
            <w:pPr>
              <w:jc w:val="both"/>
              <w:rPr>
                <w:rFonts w:ascii="Arial" w:eastAsia="Calibri" w:hAnsi="Arial" w:cs="Arial"/>
                <w:sz w:val="24"/>
                <w:szCs w:val="24"/>
              </w:rPr>
            </w:pPr>
            <w:hyperlink r:id="rId44" w:history="1">
              <w:r w:rsidR="00BD0A04" w:rsidRPr="00BD0A04">
                <w:rPr>
                  <w:rFonts w:ascii="Arial" w:eastAsia="Calibri" w:hAnsi="Arial" w:cs="Arial"/>
                  <w:color w:val="0000FF"/>
                  <w:sz w:val="24"/>
                  <w:szCs w:val="24"/>
                  <w:u w:val="single"/>
                </w:rPr>
                <w:t>tdougherty@theOEC.org</w:t>
              </w:r>
            </w:hyperlink>
          </w:p>
          <w:p w14:paraId="0105C33F" w14:textId="77777777" w:rsidR="00BD0A04" w:rsidRPr="00BD0A04" w:rsidRDefault="00BD0A04" w:rsidP="00BD0A04">
            <w:pPr>
              <w:jc w:val="both"/>
              <w:rPr>
                <w:rFonts w:ascii="Arial" w:eastAsia="Calibri" w:hAnsi="Arial" w:cs="Arial"/>
                <w:sz w:val="24"/>
                <w:szCs w:val="24"/>
              </w:rPr>
            </w:pPr>
          </w:p>
          <w:p w14:paraId="551FF4D8" w14:textId="77777777" w:rsidR="00BD0A04" w:rsidRPr="00BD0A04" w:rsidRDefault="00BD0A04" w:rsidP="00BD0A04">
            <w:pPr>
              <w:rPr>
                <w:rFonts w:ascii="Arial" w:eastAsia="Calibri" w:hAnsi="Arial" w:cs="Arial"/>
                <w:b/>
                <w:sz w:val="24"/>
                <w:szCs w:val="24"/>
              </w:rPr>
            </w:pPr>
            <w:r w:rsidRPr="00BD0A04">
              <w:rPr>
                <w:rFonts w:ascii="Arial" w:eastAsia="Calibri" w:hAnsi="Arial" w:cs="Arial"/>
                <w:b/>
                <w:sz w:val="24"/>
                <w:szCs w:val="24"/>
              </w:rPr>
              <w:t>Counsel for the Ohio Environmental Council</w:t>
            </w:r>
          </w:p>
          <w:p w14:paraId="4600DBB6" w14:textId="77777777" w:rsidR="00BD0A04" w:rsidRPr="00BD0A04" w:rsidRDefault="00BD0A04" w:rsidP="00BD0A04">
            <w:pPr>
              <w:rPr>
                <w:rFonts w:ascii="Arial" w:eastAsia="Calibri" w:hAnsi="Arial" w:cs="Arial"/>
                <w:b/>
                <w:sz w:val="24"/>
                <w:szCs w:val="24"/>
              </w:rPr>
            </w:pPr>
          </w:p>
        </w:tc>
        <w:tc>
          <w:tcPr>
            <w:tcW w:w="450" w:type="dxa"/>
          </w:tcPr>
          <w:p w14:paraId="29F9A0DF" w14:textId="77777777" w:rsidR="00BD0A04" w:rsidRPr="00BD0A04" w:rsidRDefault="00BD0A04" w:rsidP="00BD0A04">
            <w:pPr>
              <w:jc w:val="both"/>
              <w:rPr>
                <w:rFonts w:ascii="Arial" w:eastAsia="Calibri" w:hAnsi="Arial" w:cs="Arial"/>
                <w:b/>
                <w:sz w:val="24"/>
                <w:szCs w:val="24"/>
              </w:rPr>
            </w:pPr>
          </w:p>
        </w:tc>
        <w:tc>
          <w:tcPr>
            <w:tcW w:w="4320" w:type="dxa"/>
          </w:tcPr>
          <w:p w14:paraId="689D56FD"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Christopher J. Allwein</w:t>
            </w:r>
          </w:p>
          <w:p w14:paraId="771F08CA"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Todd M. Williams</w:t>
            </w:r>
          </w:p>
          <w:p w14:paraId="7CA12843"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Williams Allwein and Moser, LLC</w:t>
            </w:r>
          </w:p>
          <w:p w14:paraId="4D928E58"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1500 West Third Avenue, Suite 330</w:t>
            </w:r>
          </w:p>
          <w:p w14:paraId="0A6BB77D"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Columbus, Ohio 43212</w:t>
            </w:r>
          </w:p>
          <w:p w14:paraId="616AF101" w14:textId="77777777" w:rsidR="00BD0A04" w:rsidRPr="00BD0A04" w:rsidRDefault="00B57E8D" w:rsidP="00BD0A04">
            <w:pPr>
              <w:jc w:val="both"/>
              <w:rPr>
                <w:rFonts w:ascii="Arial" w:eastAsia="Calibri" w:hAnsi="Arial" w:cs="Arial"/>
                <w:sz w:val="24"/>
                <w:szCs w:val="24"/>
              </w:rPr>
            </w:pPr>
            <w:hyperlink r:id="rId45" w:history="1">
              <w:r w:rsidR="00BD0A04" w:rsidRPr="00BD0A04">
                <w:rPr>
                  <w:rFonts w:ascii="Arial" w:eastAsia="Calibri" w:hAnsi="Arial" w:cs="Arial"/>
                  <w:color w:val="0000FF"/>
                  <w:sz w:val="24"/>
                  <w:szCs w:val="24"/>
                  <w:u w:val="single"/>
                </w:rPr>
                <w:t>callwein@wamenergylaw.com</w:t>
              </w:r>
            </w:hyperlink>
          </w:p>
          <w:p w14:paraId="5EAC8ED9" w14:textId="77777777" w:rsidR="00BD0A04" w:rsidRPr="00BD0A04" w:rsidRDefault="00B57E8D" w:rsidP="00BD0A04">
            <w:pPr>
              <w:jc w:val="both"/>
              <w:rPr>
                <w:rFonts w:ascii="Arial" w:eastAsia="Calibri" w:hAnsi="Arial" w:cs="Arial"/>
                <w:sz w:val="24"/>
                <w:szCs w:val="24"/>
              </w:rPr>
            </w:pPr>
            <w:hyperlink r:id="rId46" w:history="1">
              <w:r w:rsidR="00BD0A04" w:rsidRPr="00BD0A04">
                <w:rPr>
                  <w:rFonts w:ascii="Arial" w:eastAsia="Calibri" w:hAnsi="Arial" w:cs="Arial"/>
                  <w:color w:val="0000FF"/>
                  <w:sz w:val="24"/>
                  <w:szCs w:val="24"/>
                  <w:u w:val="single"/>
                </w:rPr>
                <w:t>toddm@wamenergylaw.com</w:t>
              </w:r>
            </w:hyperlink>
          </w:p>
          <w:p w14:paraId="1CF112B8" w14:textId="77777777" w:rsidR="00BD0A04" w:rsidRPr="00BD0A04" w:rsidRDefault="00BD0A04" w:rsidP="00BD0A04">
            <w:pPr>
              <w:jc w:val="both"/>
              <w:rPr>
                <w:rFonts w:ascii="Arial" w:eastAsia="Calibri" w:hAnsi="Arial" w:cs="Arial"/>
                <w:sz w:val="24"/>
                <w:szCs w:val="24"/>
              </w:rPr>
            </w:pPr>
          </w:p>
          <w:p w14:paraId="6767E84B" w14:textId="77777777" w:rsidR="00BD0A04" w:rsidRPr="00BD0A04" w:rsidRDefault="00BD0A04" w:rsidP="00BD0A04">
            <w:pPr>
              <w:rPr>
                <w:rFonts w:ascii="Arial" w:eastAsia="Calibri" w:hAnsi="Arial" w:cs="Arial"/>
                <w:b/>
                <w:sz w:val="24"/>
                <w:szCs w:val="24"/>
              </w:rPr>
            </w:pPr>
            <w:r w:rsidRPr="00BD0A04">
              <w:rPr>
                <w:rFonts w:ascii="Arial" w:eastAsia="Calibri" w:hAnsi="Arial" w:cs="Arial"/>
                <w:b/>
                <w:sz w:val="24"/>
                <w:szCs w:val="24"/>
              </w:rPr>
              <w:t>Counsel for the Sierra Club</w:t>
            </w:r>
          </w:p>
          <w:p w14:paraId="18478214" w14:textId="77777777" w:rsidR="00BD0A04" w:rsidRPr="00BD0A04" w:rsidRDefault="00BD0A04" w:rsidP="00BD0A04">
            <w:pPr>
              <w:rPr>
                <w:rFonts w:ascii="Arial" w:eastAsia="Calibri" w:hAnsi="Arial" w:cs="Arial"/>
                <w:b/>
                <w:sz w:val="24"/>
                <w:szCs w:val="24"/>
              </w:rPr>
            </w:pPr>
          </w:p>
        </w:tc>
      </w:tr>
      <w:tr w:rsidR="00BD0A04" w:rsidRPr="00BD0A04" w14:paraId="6195F1C4" w14:textId="77777777" w:rsidTr="00857F1D">
        <w:trPr>
          <w:cantSplit/>
        </w:trPr>
        <w:tc>
          <w:tcPr>
            <w:tcW w:w="4248" w:type="dxa"/>
          </w:tcPr>
          <w:p w14:paraId="20EE9E17"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Andrew J. Sonderman</w:t>
            </w:r>
          </w:p>
          <w:p w14:paraId="7D3395B8"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Margeaux Kimbrough</w:t>
            </w:r>
          </w:p>
          <w:p w14:paraId="3F03AAFB"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Kegler Brown Hill &amp; Ritter LPA</w:t>
            </w:r>
          </w:p>
          <w:p w14:paraId="0AC331AF"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Capitol Square, Suite 1800</w:t>
            </w:r>
          </w:p>
          <w:p w14:paraId="7D55B986"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65 East State Street</w:t>
            </w:r>
          </w:p>
          <w:p w14:paraId="5CBB374C"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Columbus, Ohio 43215-4294</w:t>
            </w:r>
          </w:p>
          <w:p w14:paraId="154554ED" w14:textId="77777777" w:rsidR="00BD0A04" w:rsidRPr="00BD0A04" w:rsidRDefault="00B57E8D" w:rsidP="00BD0A04">
            <w:pPr>
              <w:jc w:val="both"/>
              <w:rPr>
                <w:rFonts w:ascii="Arial" w:eastAsia="Calibri" w:hAnsi="Arial" w:cs="Arial"/>
                <w:sz w:val="24"/>
                <w:szCs w:val="24"/>
              </w:rPr>
            </w:pPr>
            <w:hyperlink r:id="rId47" w:history="1">
              <w:r w:rsidR="00BD0A04" w:rsidRPr="00BD0A04">
                <w:rPr>
                  <w:rFonts w:ascii="Arial" w:eastAsia="Calibri" w:hAnsi="Arial" w:cs="Arial"/>
                  <w:color w:val="0000FF"/>
                  <w:sz w:val="24"/>
                  <w:szCs w:val="24"/>
                  <w:u w:val="single"/>
                </w:rPr>
                <w:t>asonderman@keglerbrown.com</w:t>
              </w:r>
            </w:hyperlink>
          </w:p>
          <w:p w14:paraId="1FD7B44F" w14:textId="77777777" w:rsidR="00BD0A04" w:rsidRPr="00BD0A04" w:rsidRDefault="00B57E8D" w:rsidP="00BD0A04">
            <w:pPr>
              <w:jc w:val="both"/>
              <w:rPr>
                <w:rFonts w:ascii="Arial" w:eastAsia="Calibri" w:hAnsi="Arial" w:cs="Arial"/>
                <w:sz w:val="24"/>
                <w:szCs w:val="24"/>
              </w:rPr>
            </w:pPr>
            <w:hyperlink r:id="rId48" w:history="1">
              <w:r w:rsidR="00BD0A04" w:rsidRPr="00BD0A04">
                <w:rPr>
                  <w:rFonts w:ascii="Arial" w:eastAsia="Calibri" w:hAnsi="Arial" w:cs="Arial"/>
                  <w:color w:val="0000FF"/>
                  <w:sz w:val="24"/>
                  <w:szCs w:val="24"/>
                  <w:u w:val="single"/>
                </w:rPr>
                <w:t>mkimbrough@keglerbrown.com</w:t>
              </w:r>
            </w:hyperlink>
          </w:p>
          <w:p w14:paraId="312CF49F" w14:textId="77777777" w:rsidR="00BD0A04" w:rsidRPr="00BD0A04" w:rsidRDefault="00BD0A04" w:rsidP="00BD0A04">
            <w:pPr>
              <w:jc w:val="both"/>
              <w:rPr>
                <w:rFonts w:ascii="Arial" w:eastAsia="Calibri" w:hAnsi="Arial" w:cs="Arial"/>
                <w:sz w:val="24"/>
                <w:szCs w:val="24"/>
              </w:rPr>
            </w:pPr>
          </w:p>
          <w:p w14:paraId="24B13AE6" w14:textId="77777777" w:rsidR="00BD0A04" w:rsidRPr="00BD0A04" w:rsidRDefault="00BD0A04" w:rsidP="00BD0A04">
            <w:pPr>
              <w:rPr>
                <w:rFonts w:ascii="Arial" w:eastAsia="Calibri" w:hAnsi="Arial" w:cs="Arial"/>
                <w:b/>
                <w:sz w:val="24"/>
                <w:szCs w:val="24"/>
              </w:rPr>
            </w:pPr>
            <w:r w:rsidRPr="00BD0A04">
              <w:rPr>
                <w:rFonts w:ascii="Arial" w:eastAsia="Calibri" w:hAnsi="Arial" w:cs="Arial"/>
                <w:b/>
                <w:sz w:val="24"/>
                <w:szCs w:val="24"/>
              </w:rPr>
              <w:t>Counsel for People Working Cooperatively, Inc.</w:t>
            </w:r>
          </w:p>
          <w:p w14:paraId="3E2D59CE" w14:textId="77777777" w:rsidR="00BD0A04" w:rsidRPr="00BD0A04" w:rsidRDefault="00BD0A04" w:rsidP="00BD0A04">
            <w:pPr>
              <w:rPr>
                <w:rFonts w:ascii="Arial" w:eastAsia="Calibri" w:hAnsi="Arial" w:cs="Arial"/>
                <w:sz w:val="24"/>
                <w:szCs w:val="24"/>
              </w:rPr>
            </w:pPr>
          </w:p>
        </w:tc>
        <w:tc>
          <w:tcPr>
            <w:tcW w:w="450" w:type="dxa"/>
          </w:tcPr>
          <w:p w14:paraId="6CDAFBEA" w14:textId="77777777" w:rsidR="00BD0A04" w:rsidRPr="00BD0A04" w:rsidRDefault="00BD0A04" w:rsidP="00BD0A04">
            <w:pPr>
              <w:jc w:val="both"/>
              <w:rPr>
                <w:rFonts w:ascii="Arial" w:eastAsia="Calibri" w:hAnsi="Arial" w:cs="Arial"/>
                <w:b/>
                <w:sz w:val="24"/>
                <w:szCs w:val="24"/>
              </w:rPr>
            </w:pPr>
          </w:p>
        </w:tc>
        <w:tc>
          <w:tcPr>
            <w:tcW w:w="4320" w:type="dxa"/>
          </w:tcPr>
          <w:p w14:paraId="27FF362C"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Douglas E. Hart</w:t>
            </w:r>
          </w:p>
          <w:p w14:paraId="04CDFAB3"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441 Vine Street</w:t>
            </w:r>
          </w:p>
          <w:p w14:paraId="6D1747CB"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Suite 4192</w:t>
            </w:r>
          </w:p>
          <w:p w14:paraId="312A1B60"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Cincinnati, Ohio  45202</w:t>
            </w:r>
          </w:p>
          <w:p w14:paraId="3769099E" w14:textId="77777777" w:rsidR="00BD0A04" w:rsidRPr="00BD0A04" w:rsidRDefault="00B57E8D" w:rsidP="00BD0A04">
            <w:pPr>
              <w:jc w:val="both"/>
              <w:rPr>
                <w:rFonts w:ascii="Arial" w:eastAsia="Calibri" w:hAnsi="Arial" w:cs="Arial"/>
                <w:sz w:val="24"/>
                <w:szCs w:val="24"/>
              </w:rPr>
            </w:pPr>
            <w:hyperlink r:id="rId49" w:history="1">
              <w:r w:rsidR="00BD0A04" w:rsidRPr="00BD0A04">
                <w:rPr>
                  <w:rFonts w:ascii="Arial" w:eastAsia="Calibri" w:hAnsi="Arial" w:cs="Arial"/>
                  <w:color w:val="0000FF"/>
                  <w:sz w:val="24"/>
                  <w:szCs w:val="24"/>
                  <w:u w:val="single"/>
                </w:rPr>
                <w:t>dhart@douglasehart.com</w:t>
              </w:r>
            </w:hyperlink>
          </w:p>
          <w:p w14:paraId="53A2C0C6" w14:textId="77777777" w:rsidR="00BD0A04" w:rsidRPr="00BD0A04" w:rsidRDefault="00BD0A04" w:rsidP="00BD0A04">
            <w:pPr>
              <w:jc w:val="both"/>
              <w:rPr>
                <w:rFonts w:ascii="Arial" w:eastAsia="Calibri" w:hAnsi="Arial" w:cs="Arial"/>
                <w:b/>
                <w:sz w:val="24"/>
                <w:szCs w:val="24"/>
              </w:rPr>
            </w:pPr>
          </w:p>
          <w:p w14:paraId="25CA459F" w14:textId="77777777" w:rsidR="00BD0A04" w:rsidRPr="00BD0A04" w:rsidRDefault="00BD0A04" w:rsidP="00BD0A04">
            <w:pPr>
              <w:rPr>
                <w:rFonts w:ascii="Arial" w:eastAsia="Calibri" w:hAnsi="Arial" w:cs="Arial"/>
                <w:b/>
                <w:sz w:val="24"/>
                <w:szCs w:val="24"/>
              </w:rPr>
            </w:pPr>
            <w:r w:rsidRPr="00BD0A04">
              <w:rPr>
                <w:rFonts w:ascii="Arial" w:eastAsia="Calibri" w:hAnsi="Arial" w:cs="Arial"/>
                <w:b/>
                <w:sz w:val="24"/>
                <w:szCs w:val="24"/>
              </w:rPr>
              <w:t>Counsel for The Greater Cincinnati Health Council</w:t>
            </w:r>
          </w:p>
          <w:p w14:paraId="5BDDA87F" w14:textId="77777777" w:rsidR="00BD0A04" w:rsidRPr="00BD0A04" w:rsidRDefault="00BD0A04" w:rsidP="00BD0A04">
            <w:pPr>
              <w:rPr>
                <w:rFonts w:ascii="Arial" w:eastAsia="Calibri" w:hAnsi="Arial" w:cs="Arial"/>
                <w:b/>
                <w:sz w:val="24"/>
                <w:szCs w:val="24"/>
              </w:rPr>
            </w:pPr>
          </w:p>
        </w:tc>
      </w:tr>
      <w:tr w:rsidR="00BD0A04" w:rsidRPr="00BD0A04" w14:paraId="7D369EB4" w14:textId="77777777" w:rsidTr="00857F1D">
        <w:trPr>
          <w:cantSplit/>
        </w:trPr>
        <w:tc>
          <w:tcPr>
            <w:tcW w:w="4248" w:type="dxa"/>
          </w:tcPr>
          <w:p w14:paraId="5068E00B"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lastRenderedPageBreak/>
              <w:t>Rebecca L. Hussey</w:t>
            </w:r>
          </w:p>
          <w:p w14:paraId="6267D8CA"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Carpenter Lipps &amp; Leland LLP</w:t>
            </w:r>
          </w:p>
          <w:p w14:paraId="44F4B292"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280 Plaza, Suite 1300</w:t>
            </w:r>
          </w:p>
          <w:p w14:paraId="7A73682C"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280 North High Street</w:t>
            </w:r>
          </w:p>
          <w:p w14:paraId="387057B8"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Columbus, Ohio 43215</w:t>
            </w:r>
          </w:p>
          <w:p w14:paraId="48E211B9" w14:textId="77777777" w:rsidR="00BD0A04" w:rsidRPr="00BD0A04" w:rsidRDefault="00B57E8D" w:rsidP="00BD0A04">
            <w:pPr>
              <w:jc w:val="both"/>
              <w:rPr>
                <w:rFonts w:ascii="Arial" w:eastAsia="Calibri" w:hAnsi="Arial" w:cs="Arial"/>
                <w:sz w:val="24"/>
                <w:szCs w:val="24"/>
              </w:rPr>
            </w:pPr>
            <w:hyperlink r:id="rId50" w:history="1">
              <w:r w:rsidR="00BD0A04" w:rsidRPr="00BD0A04">
                <w:rPr>
                  <w:rFonts w:ascii="Arial" w:eastAsia="Calibri" w:hAnsi="Arial" w:cs="Arial"/>
                  <w:color w:val="0000FF"/>
                  <w:sz w:val="24"/>
                  <w:szCs w:val="24"/>
                  <w:u w:val="single"/>
                </w:rPr>
                <w:t>Hussey@carpenterlipps.com</w:t>
              </w:r>
            </w:hyperlink>
          </w:p>
          <w:p w14:paraId="23CEC4EB" w14:textId="77777777" w:rsidR="00BD0A04" w:rsidRPr="00BD0A04" w:rsidRDefault="00BD0A04" w:rsidP="00BD0A04">
            <w:pPr>
              <w:jc w:val="both"/>
              <w:rPr>
                <w:rFonts w:ascii="Arial" w:eastAsia="Calibri" w:hAnsi="Arial" w:cs="Arial"/>
                <w:b/>
                <w:sz w:val="24"/>
                <w:szCs w:val="24"/>
              </w:rPr>
            </w:pPr>
          </w:p>
          <w:p w14:paraId="4E6535A0" w14:textId="77777777" w:rsidR="00BD0A04" w:rsidRPr="00BD0A04" w:rsidRDefault="00BD0A04" w:rsidP="00BD0A04">
            <w:pPr>
              <w:rPr>
                <w:rFonts w:ascii="Arial" w:eastAsia="Calibri" w:hAnsi="Arial" w:cs="Arial"/>
                <w:b/>
                <w:sz w:val="24"/>
                <w:szCs w:val="24"/>
              </w:rPr>
            </w:pPr>
            <w:r w:rsidRPr="00BD0A04">
              <w:rPr>
                <w:rFonts w:ascii="Arial" w:eastAsia="Calibri" w:hAnsi="Arial" w:cs="Arial"/>
                <w:b/>
                <w:sz w:val="24"/>
                <w:szCs w:val="24"/>
              </w:rPr>
              <w:t>Counsel for The Kroger Company</w:t>
            </w:r>
          </w:p>
          <w:p w14:paraId="1BC71531" w14:textId="77777777" w:rsidR="00BD0A04" w:rsidRPr="00BD0A04" w:rsidRDefault="00BD0A04" w:rsidP="00BD0A04">
            <w:pPr>
              <w:rPr>
                <w:rFonts w:ascii="Arial" w:eastAsia="Calibri" w:hAnsi="Arial" w:cs="Arial"/>
                <w:sz w:val="24"/>
                <w:szCs w:val="24"/>
              </w:rPr>
            </w:pPr>
          </w:p>
        </w:tc>
        <w:tc>
          <w:tcPr>
            <w:tcW w:w="450" w:type="dxa"/>
          </w:tcPr>
          <w:p w14:paraId="3F84B904" w14:textId="77777777" w:rsidR="00BD0A04" w:rsidRPr="00BD0A04" w:rsidRDefault="00BD0A04" w:rsidP="00BD0A04">
            <w:pPr>
              <w:jc w:val="both"/>
              <w:rPr>
                <w:rFonts w:ascii="Arial" w:eastAsia="Calibri" w:hAnsi="Arial" w:cs="Arial"/>
                <w:b/>
                <w:sz w:val="24"/>
                <w:szCs w:val="24"/>
              </w:rPr>
            </w:pPr>
          </w:p>
        </w:tc>
        <w:tc>
          <w:tcPr>
            <w:tcW w:w="4320" w:type="dxa"/>
          </w:tcPr>
          <w:p w14:paraId="61BA9B7A"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Gregory J. Poulos</w:t>
            </w:r>
          </w:p>
          <w:p w14:paraId="4EEB8D08"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EnerNOC, Inc.</w:t>
            </w:r>
          </w:p>
          <w:p w14:paraId="3D8E5375"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471 E. Broad Street, Suite 1520</w:t>
            </w:r>
          </w:p>
          <w:p w14:paraId="18248A65"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Columbus, Ohio 43215</w:t>
            </w:r>
          </w:p>
          <w:p w14:paraId="4CDE04D4" w14:textId="77777777" w:rsidR="00BD0A04" w:rsidRPr="00BD0A04" w:rsidRDefault="00B57E8D" w:rsidP="00BD0A04">
            <w:pPr>
              <w:jc w:val="both"/>
              <w:rPr>
                <w:rFonts w:ascii="Arial" w:eastAsia="Calibri" w:hAnsi="Arial" w:cs="Arial"/>
                <w:sz w:val="24"/>
                <w:szCs w:val="24"/>
              </w:rPr>
            </w:pPr>
            <w:hyperlink r:id="rId51" w:history="1">
              <w:r w:rsidR="00BD0A04" w:rsidRPr="00BD0A04">
                <w:rPr>
                  <w:rFonts w:ascii="Arial" w:eastAsia="Calibri" w:hAnsi="Arial" w:cs="Arial"/>
                  <w:color w:val="0000FF"/>
                  <w:sz w:val="24"/>
                  <w:szCs w:val="24"/>
                  <w:u w:val="single"/>
                </w:rPr>
                <w:t>gpoulos@enernoc.com</w:t>
              </w:r>
            </w:hyperlink>
          </w:p>
          <w:p w14:paraId="7C6C256F" w14:textId="77777777" w:rsidR="00BD0A04" w:rsidRPr="00BD0A04" w:rsidRDefault="00BD0A04" w:rsidP="00BD0A04">
            <w:pPr>
              <w:jc w:val="both"/>
              <w:rPr>
                <w:rFonts w:ascii="Arial" w:eastAsia="Calibri" w:hAnsi="Arial" w:cs="Arial"/>
                <w:b/>
                <w:sz w:val="24"/>
                <w:szCs w:val="24"/>
              </w:rPr>
            </w:pPr>
          </w:p>
          <w:p w14:paraId="5BE50D28" w14:textId="77777777" w:rsidR="00BD0A04" w:rsidRPr="00BD0A04" w:rsidRDefault="00BD0A04" w:rsidP="00BD0A04">
            <w:pPr>
              <w:rPr>
                <w:rFonts w:ascii="Arial" w:eastAsia="Calibri" w:hAnsi="Arial" w:cs="Arial"/>
                <w:b/>
                <w:sz w:val="24"/>
                <w:szCs w:val="24"/>
              </w:rPr>
            </w:pPr>
            <w:r w:rsidRPr="00BD0A04">
              <w:rPr>
                <w:rFonts w:ascii="Arial" w:eastAsia="Calibri" w:hAnsi="Arial" w:cs="Arial"/>
                <w:b/>
                <w:sz w:val="24"/>
                <w:szCs w:val="24"/>
              </w:rPr>
              <w:t>Counsel for EnerNOC, Inc.</w:t>
            </w:r>
          </w:p>
        </w:tc>
      </w:tr>
      <w:tr w:rsidR="00BD0A04" w:rsidRPr="00BD0A04" w14:paraId="0CC95801" w14:textId="77777777" w:rsidTr="00857F1D">
        <w:trPr>
          <w:cantSplit/>
        </w:trPr>
        <w:tc>
          <w:tcPr>
            <w:tcW w:w="4248" w:type="dxa"/>
          </w:tcPr>
          <w:p w14:paraId="3373642A" w14:textId="77777777" w:rsidR="00BD0A04" w:rsidRPr="00BD0A04" w:rsidRDefault="00BD0A04" w:rsidP="00BD0A04">
            <w:pPr>
              <w:jc w:val="both"/>
              <w:rPr>
                <w:rFonts w:ascii="Arial" w:eastAsia="Calibri" w:hAnsi="Arial" w:cs="Arial"/>
                <w:bCs/>
                <w:sz w:val="24"/>
                <w:szCs w:val="24"/>
              </w:rPr>
            </w:pPr>
            <w:r w:rsidRPr="00BD0A04">
              <w:rPr>
                <w:rFonts w:ascii="Arial" w:eastAsia="Calibri" w:hAnsi="Arial" w:cs="Arial"/>
                <w:bCs/>
                <w:sz w:val="24"/>
                <w:szCs w:val="24"/>
              </w:rPr>
              <w:t>Justin Vickers</w:t>
            </w:r>
          </w:p>
          <w:p w14:paraId="6CD67400" w14:textId="77777777" w:rsidR="00BD0A04" w:rsidRPr="00BD0A04" w:rsidRDefault="00BD0A04" w:rsidP="00BD0A04">
            <w:pPr>
              <w:jc w:val="both"/>
              <w:rPr>
                <w:rFonts w:ascii="Arial" w:eastAsia="Calibri" w:hAnsi="Arial" w:cs="Arial"/>
                <w:bCs/>
                <w:sz w:val="24"/>
                <w:szCs w:val="24"/>
              </w:rPr>
            </w:pPr>
            <w:r w:rsidRPr="00BD0A04">
              <w:rPr>
                <w:rFonts w:ascii="Arial" w:eastAsia="Calibri" w:hAnsi="Arial" w:cs="Arial"/>
                <w:bCs/>
                <w:sz w:val="24"/>
                <w:szCs w:val="24"/>
              </w:rPr>
              <w:t>Environmental Law &amp; Policy Center</w:t>
            </w:r>
          </w:p>
          <w:p w14:paraId="7A2D0E8B" w14:textId="77777777" w:rsidR="00BD0A04" w:rsidRPr="00BD0A04" w:rsidRDefault="00BD0A04" w:rsidP="00BD0A04">
            <w:pPr>
              <w:jc w:val="both"/>
              <w:rPr>
                <w:rFonts w:ascii="Arial" w:eastAsia="Calibri" w:hAnsi="Arial" w:cs="Arial"/>
                <w:bCs/>
                <w:sz w:val="24"/>
                <w:szCs w:val="24"/>
              </w:rPr>
            </w:pPr>
            <w:r w:rsidRPr="00BD0A04">
              <w:rPr>
                <w:rFonts w:ascii="Arial" w:eastAsia="Calibri" w:hAnsi="Arial" w:cs="Arial"/>
                <w:bCs/>
                <w:sz w:val="24"/>
                <w:szCs w:val="24"/>
              </w:rPr>
              <w:t>35 East Wacker Drive, Suite 1600</w:t>
            </w:r>
          </w:p>
          <w:p w14:paraId="2D93F5F0" w14:textId="77777777" w:rsidR="00BD0A04" w:rsidRPr="00BD0A04" w:rsidRDefault="00BD0A04" w:rsidP="00BD0A04">
            <w:pPr>
              <w:jc w:val="both"/>
              <w:rPr>
                <w:rFonts w:ascii="Arial" w:eastAsia="Calibri" w:hAnsi="Arial" w:cs="Arial"/>
                <w:bCs/>
                <w:sz w:val="24"/>
                <w:szCs w:val="24"/>
              </w:rPr>
            </w:pPr>
            <w:r w:rsidRPr="00BD0A04">
              <w:rPr>
                <w:rFonts w:ascii="Arial" w:eastAsia="Calibri" w:hAnsi="Arial" w:cs="Arial"/>
                <w:bCs/>
                <w:sz w:val="24"/>
                <w:szCs w:val="24"/>
              </w:rPr>
              <w:t>Chicago, Illinois 60601</w:t>
            </w:r>
          </w:p>
          <w:p w14:paraId="204ED361" w14:textId="77777777" w:rsidR="00BD0A04" w:rsidRPr="00BD0A04" w:rsidRDefault="00B57E8D" w:rsidP="00BD0A04">
            <w:pPr>
              <w:jc w:val="both"/>
              <w:rPr>
                <w:rFonts w:ascii="Arial" w:eastAsia="Calibri" w:hAnsi="Arial" w:cs="Arial"/>
                <w:bCs/>
                <w:sz w:val="24"/>
                <w:szCs w:val="24"/>
              </w:rPr>
            </w:pPr>
            <w:hyperlink r:id="rId52" w:history="1">
              <w:r w:rsidR="00BD0A04" w:rsidRPr="00BD0A04">
                <w:rPr>
                  <w:rFonts w:ascii="Arial" w:eastAsia="Calibri" w:hAnsi="Arial" w:cs="Arial"/>
                  <w:bCs/>
                  <w:color w:val="0000FF"/>
                  <w:sz w:val="24"/>
                  <w:szCs w:val="24"/>
                  <w:u w:val="single"/>
                </w:rPr>
                <w:t>jvickers@elpc.org</w:t>
              </w:r>
            </w:hyperlink>
          </w:p>
          <w:p w14:paraId="0B0FE5E4" w14:textId="77777777" w:rsidR="00BD0A04" w:rsidRPr="00BD0A04" w:rsidRDefault="00BD0A04" w:rsidP="00BD0A04">
            <w:pPr>
              <w:jc w:val="both"/>
              <w:rPr>
                <w:rFonts w:ascii="Arial" w:eastAsia="Calibri" w:hAnsi="Arial" w:cs="Arial"/>
                <w:b/>
                <w:bCs/>
                <w:sz w:val="24"/>
                <w:szCs w:val="24"/>
              </w:rPr>
            </w:pPr>
          </w:p>
          <w:p w14:paraId="7BF31166" w14:textId="77777777" w:rsidR="00BD0A04" w:rsidRPr="00BD0A04" w:rsidRDefault="00BD0A04" w:rsidP="00BD0A04">
            <w:pPr>
              <w:jc w:val="both"/>
              <w:rPr>
                <w:rFonts w:ascii="Arial" w:eastAsia="Calibri" w:hAnsi="Arial" w:cs="Arial"/>
                <w:b/>
                <w:bCs/>
                <w:sz w:val="24"/>
                <w:szCs w:val="24"/>
              </w:rPr>
            </w:pPr>
            <w:r w:rsidRPr="00BD0A04">
              <w:rPr>
                <w:rFonts w:ascii="Arial" w:eastAsia="Calibri" w:hAnsi="Arial" w:cs="Arial"/>
                <w:b/>
                <w:bCs/>
                <w:sz w:val="24"/>
                <w:szCs w:val="24"/>
              </w:rPr>
              <w:t>Counsel for the Environmental Law &amp; Policy Center</w:t>
            </w:r>
          </w:p>
          <w:p w14:paraId="36EF7163" w14:textId="77777777" w:rsidR="00BD0A04" w:rsidRPr="00BD0A04" w:rsidRDefault="00BD0A04" w:rsidP="00BD0A04">
            <w:pPr>
              <w:jc w:val="both"/>
              <w:rPr>
                <w:rFonts w:ascii="Arial" w:eastAsia="Calibri" w:hAnsi="Arial" w:cs="Arial"/>
                <w:bCs/>
                <w:sz w:val="24"/>
                <w:szCs w:val="24"/>
              </w:rPr>
            </w:pPr>
          </w:p>
        </w:tc>
        <w:tc>
          <w:tcPr>
            <w:tcW w:w="450" w:type="dxa"/>
          </w:tcPr>
          <w:p w14:paraId="1ADDBC0F" w14:textId="77777777" w:rsidR="00BD0A04" w:rsidRPr="00BD0A04" w:rsidRDefault="00BD0A04" w:rsidP="00BD0A04">
            <w:pPr>
              <w:jc w:val="both"/>
              <w:rPr>
                <w:rFonts w:ascii="Arial" w:eastAsia="Calibri" w:hAnsi="Arial" w:cs="Arial"/>
                <w:b/>
                <w:sz w:val="24"/>
                <w:szCs w:val="24"/>
              </w:rPr>
            </w:pPr>
          </w:p>
        </w:tc>
        <w:tc>
          <w:tcPr>
            <w:tcW w:w="4320" w:type="dxa"/>
          </w:tcPr>
          <w:p w14:paraId="47843DCD" w14:textId="77777777" w:rsidR="00BD0A04" w:rsidRPr="00BD0A04" w:rsidRDefault="00BD0A04" w:rsidP="00BD0A04">
            <w:pPr>
              <w:jc w:val="both"/>
              <w:rPr>
                <w:rFonts w:ascii="Arial" w:eastAsia="Calibri" w:hAnsi="Arial" w:cs="Arial"/>
                <w:bCs/>
                <w:sz w:val="24"/>
                <w:szCs w:val="24"/>
              </w:rPr>
            </w:pPr>
            <w:r w:rsidRPr="00BD0A04">
              <w:rPr>
                <w:rFonts w:ascii="Arial" w:eastAsia="Calibri" w:hAnsi="Arial" w:cs="Arial"/>
                <w:bCs/>
                <w:sz w:val="24"/>
                <w:szCs w:val="24"/>
              </w:rPr>
              <w:t>Thomas J. O’Brien</w:t>
            </w:r>
          </w:p>
          <w:p w14:paraId="3743BDB6" w14:textId="77777777" w:rsidR="00BD0A04" w:rsidRPr="00BD0A04" w:rsidRDefault="00BD0A04" w:rsidP="00BD0A04">
            <w:pPr>
              <w:jc w:val="both"/>
              <w:rPr>
                <w:rFonts w:ascii="Arial" w:eastAsia="Calibri" w:hAnsi="Arial" w:cs="Arial"/>
                <w:bCs/>
                <w:sz w:val="24"/>
                <w:szCs w:val="24"/>
              </w:rPr>
            </w:pPr>
            <w:r w:rsidRPr="00BD0A04">
              <w:rPr>
                <w:rFonts w:ascii="Arial" w:eastAsia="Calibri" w:hAnsi="Arial" w:cs="Arial"/>
                <w:bCs/>
                <w:sz w:val="24"/>
                <w:szCs w:val="24"/>
              </w:rPr>
              <w:t>Bricker &amp; Eckler LLP</w:t>
            </w:r>
          </w:p>
          <w:p w14:paraId="3CD1B999" w14:textId="77777777" w:rsidR="00BD0A04" w:rsidRPr="00BD0A04" w:rsidRDefault="00BD0A04" w:rsidP="00BD0A04">
            <w:pPr>
              <w:jc w:val="both"/>
              <w:rPr>
                <w:rFonts w:ascii="Arial" w:eastAsia="Calibri" w:hAnsi="Arial" w:cs="Arial"/>
                <w:bCs/>
                <w:sz w:val="24"/>
                <w:szCs w:val="24"/>
              </w:rPr>
            </w:pPr>
            <w:r w:rsidRPr="00BD0A04">
              <w:rPr>
                <w:rFonts w:ascii="Arial" w:eastAsia="Calibri" w:hAnsi="Arial" w:cs="Arial"/>
                <w:bCs/>
                <w:sz w:val="24"/>
                <w:szCs w:val="24"/>
              </w:rPr>
              <w:t>100 South Third Street</w:t>
            </w:r>
          </w:p>
          <w:p w14:paraId="54C9EB30" w14:textId="77777777" w:rsidR="00BD0A04" w:rsidRPr="00BD0A04" w:rsidRDefault="00BD0A04" w:rsidP="00BD0A04">
            <w:pPr>
              <w:jc w:val="both"/>
              <w:rPr>
                <w:rFonts w:ascii="Arial" w:eastAsia="Calibri" w:hAnsi="Arial" w:cs="Arial"/>
                <w:bCs/>
                <w:sz w:val="24"/>
                <w:szCs w:val="24"/>
              </w:rPr>
            </w:pPr>
            <w:r w:rsidRPr="00BD0A04">
              <w:rPr>
                <w:rFonts w:ascii="Arial" w:eastAsia="Calibri" w:hAnsi="Arial" w:cs="Arial"/>
                <w:bCs/>
                <w:sz w:val="24"/>
                <w:szCs w:val="24"/>
              </w:rPr>
              <w:t>Columbus, Ohio 43215-4291</w:t>
            </w:r>
          </w:p>
          <w:p w14:paraId="61506AA6" w14:textId="77777777" w:rsidR="00BD0A04" w:rsidRPr="00BD0A04" w:rsidRDefault="00B57E8D" w:rsidP="00BD0A04">
            <w:pPr>
              <w:jc w:val="both"/>
              <w:rPr>
                <w:rFonts w:ascii="Arial" w:eastAsia="Calibri" w:hAnsi="Arial" w:cs="Arial"/>
                <w:bCs/>
                <w:sz w:val="24"/>
                <w:szCs w:val="24"/>
              </w:rPr>
            </w:pPr>
            <w:hyperlink r:id="rId53" w:history="1">
              <w:r w:rsidR="00BD0A04" w:rsidRPr="00BD0A04">
                <w:rPr>
                  <w:rFonts w:ascii="Arial" w:eastAsia="Calibri" w:hAnsi="Arial" w:cs="Arial"/>
                  <w:bCs/>
                  <w:color w:val="0000FF"/>
                  <w:sz w:val="24"/>
                  <w:szCs w:val="24"/>
                  <w:u w:val="single"/>
                </w:rPr>
                <w:t>tobrien@bricker.com</w:t>
              </w:r>
            </w:hyperlink>
          </w:p>
          <w:p w14:paraId="651856D1" w14:textId="77777777" w:rsidR="00BD0A04" w:rsidRPr="00BD0A04" w:rsidRDefault="00BD0A04" w:rsidP="00BD0A04">
            <w:pPr>
              <w:jc w:val="both"/>
              <w:rPr>
                <w:rFonts w:ascii="Arial" w:eastAsia="Calibri" w:hAnsi="Arial" w:cs="Arial"/>
                <w:b/>
                <w:bCs/>
                <w:sz w:val="24"/>
                <w:szCs w:val="24"/>
              </w:rPr>
            </w:pPr>
          </w:p>
          <w:p w14:paraId="71C77B12"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b/>
                <w:bCs/>
                <w:sz w:val="24"/>
                <w:szCs w:val="24"/>
              </w:rPr>
              <w:t>Counsel for the City of Cincinnati</w:t>
            </w:r>
          </w:p>
        </w:tc>
      </w:tr>
      <w:tr w:rsidR="00BD0A04" w:rsidRPr="00BD0A04" w14:paraId="13D1AC06" w14:textId="77777777" w:rsidTr="00857F1D">
        <w:trPr>
          <w:cantSplit/>
        </w:trPr>
        <w:tc>
          <w:tcPr>
            <w:tcW w:w="4248" w:type="dxa"/>
          </w:tcPr>
          <w:p w14:paraId="2341D896" w14:textId="77777777" w:rsidR="00BD0A04" w:rsidRPr="00BD0A04" w:rsidRDefault="00BD0A04" w:rsidP="00BD0A04">
            <w:pPr>
              <w:jc w:val="both"/>
              <w:rPr>
                <w:rFonts w:ascii="Arial" w:eastAsia="Calibri" w:hAnsi="Arial" w:cs="Arial"/>
                <w:bCs/>
                <w:sz w:val="24"/>
                <w:szCs w:val="24"/>
              </w:rPr>
            </w:pPr>
            <w:r w:rsidRPr="00BD0A04">
              <w:rPr>
                <w:rFonts w:ascii="Arial" w:eastAsia="Calibri" w:hAnsi="Arial" w:cs="Arial"/>
                <w:bCs/>
                <w:sz w:val="24"/>
                <w:szCs w:val="24"/>
              </w:rPr>
              <w:t>Samantha Williams</w:t>
            </w:r>
          </w:p>
          <w:p w14:paraId="301EAB24" w14:textId="77777777" w:rsidR="00BD0A04" w:rsidRPr="00BD0A04" w:rsidRDefault="00BD0A04" w:rsidP="00BD0A04">
            <w:pPr>
              <w:jc w:val="both"/>
              <w:rPr>
                <w:rFonts w:ascii="Arial" w:eastAsia="Calibri" w:hAnsi="Arial" w:cs="Arial"/>
                <w:bCs/>
                <w:sz w:val="24"/>
                <w:szCs w:val="24"/>
              </w:rPr>
            </w:pPr>
            <w:r w:rsidRPr="00BD0A04">
              <w:rPr>
                <w:rFonts w:ascii="Arial" w:eastAsia="Calibri" w:hAnsi="Arial" w:cs="Arial"/>
                <w:bCs/>
                <w:sz w:val="24"/>
                <w:szCs w:val="24"/>
              </w:rPr>
              <w:t>Natural Resources Defense Council</w:t>
            </w:r>
          </w:p>
          <w:p w14:paraId="239843D8" w14:textId="77777777" w:rsidR="00BD0A04" w:rsidRPr="00BD0A04" w:rsidRDefault="00BD0A04" w:rsidP="00BD0A04">
            <w:pPr>
              <w:jc w:val="both"/>
              <w:rPr>
                <w:rFonts w:ascii="Arial" w:eastAsia="Calibri" w:hAnsi="Arial" w:cs="Arial"/>
                <w:bCs/>
                <w:sz w:val="24"/>
                <w:szCs w:val="24"/>
              </w:rPr>
            </w:pPr>
            <w:r w:rsidRPr="00BD0A04">
              <w:rPr>
                <w:rFonts w:ascii="Arial" w:eastAsia="Calibri" w:hAnsi="Arial" w:cs="Arial"/>
                <w:bCs/>
                <w:sz w:val="24"/>
                <w:szCs w:val="24"/>
              </w:rPr>
              <w:t>20 N. Wacker Drive, Suite 1600</w:t>
            </w:r>
          </w:p>
          <w:p w14:paraId="236F7F0D" w14:textId="77777777" w:rsidR="00BD0A04" w:rsidRPr="00BD0A04" w:rsidRDefault="00BD0A04" w:rsidP="00BD0A04">
            <w:pPr>
              <w:jc w:val="both"/>
              <w:rPr>
                <w:rFonts w:ascii="Arial" w:eastAsia="Calibri" w:hAnsi="Arial" w:cs="Arial"/>
                <w:bCs/>
                <w:sz w:val="24"/>
                <w:szCs w:val="24"/>
              </w:rPr>
            </w:pPr>
            <w:r w:rsidRPr="00BD0A04">
              <w:rPr>
                <w:rFonts w:ascii="Arial" w:eastAsia="Calibri" w:hAnsi="Arial" w:cs="Arial"/>
                <w:bCs/>
                <w:sz w:val="24"/>
                <w:szCs w:val="24"/>
              </w:rPr>
              <w:t>Chicago, Illinois 60606</w:t>
            </w:r>
          </w:p>
          <w:p w14:paraId="0769D770" w14:textId="77777777" w:rsidR="00BD0A04" w:rsidRPr="00BD0A04" w:rsidRDefault="00B57E8D" w:rsidP="00BD0A04">
            <w:pPr>
              <w:jc w:val="both"/>
              <w:rPr>
                <w:rFonts w:ascii="Arial" w:eastAsia="Calibri" w:hAnsi="Arial" w:cs="Arial"/>
                <w:bCs/>
                <w:sz w:val="24"/>
                <w:szCs w:val="24"/>
              </w:rPr>
            </w:pPr>
            <w:hyperlink r:id="rId54" w:history="1">
              <w:r w:rsidR="00BD0A04" w:rsidRPr="00BD0A04">
                <w:rPr>
                  <w:rFonts w:ascii="Arial" w:eastAsia="Calibri" w:hAnsi="Arial" w:cs="Arial"/>
                  <w:bCs/>
                  <w:color w:val="0000FF"/>
                  <w:sz w:val="24"/>
                  <w:szCs w:val="24"/>
                  <w:u w:val="single"/>
                </w:rPr>
                <w:t>swilliams@nrdc.org</w:t>
              </w:r>
            </w:hyperlink>
          </w:p>
          <w:p w14:paraId="027AA2A2" w14:textId="77777777" w:rsidR="00BD0A04" w:rsidRPr="00BD0A04" w:rsidRDefault="00BD0A04" w:rsidP="00BD0A04">
            <w:pPr>
              <w:jc w:val="both"/>
              <w:rPr>
                <w:rFonts w:ascii="Arial" w:eastAsia="Calibri" w:hAnsi="Arial" w:cs="Arial"/>
                <w:bCs/>
                <w:sz w:val="24"/>
                <w:szCs w:val="24"/>
              </w:rPr>
            </w:pPr>
          </w:p>
          <w:p w14:paraId="35BDC425" w14:textId="77777777" w:rsidR="00BD0A04" w:rsidRPr="00BD0A04" w:rsidRDefault="00BD0A04" w:rsidP="00BD0A04">
            <w:pPr>
              <w:jc w:val="both"/>
              <w:rPr>
                <w:rFonts w:ascii="Arial" w:eastAsia="Calibri" w:hAnsi="Arial" w:cs="Arial"/>
                <w:b/>
                <w:bCs/>
                <w:sz w:val="24"/>
                <w:szCs w:val="24"/>
              </w:rPr>
            </w:pPr>
            <w:r w:rsidRPr="00BD0A04">
              <w:rPr>
                <w:rFonts w:ascii="Arial" w:eastAsia="Calibri" w:hAnsi="Arial" w:cs="Arial"/>
                <w:b/>
                <w:bCs/>
                <w:sz w:val="24"/>
                <w:szCs w:val="24"/>
              </w:rPr>
              <w:t>Counsel for the Natural Resources Defense Council</w:t>
            </w:r>
          </w:p>
        </w:tc>
        <w:tc>
          <w:tcPr>
            <w:tcW w:w="450" w:type="dxa"/>
          </w:tcPr>
          <w:p w14:paraId="4C1A8820" w14:textId="77777777" w:rsidR="00BD0A04" w:rsidRPr="00BD0A04" w:rsidRDefault="00BD0A04" w:rsidP="00BD0A04">
            <w:pPr>
              <w:jc w:val="both"/>
              <w:rPr>
                <w:rFonts w:ascii="Arial" w:eastAsia="Calibri" w:hAnsi="Arial" w:cs="Arial"/>
                <w:b/>
                <w:sz w:val="24"/>
                <w:szCs w:val="24"/>
              </w:rPr>
            </w:pPr>
          </w:p>
        </w:tc>
        <w:tc>
          <w:tcPr>
            <w:tcW w:w="4320" w:type="dxa"/>
          </w:tcPr>
          <w:p w14:paraId="30E50573"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Donald L. Mason</w:t>
            </w:r>
          </w:p>
          <w:p w14:paraId="5D0ECDBD"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Michael R. Traven</w:t>
            </w:r>
          </w:p>
          <w:p w14:paraId="1BF7B802"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Roetzel &amp; Andress, LPA</w:t>
            </w:r>
          </w:p>
          <w:p w14:paraId="095AF13B"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155 E. Broad Street, 12</w:t>
            </w:r>
            <w:r w:rsidRPr="00BD0A04">
              <w:rPr>
                <w:rFonts w:ascii="Arial" w:eastAsia="Calibri" w:hAnsi="Arial" w:cs="Arial"/>
                <w:sz w:val="24"/>
                <w:szCs w:val="24"/>
                <w:vertAlign w:val="superscript"/>
              </w:rPr>
              <w:t>th</w:t>
            </w:r>
            <w:r w:rsidRPr="00BD0A04">
              <w:rPr>
                <w:rFonts w:ascii="Arial" w:eastAsia="Calibri" w:hAnsi="Arial" w:cs="Arial"/>
                <w:sz w:val="24"/>
                <w:szCs w:val="24"/>
              </w:rPr>
              <w:t xml:space="preserve"> Floor</w:t>
            </w:r>
          </w:p>
          <w:p w14:paraId="00E5295F"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sz w:val="24"/>
                <w:szCs w:val="24"/>
              </w:rPr>
              <w:t>Columbus, Ohio 43215</w:t>
            </w:r>
          </w:p>
          <w:p w14:paraId="7270D92E" w14:textId="77777777" w:rsidR="00BD0A04" w:rsidRPr="00BD0A04" w:rsidRDefault="00B57E8D" w:rsidP="00BD0A04">
            <w:pPr>
              <w:jc w:val="both"/>
              <w:rPr>
                <w:rFonts w:ascii="Arial" w:eastAsia="Calibri" w:hAnsi="Arial" w:cs="Arial"/>
                <w:sz w:val="24"/>
                <w:szCs w:val="24"/>
              </w:rPr>
            </w:pPr>
            <w:hyperlink r:id="rId55" w:history="1">
              <w:r w:rsidR="00BD0A04" w:rsidRPr="00BD0A04">
                <w:rPr>
                  <w:rFonts w:ascii="Arial" w:eastAsia="Calibri" w:hAnsi="Arial" w:cs="Arial"/>
                  <w:color w:val="0000FF"/>
                  <w:sz w:val="24"/>
                  <w:szCs w:val="24"/>
                  <w:u w:val="single"/>
                </w:rPr>
                <w:t>dmason@ralaw.com</w:t>
              </w:r>
            </w:hyperlink>
          </w:p>
          <w:p w14:paraId="6E48B857" w14:textId="77777777" w:rsidR="00BD0A04" w:rsidRPr="00BD0A04" w:rsidRDefault="00B57E8D" w:rsidP="00BD0A04">
            <w:pPr>
              <w:jc w:val="both"/>
              <w:rPr>
                <w:rFonts w:ascii="Arial" w:eastAsia="Calibri" w:hAnsi="Arial" w:cs="Arial"/>
                <w:sz w:val="24"/>
                <w:szCs w:val="24"/>
              </w:rPr>
            </w:pPr>
            <w:hyperlink r:id="rId56" w:history="1">
              <w:r w:rsidR="00BD0A04" w:rsidRPr="00BD0A04">
                <w:rPr>
                  <w:rFonts w:ascii="Arial" w:eastAsia="Calibri" w:hAnsi="Arial" w:cs="Arial"/>
                  <w:color w:val="0000FF"/>
                  <w:sz w:val="24"/>
                  <w:szCs w:val="24"/>
                  <w:u w:val="single"/>
                </w:rPr>
                <w:t>mtraven@ralaw.com</w:t>
              </w:r>
            </w:hyperlink>
          </w:p>
          <w:p w14:paraId="76D4C5EE" w14:textId="77777777" w:rsidR="00BD0A04" w:rsidRPr="00BD0A04" w:rsidRDefault="00BD0A04" w:rsidP="00BD0A04">
            <w:pPr>
              <w:jc w:val="both"/>
              <w:rPr>
                <w:rFonts w:ascii="Arial" w:eastAsia="Calibri" w:hAnsi="Arial" w:cs="Arial"/>
                <w:sz w:val="24"/>
                <w:szCs w:val="24"/>
              </w:rPr>
            </w:pPr>
          </w:p>
          <w:p w14:paraId="5BBA440E" w14:textId="77777777" w:rsidR="00BD0A04" w:rsidRPr="00BD0A04" w:rsidRDefault="00BD0A04" w:rsidP="00BD0A04">
            <w:pPr>
              <w:jc w:val="both"/>
              <w:rPr>
                <w:rFonts w:ascii="Arial" w:eastAsia="Calibri" w:hAnsi="Arial" w:cs="Arial"/>
                <w:sz w:val="24"/>
                <w:szCs w:val="24"/>
              </w:rPr>
            </w:pPr>
            <w:r w:rsidRPr="00BD0A04">
              <w:rPr>
                <w:rFonts w:ascii="Arial" w:eastAsia="Calibri" w:hAnsi="Arial" w:cs="Arial"/>
                <w:b/>
                <w:bCs/>
                <w:sz w:val="24"/>
                <w:szCs w:val="24"/>
              </w:rPr>
              <w:t>Counsel for Wal-Mart Stores East, LP and Sam’s East, Inc.</w:t>
            </w:r>
          </w:p>
        </w:tc>
      </w:tr>
      <w:tr w:rsidR="00BD0A04" w:rsidRPr="00BD0A04" w14:paraId="62C55440" w14:textId="77777777" w:rsidTr="00857F1D">
        <w:trPr>
          <w:cantSplit/>
        </w:trPr>
        <w:tc>
          <w:tcPr>
            <w:tcW w:w="4248" w:type="dxa"/>
          </w:tcPr>
          <w:p w14:paraId="6DC11AF9" w14:textId="77777777" w:rsidR="00BD0A04" w:rsidRPr="00BD0A04" w:rsidRDefault="00BD0A04" w:rsidP="00BD0A04">
            <w:pPr>
              <w:jc w:val="both"/>
              <w:rPr>
                <w:rFonts w:ascii="Arial" w:eastAsia="Calibri" w:hAnsi="Arial" w:cs="Arial"/>
                <w:bCs/>
                <w:sz w:val="24"/>
                <w:szCs w:val="24"/>
              </w:rPr>
            </w:pPr>
            <w:r w:rsidRPr="00BD0A04">
              <w:rPr>
                <w:rFonts w:ascii="Arial" w:eastAsia="Calibri" w:hAnsi="Arial" w:cs="Arial"/>
                <w:bCs/>
                <w:sz w:val="24"/>
                <w:szCs w:val="24"/>
              </w:rPr>
              <w:t xml:space="preserve">Rick D. Chamberlain </w:t>
            </w:r>
          </w:p>
          <w:p w14:paraId="2434B686" w14:textId="77777777" w:rsidR="00BD0A04" w:rsidRPr="00BD0A04" w:rsidRDefault="00BD0A04" w:rsidP="00BD0A04">
            <w:pPr>
              <w:jc w:val="both"/>
              <w:rPr>
                <w:rFonts w:ascii="Arial" w:eastAsia="Calibri" w:hAnsi="Arial" w:cs="Arial"/>
                <w:bCs/>
                <w:sz w:val="24"/>
                <w:szCs w:val="24"/>
              </w:rPr>
            </w:pPr>
            <w:r w:rsidRPr="00BD0A04">
              <w:rPr>
                <w:rFonts w:ascii="Arial" w:eastAsia="Calibri" w:hAnsi="Arial" w:cs="Arial"/>
                <w:bCs/>
                <w:sz w:val="24"/>
                <w:szCs w:val="24"/>
              </w:rPr>
              <w:t>Behrens, Wheeler, &amp; Chamberlain</w:t>
            </w:r>
          </w:p>
          <w:p w14:paraId="154AF418" w14:textId="77777777" w:rsidR="00BD0A04" w:rsidRPr="00BD0A04" w:rsidRDefault="00BD0A04" w:rsidP="00BD0A04">
            <w:pPr>
              <w:jc w:val="both"/>
              <w:rPr>
                <w:rFonts w:ascii="Arial" w:eastAsia="Calibri" w:hAnsi="Arial" w:cs="Arial"/>
                <w:bCs/>
                <w:sz w:val="24"/>
                <w:szCs w:val="24"/>
              </w:rPr>
            </w:pPr>
            <w:r w:rsidRPr="00BD0A04">
              <w:rPr>
                <w:rFonts w:ascii="Arial" w:eastAsia="Calibri" w:hAnsi="Arial" w:cs="Arial"/>
                <w:bCs/>
                <w:sz w:val="24"/>
                <w:szCs w:val="24"/>
              </w:rPr>
              <w:t>6 N.E. 63rd Street, Suite 400</w:t>
            </w:r>
          </w:p>
          <w:p w14:paraId="77830625" w14:textId="77777777" w:rsidR="00BD0A04" w:rsidRPr="00BD0A04" w:rsidRDefault="00BD0A04" w:rsidP="00BD0A04">
            <w:pPr>
              <w:jc w:val="both"/>
              <w:rPr>
                <w:rFonts w:ascii="Arial" w:eastAsia="Calibri" w:hAnsi="Arial" w:cs="Arial"/>
                <w:bCs/>
                <w:sz w:val="24"/>
                <w:szCs w:val="24"/>
              </w:rPr>
            </w:pPr>
            <w:r w:rsidRPr="00BD0A04">
              <w:rPr>
                <w:rFonts w:ascii="Arial" w:eastAsia="Calibri" w:hAnsi="Arial" w:cs="Arial"/>
                <w:bCs/>
                <w:sz w:val="24"/>
                <w:szCs w:val="24"/>
              </w:rPr>
              <w:t>Oklahoma City, OK 73105</w:t>
            </w:r>
          </w:p>
          <w:p w14:paraId="788FB9F1" w14:textId="77777777" w:rsidR="00BD0A04" w:rsidRPr="00BD0A04" w:rsidRDefault="00B57E8D" w:rsidP="00BD0A04">
            <w:pPr>
              <w:jc w:val="both"/>
              <w:rPr>
                <w:rFonts w:ascii="Arial" w:eastAsia="Calibri" w:hAnsi="Arial" w:cs="Arial"/>
                <w:bCs/>
                <w:sz w:val="24"/>
                <w:szCs w:val="24"/>
              </w:rPr>
            </w:pPr>
            <w:hyperlink r:id="rId57" w:history="1">
              <w:r w:rsidR="00BD0A04" w:rsidRPr="00BD0A04">
                <w:rPr>
                  <w:rFonts w:ascii="Arial" w:eastAsia="Calibri" w:hAnsi="Arial" w:cs="Arial"/>
                  <w:bCs/>
                  <w:color w:val="0000FF"/>
                  <w:sz w:val="24"/>
                  <w:szCs w:val="24"/>
                  <w:u w:val="single"/>
                </w:rPr>
                <w:t>rchamberlain@okenergylaw.com</w:t>
              </w:r>
            </w:hyperlink>
          </w:p>
          <w:p w14:paraId="3CDD402C" w14:textId="77777777" w:rsidR="00BD0A04" w:rsidRPr="00BD0A04" w:rsidRDefault="00BD0A04" w:rsidP="00BD0A04">
            <w:pPr>
              <w:jc w:val="both"/>
              <w:rPr>
                <w:rFonts w:ascii="Arial" w:eastAsia="Calibri" w:hAnsi="Arial" w:cs="Arial"/>
                <w:bCs/>
                <w:sz w:val="24"/>
                <w:szCs w:val="24"/>
              </w:rPr>
            </w:pPr>
          </w:p>
          <w:p w14:paraId="0EF3A7F0" w14:textId="77777777" w:rsidR="00BD0A04" w:rsidRPr="00BD0A04" w:rsidRDefault="00BD0A04" w:rsidP="00BD0A04">
            <w:pPr>
              <w:jc w:val="both"/>
              <w:rPr>
                <w:rFonts w:ascii="Arial" w:eastAsia="Calibri" w:hAnsi="Arial" w:cs="Arial"/>
                <w:b/>
                <w:bCs/>
                <w:sz w:val="24"/>
                <w:szCs w:val="24"/>
              </w:rPr>
            </w:pPr>
            <w:r w:rsidRPr="00BD0A04">
              <w:rPr>
                <w:rFonts w:ascii="Arial" w:eastAsia="Calibri" w:hAnsi="Arial" w:cs="Arial"/>
                <w:b/>
                <w:bCs/>
                <w:sz w:val="24"/>
                <w:szCs w:val="24"/>
              </w:rPr>
              <w:t>Counsel for Wal-Mart Stores East, LP and Sam’s East, Inc.</w:t>
            </w:r>
          </w:p>
          <w:p w14:paraId="347E4E65" w14:textId="77777777" w:rsidR="00BD0A04" w:rsidRPr="00BD0A04" w:rsidRDefault="00BD0A04" w:rsidP="00BD0A04">
            <w:pPr>
              <w:jc w:val="both"/>
              <w:rPr>
                <w:rFonts w:ascii="Arial" w:eastAsia="Calibri" w:hAnsi="Arial" w:cs="Arial"/>
                <w:bCs/>
                <w:sz w:val="24"/>
                <w:szCs w:val="24"/>
              </w:rPr>
            </w:pPr>
          </w:p>
        </w:tc>
        <w:tc>
          <w:tcPr>
            <w:tcW w:w="450" w:type="dxa"/>
          </w:tcPr>
          <w:p w14:paraId="6C9258F9" w14:textId="77777777" w:rsidR="00BD0A04" w:rsidRPr="00BD0A04" w:rsidRDefault="00BD0A04" w:rsidP="00BD0A04">
            <w:pPr>
              <w:jc w:val="both"/>
              <w:rPr>
                <w:rFonts w:ascii="Arial" w:eastAsia="Calibri" w:hAnsi="Arial" w:cs="Arial"/>
                <w:b/>
                <w:sz w:val="24"/>
                <w:szCs w:val="24"/>
              </w:rPr>
            </w:pPr>
          </w:p>
        </w:tc>
        <w:tc>
          <w:tcPr>
            <w:tcW w:w="4320" w:type="dxa"/>
          </w:tcPr>
          <w:p w14:paraId="456C31F5" w14:textId="77777777" w:rsidR="00BD0A04" w:rsidRPr="00BD0A04" w:rsidRDefault="00BD0A04" w:rsidP="00BD0A04">
            <w:pPr>
              <w:jc w:val="both"/>
              <w:rPr>
                <w:rFonts w:ascii="Arial" w:eastAsia="Calibri" w:hAnsi="Arial" w:cs="Arial"/>
                <w:sz w:val="24"/>
                <w:szCs w:val="24"/>
              </w:rPr>
            </w:pPr>
          </w:p>
        </w:tc>
      </w:tr>
    </w:tbl>
    <w:p w14:paraId="0DF4D068" w14:textId="77777777" w:rsidR="00487DE2" w:rsidRPr="00A31DAA" w:rsidRDefault="00487DE2" w:rsidP="00487DE2">
      <w:pPr>
        <w:suppressLineNumbers/>
        <w:autoSpaceDE w:val="0"/>
        <w:autoSpaceDN w:val="0"/>
        <w:adjustRightInd w:val="0"/>
        <w:spacing w:after="0" w:line="480" w:lineRule="auto"/>
        <w:ind w:firstLine="720"/>
        <w:jc w:val="both"/>
        <w:rPr>
          <w:rFonts w:ascii="Arial" w:hAnsi="Arial" w:cs="Arial"/>
          <w:sz w:val="24"/>
          <w:szCs w:val="24"/>
        </w:rPr>
      </w:pPr>
    </w:p>
    <w:p w14:paraId="03EBE566" w14:textId="77777777" w:rsidR="00885A5B" w:rsidRPr="00E83AAC" w:rsidRDefault="00885A5B" w:rsidP="00487DE2">
      <w:pPr>
        <w:suppressLineNumbers/>
        <w:spacing w:line="480" w:lineRule="auto"/>
        <w:ind w:left="720" w:hanging="720"/>
        <w:rPr>
          <w:rFonts w:ascii="Arial" w:hAnsi="Arial" w:cs="Arial"/>
          <w:sz w:val="24"/>
          <w:szCs w:val="24"/>
        </w:rPr>
      </w:pPr>
    </w:p>
    <w:sectPr w:rsidR="00885A5B" w:rsidRPr="00E83AAC" w:rsidSect="00BD0A04">
      <w:foot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0D193" w14:textId="77777777" w:rsidR="00141EEF" w:rsidRDefault="00141EEF" w:rsidP="00640611">
      <w:pPr>
        <w:spacing w:after="0" w:line="240" w:lineRule="auto"/>
      </w:pPr>
      <w:r>
        <w:separator/>
      </w:r>
    </w:p>
  </w:endnote>
  <w:endnote w:type="continuationSeparator" w:id="0">
    <w:p w14:paraId="69B473E0" w14:textId="77777777" w:rsidR="00141EEF" w:rsidRDefault="00141EEF" w:rsidP="00640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60634"/>
      <w:docPartObj>
        <w:docPartGallery w:val="Page Numbers (Bottom of Page)"/>
        <w:docPartUnique/>
      </w:docPartObj>
    </w:sdtPr>
    <w:sdtEndPr>
      <w:rPr>
        <w:noProof/>
      </w:rPr>
    </w:sdtEndPr>
    <w:sdtContent>
      <w:p w14:paraId="5254D649" w14:textId="77777777" w:rsidR="00141EEF" w:rsidRDefault="00141EEF">
        <w:pPr>
          <w:pStyle w:val="Footer"/>
          <w:jc w:val="center"/>
        </w:pPr>
        <w:r>
          <w:fldChar w:fldCharType="begin"/>
        </w:r>
        <w:r>
          <w:instrText xml:space="preserve"> PAGE   \* MERGEFORMAT </w:instrText>
        </w:r>
        <w:r>
          <w:fldChar w:fldCharType="separate"/>
        </w:r>
        <w:r w:rsidR="00B57E8D">
          <w:rPr>
            <w:noProof/>
          </w:rPr>
          <w:t>2</w:t>
        </w:r>
        <w:r>
          <w:rPr>
            <w:noProof/>
          </w:rPr>
          <w:fldChar w:fldCharType="end"/>
        </w:r>
      </w:p>
    </w:sdtContent>
  </w:sdt>
  <w:p w14:paraId="1BADA2D0" w14:textId="77777777" w:rsidR="00141EEF" w:rsidRDefault="00141E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C8C83" w14:textId="77777777" w:rsidR="00141EEF" w:rsidRDefault="00141EEF">
    <w:pPr>
      <w:pStyle w:val="Footer"/>
      <w:jc w:val="center"/>
    </w:pPr>
  </w:p>
  <w:p w14:paraId="33275D20" w14:textId="77777777" w:rsidR="00141EEF" w:rsidRDefault="00141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47C62" w14:textId="77777777" w:rsidR="00141EEF" w:rsidRDefault="00141EEF" w:rsidP="00640611">
      <w:pPr>
        <w:spacing w:after="0" w:line="240" w:lineRule="auto"/>
      </w:pPr>
      <w:r>
        <w:separator/>
      </w:r>
    </w:p>
  </w:footnote>
  <w:footnote w:type="continuationSeparator" w:id="0">
    <w:p w14:paraId="1FB1C8C8" w14:textId="77777777" w:rsidR="00141EEF" w:rsidRDefault="00141EEF" w:rsidP="00640611">
      <w:pPr>
        <w:spacing w:after="0" w:line="240" w:lineRule="auto"/>
      </w:pPr>
      <w:r>
        <w:continuationSeparator/>
      </w:r>
    </w:p>
  </w:footnote>
  <w:footnote w:id="1">
    <w:p w14:paraId="4FEC4A5F" w14:textId="298DC049" w:rsidR="00141EEF" w:rsidRDefault="00141EEF">
      <w:pPr>
        <w:pStyle w:val="FootnoteText"/>
      </w:pPr>
      <w:r>
        <w:rPr>
          <w:rStyle w:val="FootnoteReference"/>
        </w:rPr>
        <w:footnoteRef/>
      </w:r>
      <w:r>
        <w:t xml:space="preserve"> See </w:t>
      </w:r>
      <w:hyperlink r:id="rId1" w:history="1">
        <w:r w:rsidRPr="0060728D">
          <w:rPr>
            <w:rStyle w:val="Hyperlink"/>
          </w:rPr>
          <w:t>http://www.duke-energy.com/strikestop/</w:t>
        </w:r>
      </w:hyperlink>
      <w:r>
        <w:t xml:space="preserve">; </w:t>
      </w:r>
      <w:hyperlink r:id="rId2" w:history="1">
        <w:r w:rsidRPr="0060728D">
          <w:rPr>
            <w:rStyle w:val="Hyperlink"/>
          </w:rPr>
          <w:t>http://www.duke-energy.com/underground/</w:t>
        </w:r>
      </w:hyperlink>
    </w:p>
    <w:p w14:paraId="03A1BDFD" w14:textId="77777777" w:rsidR="00141EEF" w:rsidRDefault="00141EE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11CF9"/>
    <w:multiLevelType w:val="hybridMultilevel"/>
    <w:tmpl w:val="92204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492C69"/>
    <w:multiLevelType w:val="hybridMultilevel"/>
    <w:tmpl w:val="D6DC5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81A6EB4"/>
    <w:multiLevelType w:val="hybridMultilevel"/>
    <w:tmpl w:val="6B725600"/>
    <w:lvl w:ilvl="0" w:tplc="6262C454">
      <w:start w:val="1"/>
      <w:numFmt w:val="upperLetter"/>
      <w:lvlText w:val="%1."/>
      <w:lvlJc w:val="left"/>
      <w:pPr>
        <w:ind w:left="765" w:hanging="360"/>
      </w:pPr>
      <w:rPr>
        <w:rFonts w:hint="default"/>
        <w:u w:val="none"/>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3CC06256"/>
    <w:multiLevelType w:val="hybridMultilevel"/>
    <w:tmpl w:val="95B85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4B21407"/>
    <w:multiLevelType w:val="hybridMultilevel"/>
    <w:tmpl w:val="004E0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045C36"/>
    <w:multiLevelType w:val="hybridMultilevel"/>
    <w:tmpl w:val="985C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615928"/>
    <w:multiLevelType w:val="hybridMultilevel"/>
    <w:tmpl w:val="270A1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E183FE7"/>
    <w:multiLevelType w:val="hybridMultilevel"/>
    <w:tmpl w:val="9D02EB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A9437E7"/>
    <w:multiLevelType w:val="hybridMultilevel"/>
    <w:tmpl w:val="9C946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F132E8D"/>
    <w:multiLevelType w:val="hybridMultilevel"/>
    <w:tmpl w:val="30CEAF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67487DDB"/>
    <w:multiLevelType w:val="hybridMultilevel"/>
    <w:tmpl w:val="934426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2"/>
  </w:num>
  <w:num w:numId="5">
    <w:abstractNumId w:val="10"/>
  </w:num>
  <w:num w:numId="6">
    <w:abstractNumId w:val="5"/>
  </w:num>
  <w:num w:numId="7">
    <w:abstractNumId w:val="7"/>
  </w:num>
  <w:num w:numId="8">
    <w:abstractNumId w:val="4"/>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D0"/>
    <w:rsid w:val="00003050"/>
    <w:rsid w:val="00006F12"/>
    <w:rsid w:val="00020388"/>
    <w:rsid w:val="00024B55"/>
    <w:rsid w:val="000323C3"/>
    <w:rsid w:val="00036D3C"/>
    <w:rsid w:val="00042085"/>
    <w:rsid w:val="00055DFC"/>
    <w:rsid w:val="00060E00"/>
    <w:rsid w:val="00076B9B"/>
    <w:rsid w:val="000770D7"/>
    <w:rsid w:val="00092203"/>
    <w:rsid w:val="000969B1"/>
    <w:rsid w:val="000A60B2"/>
    <w:rsid w:val="000A704D"/>
    <w:rsid w:val="000B3878"/>
    <w:rsid w:val="000E656F"/>
    <w:rsid w:val="00103782"/>
    <w:rsid w:val="00121486"/>
    <w:rsid w:val="00133846"/>
    <w:rsid w:val="00141EEF"/>
    <w:rsid w:val="00146F3F"/>
    <w:rsid w:val="00151B15"/>
    <w:rsid w:val="00154BB2"/>
    <w:rsid w:val="00155226"/>
    <w:rsid w:val="00165074"/>
    <w:rsid w:val="0017167A"/>
    <w:rsid w:val="001716E2"/>
    <w:rsid w:val="00173D3B"/>
    <w:rsid w:val="001825CF"/>
    <w:rsid w:val="00184945"/>
    <w:rsid w:val="00186AFE"/>
    <w:rsid w:val="001A0F27"/>
    <w:rsid w:val="001B6413"/>
    <w:rsid w:val="001B78F3"/>
    <w:rsid w:val="001C12F5"/>
    <w:rsid w:val="001D2C4F"/>
    <w:rsid w:val="00200D16"/>
    <w:rsid w:val="0021723C"/>
    <w:rsid w:val="00222958"/>
    <w:rsid w:val="00237D64"/>
    <w:rsid w:val="002421DD"/>
    <w:rsid w:val="002422A9"/>
    <w:rsid w:val="002515F4"/>
    <w:rsid w:val="002533EA"/>
    <w:rsid w:val="002719F1"/>
    <w:rsid w:val="0028014B"/>
    <w:rsid w:val="00280866"/>
    <w:rsid w:val="00282AEE"/>
    <w:rsid w:val="0028696C"/>
    <w:rsid w:val="002A38EF"/>
    <w:rsid w:val="002A5B56"/>
    <w:rsid w:val="002C1E9B"/>
    <w:rsid w:val="002D2017"/>
    <w:rsid w:val="002E7AD9"/>
    <w:rsid w:val="003177C3"/>
    <w:rsid w:val="003320E8"/>
    <w:rsid w:val="00336337"/>
    <w:rsid w:val="00341416"/>
    <w:rsid w:val="003437BD"/>
    <w:rsid w:val="00354299"/>
    <w:rsid w:val="00357689"/>
    <w:rsid w:val="00362B50"/>
    <w:rsid w:val="00373359"/>
    <w:rsid w:val="00387219"/>
    <w:rsid w:val="00390BD8"/>
    <w:rsid w:val="00394059"/>
    <w:rsid w:val="003A43C5"/>
    <w:rsid w:val="003B1633"/>
    <w:rsid w:val="003C46B9"/>
    <w:rsid w:val="003F6A3B"/>
    <w:rsid w:val="003F6B4A"/>
    <w:rsid w:val="003F7F4D"/>
    <w:rsid w:val="00413674"/>
    <w:rsid w:val="00417F50"/>
    <w:rsid w:val="0042071B"/>
    <w:rsid w:val="004321C9"/>
    <w:rsid w:val="0044459D"/>
    <w:rsid w:val="004476FA"/>
    <w:rsid w:val="00451DA4"/>
    <w:rsid w:val="004534AF"/>
    <w:rsid w:val="00472F50"/>
    <w:rsid w:val="00487DE2"/>
    <w:rsid w:val="00497CAD"/>
    <w:rsid w:val="004A291D"/>
    <w:rsid w:val="004B27DD"/>
    <w:rsid w:val="004C797F"/>
    <w:rsid w:val="004F3DEE"/>
    <w:rsid w:val="00504EE0"/>
    <w:rsid w:val="005051B2"/>
    <w:rsid w:val="00511122"/>
    <w:rsid w:val="0051256A"/>
    <w:rsid w:val="00520DAC"/>
    <w:rsid w:val="005300DA"/>
    <w:rsid w:val="00533F59"/>
    <w:rsid w:val="0054482C"/>
    <w:rsid w:val="00561904"/>
    <w:rsid w:val="00562A6D"/>
    <w:rsid w:val="00570545"/>
    <w:rsid w:val="00571268"/>
    <w:rsid w:val="00583944"/>
    <w:rsid w:val="00590647"/>
    <w:rsid w:val="005909CF"/>
    <w:rsid w:val="00590D82"/>
    <w:rsid w:val="005951AE"/>
    <w:rsid w:val="005A2331"/>
    <w:rsid w:val="005A6B45"/>
    <w:rsid w:val="005B3669"/>
    <w:rsid w:val="005B3677"/>
    <w:rsid w:val="005B5994"/>
    <w:rsid w:val="005C08DE"/>
    <w:rsid w:val="005E5131"/>
    <w:rsid w:val="005E7C6A"/>
    <w:rsid w:val="005F538F"/>
    <w:rsid w:val="006144EF"/>
    <w:rsid w:val="006150D6"/>
    <w:rsid w:val="00626CF0"/>
    <w:rsid w:val="00634B21"/>
    <w:rsid w:val="00640611"/>
    <w:rsid w:val="00655845"/>
    <w:rsid w:val="006559BB"/>
    <w:rsid w:val="0065610D"/>
    <w:rsid w:val="00682459"/>
    <w:rsid w:val="0069127F"/>
    <w:rsid w:val="006A15B4"/>
    <w:rsid w:val="006A7A32"/>
    <w:rsid w:val="006B5854"/>
    <w:rsid w:val="006C606A"/>
    <w:rsid w:val="006D01F7"/>
    <w:rsid w:val="006D653A"/>
    <w:rsid w:val="006D7D96"/>
    <w:rsid w:val="006E676A"/>
    <w:rsid w:val="006F5DD2"/>
    <w:rsid w:val="0070136B"/>
    <w:rsid w:val="00704603"/>
    <w:rsid w:val="007071DD"/>
    <w:rsid w:val="00720589"/>
    <w:rsid w:val="00721AF7"/>
    <w:rsid w:val="00723334"/>
    <w:rsid w:val="007249C8"/>
    <w:rsid w:val="007329BB"/>
    <w:rsid w:val="007377F4"/>
    <w:rsid w:val="00746964"/>
    <w:rsid w:val="007558C2"/>
    <w:rsid w:val="00761BB4"/>
    <w:rsid w:val="007734F0"/>
    <w:rsid w:val="007833EA"/>
    <w:rsid w:val="00785634"/>
    <w:rsid w:val="00786555"/>
    <w:rsid w:val="00790C6D"/>
    <w:rsid w:val="00791D65"/>
    <w:rsid w:val="007A69B4"/>
    <w:rsid w:val="007B4FA1"/>
    <w:rsid w:val="007B616D"/>
    <w:rsid w:val="007C2A07"/>
    <w:rsid w:val="007D503B"/>
    <w:rsid w:val="007D6A7F"/>
    <w:rsid w:val="007F043F"/>
    <w:rsid w:val="007F2EA0"/>
    <w:rsid w:val="00800AD6"/>
    <w:rsid w:val="00805619"/>
    <w:rsid w:val="008118D0"/>
    <w:rsid w:val="00817331"/>
    <w:rsid w:val="00820778"/>
    <w:rsid w:val="0082256F"/>
    <w:rsid w:val="00834F92"/>
    <w:rsid w:val="00841D52"/>
    <w:rsid w:val="00843C76"/>
    <w:rsid w:val="00853C7F"/>
    <w:rsid w:val="00857F1D"/>
    <w:rsid w:val="008723F2"/>
    <w:rsid w:val="008731C3"/>
    <w:rsid w:val="00875CF7"/>
    <w:rsid w:val="0088506C"/>
    <w:rsid w:val="00885A5B"/>
    <w:rsid w:val="00890DAF"/>
    <w:rsid w:val="008A2540"/>
    <w:rsid w:val="008A4E65"/>
    <w:rsid w:val="008C2C33"/>
    <w:rsid w:val="008D13E6"/>
    <w:rsid w:val="008D1B6D"/>
    <w:rsid w:val="008E39BC"/>
    <w:rsid w:val="008F198D"/>
    <w:rsid w:val="00905F29"/>
    <w:rsid w:val="00906B46"/>
    <w:rsid w:val="0091614A"/>
    <w:rsid w:val="009241B3"/>
    <w:rsid w:val="00934620"/>
    <w:rsid w:val="00953927"/>
    <w:rsid w:val="00956887"/>
    <w:rsid w:val="0095716C"/>
    <w:rsid w:val="00967BC0"/>
    <w:rsid w:val="009736B9"/>
    <w:rsid w:val="00976EFC"/>
    <w:rsid w:val="00982015"/>
    <w:rsid w:val="00982031"/>
    <w:rsid w:val="00984E54"/>
    <w:rsid w:val="00987BB0"/>
    <w:rsid w:val="0099357F"/>
    <w:rsid w:val="009A2C8C"/>
    <w:rsid w:val="009A4066"/>
    <w:rsid w:val="009A5C31"/>
    <w:rsid w:val="009A74A9"/>
    <w:rsid w:val="009B4393"/>
    <w:rsid w:val="009C0FFC"/>
    <w:rsid w:val="009C3B37"/>
    <w:rsid w:val="009F1930"/>
    <w:rsid w:val="009F31A8"/>
    <w:rsid w:val="009F4D01"/>
    <w:rsid w:val="009F7997"/>
    <w:rsid w:val="00A02E3E"/>
    <w:rsid w:val="00A102A8"/>
    <w:rsid w:val="00A31DAA"/>
    <w:rsid w:val="00A3351C"/>
    <w:rsid w:val="00A374CA"/>
    <w:rsid w:val="00A4080D"/>
    <w:rsid w:val="00A5121A"/>
    <w:rsid w:val="00A519B7"/>
    <w:rsid w:val="00A5243A"/>
    <w:rsid w:val="00A54EFA"/>
    <w:rsid w:val="00A6780E"/>
    <w:rsid w:val="00A77DE0"/>
    <w:rsid w:val="00A944A8"/>
    <w:rsid w:val="00A964D4"/>
    <w:rsid w:val="00AA7002"/>
    <w:rsid w:val="00AA78F6"/>
    <w:rsid w:val="00AB46BB"/>
    <w:rsid w:val="00AB5F1D"/>
    <w:rsid w:val="00AC7F06"/>
    <w:rsid w:val="00AE1246"/>
    <w:rsid w:val="00AE4E8B"/>
    <w:rsid w:val="00AF2C1A"/>
    <w:rsid w:val="00AF4AC0"/>
    <w:rsid w:val="00B007DD"/>
    <w:rsid w:val="00B15432"/>
    <w:rsid w:val="00B15793"/>
    <w:rsid w:val="00B16ADE"/>
    <w:rsid w:val="00B22561"/>
    <w:rsid w:val="00B22C17"/>
    <w:rsid w:val="00B2624A"/>
    <w:rsid w:val="00B32F30"/>
    <w:rsid w:val="00B57E8D"/>
    <w:rsid w:val="00B7508E"/>
    <w:rsid w:val="00B80D95"/>
    <w:rsid w:val="00B9310E"/>
    <w:rsid w:val="00B971B2"/>
    <w:rsid w:val="00BB746D"/>
    <w:rsid w:val="00BC5C99"/>
    <w:rsid w:val="00BD0A04"/>
    <w:rsid w:val="00BD3019"/>
    <w:rsid w:val="00BE4D8A"/>
    <w:rsid w:val="00BE7CBA"/>
    <w:rsid w:val="00BF25B5"/>
    <w:rsid w:val="00BF70C6"/>
    <w:rsid w:val="00C0306B"/>
    <w:rsid w:val="00C15B9D"/>
    <w:rsid w:val="00C17D44"/>
    <w:rsid w:val="00C200EE"/>
    <w:rsid w:val="00C22723"/>
    <w:rsid w:val="00C320DE"/>
    <w:rsid w:val="00C43E75"/>
    <w:rsid w:val="00C51768"/>
    <w:rsid w:val="00C51DC5"/>
    <w:rsid w:val="00C747A2"/>
    <w:rsid w:val="00C806BA"/>
    <w:rsid w:val="00C914CA"/>
    <w:rsid w:val="00C9683C"/>
    <w:rsid w:val="00CA0AFC"/>
    <w:rsid w:val="00CA47A9"/>
    <w:rsid w:val="00CB70CD"/>
    <w:rsid w:val="00CD6611"/>
    <w:rsid w:val="00CE049E"/>
    <w:rsid w:val="00CE2FF2"/>
    <w:rsid w:val="00CE6186"/>
    <w:rsid w:val="00D36ADB"/>
    <w:rsid w:val="00D446E6"/>
    <w:rsid w:val="00D617D6"/>
    <w:rsid w:val="00D628F0"/>
    <w:rsid w:val="00D6494D"/>
    <w:rsid w:val="00D70AA5"/>
    <w:rsid w:val="00D90237"/>
    <w:rsid w:val="00D91BFF"/>
    <w:rsid w:val="00DC4CB7"/>
    <w:rsid w:val="00DD0A3E"/>
    <w:rsid w:val="00DD1AFE"/>
    <w:rsid w:val="00DD4595"/>
    <w:rsid w:val="00DD6FBE"/>
    <w:rsid w:val="00DD7867"/>
    <w:rsid w:val="00E0102F"/>
    <w:rsid w:val="00E216EC"/>
    <w:rsid w:val="00E23025"/>
    <w:rsid w:val="00E555FF"/>
    <w:rsid w:val="00E6239B"/>
    <w:rsid w:val="00E80C15"/>
    <w:rsid w:val="00E82DBC"/>
    <w:rsid w:val="00E83AAC"/>
    <w:rsid w:val="00E93FC7"/>
    <w:rsid w:val="00EA6440"/>
    <w:rsid w:val="00EC1995"/>
    <w:rsid w:val="00EC619B"/>
    <w:rsid w:val="00ED67B2"/>
    <w:rsid w:val="00EE37C2"/>
    <w:rsid w:val="00EE7DD2"/>
    <w:rsid w:val="00EF1E59"/>
    <w:rsid w:val="00F032E3"/>
    <w:rsid w:val="00F04A76"/>
    <w:rsid w:val="00F06D6E"/>
    <w:rsid w:val="00F113E2"/>
    <w:rsid w:val="00F15898"/>
    <w:rsid w:val="00F15ED1"/>
    <w:rsid w:val="00F206BF"/>
    <w:rsid w:val="00F22776"/>
    <w:rsid w:val="00F402EF"/>
    <w:rsid w:val="00F41EF4"/>
    <w:rsid w:val="00F518BA"/>
    <w:rsid w:val="00F51AF0"/>
    <w:rsid w:val="00F57F2C"/>
    <w:rsid w:val="00F66DDA"/>
    <w:rsid w:val="00F72944"/>
    <w:rsid w:val="00F74781"/>
    <w:rsid w:val="00F748FA"/>
    <w:rsid w:val="00FA3665"/>
    <w:rsid w:val="00FA5129"/>
    <w:rsid w:val="00FA7B4D"/>
    <w:rsid w:val="00FB190D"/>
    <w:rsid w:val="00FB1973"/>
    <w:rsid w:val="00FC4821"/>
    <w:rsid w:val="00FC5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F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D0"/>
  </w:style>
  <w:style w:type="paragraph" w:styleId="Heading1">
    <w:name w:val="heading 1"/>
    <w:basedOn w:val="Normal"/>
    <w:next w:val="Normal"/>
    <w:link w:val="Heading1Char"/>
    <w:qFormat/>
    <w:rsid w:val="00F66DDA"/>
    <w:pPr>
      <w:keepNext/>
      <w:spacing w:after="0" w:line="480" w:lineRule="auto"/>
      <w:jc w:val="both"/>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D0"/>
    <w:pPr>
      <w:ind w:left="720"/>
      <w:contextualSpacing/>
    </w:pPr>
  </w:style>
  <w:style w:type="character" w:styleId="Hyperlink">
    <w:name w:val="Hyperlink"/>
    <w:basedOn w:val="DefaultParagraphFont"/>
    <w:uiPriority w:val="99"/>
    <w:unhideWhenUsed/>
    <w:rsid w:val="008118D0"/>
    <w:rPr>
      <w:color w:val="0000FF" w:themeColor="hyperlink"/>
      <w:u w:val="single"/>
    </w:rPr>
  </w:style>
  <w:style w:type="paragraph" w:styleId="BalloonText">
    <w:name w:val="Balloon Text"/>
    <w:basedOn w:val="Normal"/>
    <w:link w:val="BalloonTextChar"/>
    <w:uiPriority w:val="99"/>
    <w:semiHidden/>
    <w:unhideWhenUsed/>
    <w:rsid w:val="00811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8D0"/>
    <w:rPr>
      <w:rFonts w:ascii="Tahoma" w:hAnsi="Tahoma" w:cs="Tahoma"/>
      <w:sz w:val="16"/>
      <w:szCs w:val="16"/>
    </w:rPr>
  </w:style>
  <w:style w:type="paragraph" w:styleId="Header">
    <w:name w:val="header"/>
    <w:basedOn w:val="Normal"/>
    <w:link w:val="HeaderChar"/>
    <w:uiPriority w:val="99"/>
    <w:unhideWhenUsed/>
    <w:rsid w:val="00640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611"/>
  </w:style>
  <w:style w:type="paragraph" w:styleId="Footer">
    <w:name w:val="footer"/>
    <w:basedOn w:val="Normal"/>
    <w:link w:val="FooterChar"/>
    <w:uiPriority w:val="99"/>
    <w:unhideWhenUsed/>
    <w:rsid w:val="00640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611"/>
  </w:style>
  <w:style w:type="character" w:customStyle="1" w:styleId="Heading1Char">
    <w:name w:val="Heading 1 Char"/>
    <w:basedOn w:val="DefaultParagraphFont"/>
    <w:link w:val="Heading1"/>
    <w:rsid w:val="00F66DDA"/>
    <w:rPr>
      <w:rFonts w:ascii="Times New Roman" w:eastAsia="Times New Roman" w:hAnsi="Times New Roman" w:cs="Times New Roman"/>
      <w:b/>
      <w:bCs/>
      <w:sz w:val="24"/>
      <w:szCs w:val="20"/>
    </w:rPr>
  </w:style>
  <w:style w:type="character" w:styleId="LineNumber">
    <w:name w:val="line number"/>
    <w:basedOn w:val="DefaultParagraphFont"/>
    <w:uiPriority w:val="99"/>
    <w:semiHidden/>
    <w:unhideWhenUsed/>
    <w:rsid w:val="00967BC0"/>
  </w:style>
  <w:style w:type="character" w:styleId="CommentReference">
    <w:name w:val="annotation reference"/>
    <w:basedOn w:val="DefaultParagraphFont"/>
    <w:uiPriority w:val="99"/>
    <w:semiHidden/>
    <w:unhideWhenUsed/>
    <w:rsid w:val="007249C8"/>
    <w:rPr>
      <w:sz w:val="16"/>
      <w:szCs w:val="16"/>
    </w:rPr>
  </w:style>
  <w:style w:type="paragraph" w:styleId="CommentText">
    <w:name w:val="annotation text"/>
    <w:basedOn w:val="Normal"/>
    <w:link w:val="CommentTextChar"/>
    <w:uiPriority w:val="99"/>
    <w:semiHidden/>
    <w:unhideWhenUsed/>
    <w:rsid w:val="007249C8"/>
    <w:pPr>
      <w:spacing w:line="240" w:lineRule="auto"/>
    </w:pPr>
    <w:rPr>
      <w:sz w:val="20"/>
      <w:szCs w:val="20"/>
    </w:rPr>
  </w:style>
  <w:style w:type="character" w:customStyle="1" w:styleId="CommentTextChar">
    <w:name w:val="Comment Text Char"/>
    <w:basedOn w:val="DefaultParagraphFont"/>
    <w:link w:val="CommentText"/>
    <w:uiPriority w:val="99"/>
    <w:semiHidden/>
    <w:rsid w:val="007249C8"/>
    <w:rPr>
      <w:sz w:val="20"/>
      <w:szCs w:val="20"/>
    </w:rPr>
  </w:style>
  <w:style w:type="paragraph" w:styleId="CommentSubject">
    <w:name w:val="annotation subject"/>
    <w:basedOn w:val="CommentText"/>
    <w:next w:val="CommentText"/>
    <w:link w:val="CommentSubjectChar"/>
    <w:uiPriority w:val="99"/>
    <w:semiHidden/>
    <w:unhideWhenUsed/>
    <w:rsid w:val="007249C8"/>
    <w:rPr>
      <w:b/>
      <w:bCs/>
    </w:rPr>
  </w:style>
  <w:style w:type="character" w:customStyle="1" w:styleId="CommentSubjectChar">
    <w:name w:val="Comment Subject Char"/>
    <w:basedOn w:val="CommentTextChar"/>
    <w:link w:val="CommentSubject"/>
    <w:uiPriority w:val="99"/>
    <w:semiHidden/>
    <w:rsid w:val="007249C8"/>
    <w:rPr>
      <w:b/>
      <w:bCs/>
      <w:sz w:val="20"/>
      <w:szCs w:val="20"/>
    </w:rPr>
  </w:style>
  <w:style w:type="table" w:styleId="TableGrid">
    <w:name w:val="Table Grid"/>
    <w:basedOn w:val="TableNormal"/>
    <w:uiPriority w:val="59"/>
    <w:rsid w:val="000A6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136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3674"/>
    <w:rPr>
      <w:sz w:val="20"/>
      <w:szCs w:val="20"/>
    </w:rPr>
  </w:style>
  <w:style w:type="character" w:styleId="FootnoteReference">
    <w:name w:val="footnote reference"/>
    <w:basedOn w:val="DefaultParagraphFont"/>
    <w:uiPriority w:val="99"/>
    <w:semiHidden/>
    <w:unhideWhenUsed/>
    <w:rsid w:val="00413674"/>
    <w:rPr>
      <w:vertAlign w:val="superscript"/>
    </w:rPr>
  </w:style>
  <w:style w:type="paragraph" w:customStyle="1" w:styleId="Default">
    <w:name w:val="Default"/>
    <w:rsid w:val="00EC619B"/>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uiPriority w:val="59"/>
    <w:rsid w:val="00BD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D0"/>
  </w:style>
  <w:style w:type="paragraph" w:styleId="Heading1">
    <w:name w:val="heading 1"/>
    <w:basedOn w:val="Normal"/>
    <w:next w:val="Normal"/>
    <w:link w:val="Heading1Char"/>
    <w:qFormat/>
    <w:rsid w:val="00F66DDA"/>
    <w:pPr>
      <w:keepNext/>
      <w:spacing w:after="0" w:line="480" w:lineRule="auto"/>
      <w:jc w:val="both"/>
      <w:outlineLvl w:val="0"/>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8D0"/>
    <w:pPr>
      <w:ind w:left="720"/>
      <w:contextualSpacing/>
    </w:pPr>
  </w:style>
  <w:style w:type="character" w:styleId="Hyperlink">
    <w:name w:val="Hyperlink"/>
    <w:basedOn w:val="DefaultParagraphFont"/>
    <w:uiPriority w:val="99"/>
    <w:unhideWhenUsed/>
    <w:rsid w:val="008118D0"/>
    <w:rPr>
      <w:color w:val="0000FF" w:themeColor="hyperlink"/>
      <w:u w:val="single"/>
    </w:rPr>
  </w:style>
  <w:style w:type="paragraph" w:styleId="BalloonText">
    <w:name w:val="Balloon Text"/>
    <w:basedOn w:val="Normal"/>
    <w:link w:val="BalloonTextChar"/>
    <w:uiPriority w:val="99"/>
    <w:semiHidden/>
    <w:unhideWhenUsed/>
    <w:rsid w:val="008118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8D0"/>
    <w:rPr>
      <w:rFonts w:ascii="Tahoma" w:hAnsi="Tahoma" w:cs="Tahoma"/>
      <w:sz w:val="16"/>
      <w:szCs w:val="16"/>
    </w:rPr>
  </w:style>
  <w:style w:type="paragraph" w:styleId="Header">
    <w:name w:val="header"/>
    <w:basedOn w:val="Normal"/>
    <w:link w:val="HeaderChar"/>
    <w:uiPriority w:val="99"/>
    <w:unhideWhenUsed/>
    <w:rsid w:val="00640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611"/>
  </w:style>
  <w:style w:type="paragraph" w:styleId="Footer">
    <w:name w:val="footer"/>
    <w:basedOn w:val="Normal"/>
    <w:link w:val="FooterChar"/>
    <w:uiPriority w:val="99"/>
    <w:unhideWhenUsed/>
    <w:rsid w:val="006406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611"/>
  </w:style>
  <w:style w:type="character" w:customStyle="1" w:styleId="Heading1Char">
    <w:name w:val="Heading 1 Char"/>
    <w:basedOn w:val="DefaultParagraphFont"/>
    <w:link w:val="Heading1"/>
    <w:rsid w:val="00F66DDA"/>
    <w:rPr>
      <w:rFonts w:ascii="Times New Roman" w:eastAsia="Times New Roman" w:hAnsi="Times New Roman" w:cs="Times New Roman"/>
      <w:b/>
      <w:bCs/>
      <w:sz w:val="24"/>
      <w:szCs w:val="20"/>
    </w:rPr>
  </w:style>
  <w:style w:type="character" w:styleId="LineNumber">
    <w:name w:val="line number"/>
    <w:basedOn w:val="DefaultParagraphFont"/>
    <w:uiPriority w:val="99"/>
    <w:semiHidden/>
    <w:unhideWhenUsed/>
    <w:rsid w:val="00967BC0"/>
  </w:style>
  <w:style w:type="character" w:styleId="CommentReference">
    <w:name w:val="annotation reference"/>
    <w:basedOn w:val="DefaultParagraphFont"/>
    <w:uiPriority w:val="99"/>
    <w:semiHidden/>
    <w:unhideWhenUsed/>
    <w:rsid w:val="007249C8"/>
    <w:rPr>
      <w:sz w:val="16"/>
      <w:szCs w:val="16"/>
    </w:rPr>
  </w:style>
  <w:style w:type="paragraph" w:styleId="CommentText">
    <w:name w:val="annotation text"/>
    <w:basedOn w:val="Normal"/>
    <w:link w:val="CommentTextChar"/>
    <w:uiPriority w:val="99"/>
    <w:semiHidden/>
    <w:unhideWhenUsed/>
    <w:rsid w:val="007249C8"/>
    <w:pPr>
      <w:spacing w:line="240" w:lineRule="auto"/>
    </w:pPr>
    <w:rPr>
      <w:sz w:val="20"/>
      <w:szCs w:val="20"/>
    </w:rPr>
  </w:style>
  <w:style w:type="character" w:customStyle="1" w:styleId="CommentTextChar">
    <w:name w:val="Comment Text Char"/>
    <w:basedOn w:val="DefaultParagraphFont"/>
    <w:link w:val="CommentText"/>
    <w:uiPriority w:val="99"/>
    <w:semiHidden/>
    <w:rsid w:val="007249C8"/>
    <w:rPr>
      <w:sz w:val="20"/>
      <w:szCs w:val="20"/>
    </w:rPr>
  </w:style>
  <w:style w:type="paragraph" w:styleId="CommentSubject">
    <w:name w:val="annotation subject"/>
    <w:basedOn w:val="CommentText"/>
    <w:next w:val="CommentText"/>
    <w:link w:val="CommentSubjectChar"/>
    <w:uiPriority w:val="99"/>
    <w:semiHidden/>
    <w:unhideWhenUsed/>
    <w:rsid w:val="007249C8"/>
    <w:rPr>
      <w:b/>
      <w:bCs/>
    </w:rPr>
  </w:style>
  <w:style w:type="character" w:customStyle="1" w:styleId="CommentSubjectChar">
    <w:name w:val="Comment Subject Char"/>
    <w:basedOn w:val="CommentTextChar"/>
    <w:link w:val="CommentSubject"/>
    <w:uiPriority w:val="99"/>
    <w:semiHidden/>
    <w:rsid w:val="007249C8"/>
    <w:rPr>
      <w:b/>
      <w:bCs/>
      <w:sz w:val="20"/>
      <w:szCs w:val="20"/>
    </w:rPr>
  </w:style>
  <w:style w:type="table" w:styleId="TableGrid">
    <w:name w:val="Table Grid"/>
    <w:basedOn w:val="TableNormal"/>
    <w:uiPriority w:val="59"/>
    <w:rsid w:val="000A6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136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3674"/>
    <w:rPr>
      <w:sz w:val="20"/>
      <w:szCs w:val="20"/>
    </w:rPr>
  </w:style>
  <w:style w:type="character" w:styleId="FootnoteReference">
    <w:name w:val="footnote reference"/>
    <w:basedOn w:val="DefaultParagraphFont"/>
    <w:uiPriority w:val="99"/>
    <w:semiHidden/>
    <w:unhideWhenUsed/>
    <w:rsid w:val="00413674"/>
    <w:rPr>
      <w:vertAlign w:val="superscript"/>
    </w:rPr>
  </w:style>
  <w:style w:type="paragraph" w:customStyle="1" w:styleId="Default">
    <w:name w:val="Default"/>
    <w:rsid w:val="00EC619B"/>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3">
    <w:name w:val="Table Grid3"/>
    <w:basedOn w:val="TableNormal"/>
    <w:uiPriority w:val="59"/>
    <w:rsid w:val="00BD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dboehm@BKLlawfirm.com" TargetMode="External"/><Relationship Id="rId26" Type="http://schemas.openxmlformats.org/officeDocument/2006/relationships/hyperlink" Target="mailto:haydenm@firstenergycorp.com" TargetMode="External"/><Relationship Id="rId39" Type="http://schemas.openxmlformats.org/officeDocument/2006/relationships/hyperlink" Target="mailto:fdarr@mwncmh.com" TargetMode="External"/><Relationship Id="rId21" Type="http://schemas.openxmlformats.org/officeDocument/2006/relationships/hyperlink" Target="mailto:Steven.beeler@puc.state.oh.us" TargetMode="External"/><Relationship Id="rId34" Type="http://schemas.openxmlformats.org/officeDocument/2006/relationships/hyperlink" Target="mailto:ghull@eckertseamans.com" TargetMode="External"/><Relationship Id="rId42" Type="http://schemas.openxmlformats.org/officeDocument/2006/relationships/hyperlink" Target="mailto:mjsatterwhite@aep.com" TargetMode="External"/><Relationship Id="rId47" Type="http://schemas.openxmlformats.org/officeDocument/2006/relationships/hyperlink" Target="mailto:asonderman@keglerbrown.com" TargetMode="External"/><Relationship Id="rId50" Type="http://schemas.openxmlformats.org/officeDocument/2006/relationships/hyperlink" Target="mailto:Hussey@carpenterlipps.com" TargetMode="External"/><Relationship Id="rId55" Type="http://schemas.openxmlformats.org/officeDocument/2006/relationships/hyperlink" Target="mailto:dmason@ralaw.com"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Rocco.D&#8217;Ascenzo@duke-energy.com" TargetMode="External"/><Relationship Id="rId25" Type="http://schemas.openxmlformats.org/officeDocument/2006/relationships/hyperlink" Target="mailto:schmidt@sppgrp.com" TargetMode="External"/><Relationship Id="rId33" Type="http://schemas.openxmlformats.org/officeDocument/2006/relationships/hyperlink" Target="mailto:Mohler@carpenterlipps.com" TargetMode="External"/><Relationship Id="rId38" Type="http://schemas.openxmlformats.org/officeDocument/2006/relationships/hyperlink" Target="mailto:sam@mwncmh.com" TargetMode="External"/><Relationship Id="rId46" Type="http://schemas.openxmlformats.org/officeDocument/2006/relationships/hyperlink" Target="mailto:toddm@wamenergylaw.com"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eanne.Kingery@duke-energy.com" TargetMode="External"/><Relationship Id="rId20" Type="http://schemas.openxmlformats.org/officeDocument/2006/relationships/hyperlink" Target="mailto:jkylercohn@BKLlawfirm.com" TargetMode="External"/><Relationship Id="rId29" Type="http://schemas.openxmlformats.org/officeDocument/2006/relationships/hyperlink" Target="mailto:Joseph.serio@occ.ohio.gov" TargetMode="External"/><Relationship Id="rId41" Type="http://schemas.openxmlformats.org/officeDocument/2006/relationships/hyperlink" Target="mailto:stnourse@aep.com" TargetMode="External"/><Relationship Id="rId54" Type="http://schemas.openxmlformats.org/officeDocument/2006/relationships/hyperlink" Target="mailto:swilliams@nrdc.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Judi.sobecki@aes.com" TargetMode="External"/><Relationship Id="rId32" Type="http://schemas.openxmlformats.org/officeDocument/2006/relationships/hyperlink" Target="mailto:Bojko@carpenterlipps.com" TargetMode="External"/><Relationship Id="rId37" Type="http://schemas.openxmlformats.org/officeDocument/2006/relationships/hyperlink" Target="mailto:cloucas@ohiopartners.org" TargetMode="External"/><Relationship Id="rId40" Type="http://schemas.openxmlformats.org/officeDocument/2006/relationships/hyperlink" Target="mailto:mpritchard@mwncmh.com" TargetMode="External"/><Relationship Id="rId45" Type="http://schemas.openxmlformats.org/officeDocument/2006/relationships/hyperlink" Target="mailto:callwein@wamenergylaw.com" TargetMode="External"/><Relationship Id="rId53" Type="http://schemas.openxmlformats.org/officeDocument/2006/relationships/hyperlink" Target="mailto:tobrien@bricker.com" TargetMode="External"/><Relationship Id="rId58"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Elizabeth.Watts@duke-energy.com" TargetMode="External"/><Relationship Id="rId23" Type="http://schemas.openxmlformats.org/officeDocument/2006/relationships/hyperlink" Target="mailto:Ryan.orouke@puc.state.oh.us" TargetMode="External"/><Relationship Id="rId28" Type="http://schemas.openxmlformats.org/officeDocument/2006/relationships/hyperlink" Target="mailto:Maureen.grady@occ.ohio.gov" TargetMode="External"/><Relationship Id="rId36" Type="http://schemas.openxmlformats.org/officeDocument/2006/relationships/hyperlink" Target="mailto:cmooney@ohiopartners.org" TargetMode="External"/><Relationship Id="rId49" Type="http://schemas.openxmlformats.org/officeDocument/2006/relationships/hyperlink" Target="mailto:dhart@douglasehart.com" TargetMode="External"/><Relationship Id="rId57" Type="http://schemas.openxmlformats.org/officeDocument/2006/relationships/hyperlink" Target="mailto:rchamberlain@okenergylaw.com" TargetMode="External"/><Relationship Id="rId10" Type="http://schemas.openxmlformats.org/officeDocument/2006/relationships/webSettings" Target="webSettings.xml"/><Relationship Id="rId19" Type="http://schemas.openxmlformats.org/officeDocument/2006/relationships/hyperlink" Target="mailto:mkurtz@BKLlawfirm.com" TargetMode="External"/><Relationship Id="rId31" Type="http://schemas.openxmlformats.org/officeDocument/2006/relationships/hyperlink" Target="mailto:MHPetricoff@vorys.com" TargetMode="External"/><Relationship Id="rId44" Type="http://schemas.openxmlformats.org/officeDocument/2006/relationships/hyperlink" Target="mailto:tdougherty@theOEC.org" TargetMode="External"/><Relationship Id="rId52" Type="http://schemas.openxmlformats.org/officeDocument/2006/relationships/hyperlink" Target="mailto:jvickers@elpc.org"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my.Spiller@duke-energy.com" TargetMode="External"/><Relationship Id="rId22" Type="http://schemas.openxmlformats.org/officeDocument/2006/relationships/hyperlink" Target="mailto:Thomas.lindgren@puc.state.oh.us" TargetMode="External"/><Relationship Id="rId27" Type="http://schemas.openxmlformats.org/officeDocument/2006/relationships/hyperlink" Target="mailto:jmcdermott@firstenergycorp.com" TargetMode="External"/><Relationship Id="rId30" Type="http://schemas.openxmlformats.org/officeDocument/2006/relationships/hyperlink" Target="mailto:Edmund.berger@occ.ohio.gov" TargetMode="External"/><Relationship Id="rId35" Type="http://schemas.openxmlformats.org/officeDocument/2006/relationships/hyperlink" Target="mailto:joseph.clark@directenergy.com" TargetMode="External"/><Relationship Id="rId43" Type="http://schemas.openxmlformats.org/officeDocument/2006/relationships/hyperlink" Target="mailto:yalami@aep.com" TargetMode="External"/><Relationship Id="rId48" Type="http://schemas.openxmlformats.org/officeDocument/2006/relationships/hyperlink" Target="mailto:mkimbrough@keglerbrown.com" TargetMode="External"/><Relationship Id="rId56" Type="http://schemas.openxmlformats.org/officeDocument/2006/relationships/hyperlink" Target="mailto:mtraven@ralaw.com" TargetMode="External"/><Relationship Id="rId8" Type="http://schemas.microsoft.com/office/2007/relationships/stylesWithEffects" Target="stylesWithEffects.xml"/><Relationship Id="rId51" Type="http://schemas.openxmlformats.org/officeDocument/2006/relationships/hyperlink" Target="mailto:gpoulos@enernoc.com"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duke-energy.com/underground/" TargetMode="External"/><Relationship Id="rId1" Type="http://schemas.openxmlformats.org/officeDocument/2006/relationships/hyperlink" Target="http://www.duke-energy.com/strikes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tility xmlns="fedb4aab-8a55-4ee1-8a65-7fced8ef9b4a">37</Utility>
    <Case_x0020_Description xmlns="fedb4aab-8a55-4ee1-8a65-7fced8ef9b4a">Case No. 13-2385-EL-SSO</Case_x0020_Description>
    <State xmlns="fedb4aab-8a55-4ee1-8a65-7fced8ef9b4a">
      <Value>Ohio</Value>
    </State>
    <_dlc_DocId xmlns="9a7fcd12-a304-4f5c-8906-7eefc0f485bf">6AY4FRT6M45F-16-97</_dlc_DocId>
    <_dlc_DocIdUrl xmlns="9a7fcd12-a304-4f5c-8906-7eefc0f485bf">
      <Url>http://igsnow/department/Legal/Regulatory/_layouts/DocIdRedir.aspx?ID=6AY4FRT6M45F-16-97</Url>
      <Description>6AY4FRT6M45F-16-97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74D15D4E26974A9E35D32B56D922AD" ma:contentTypeVersion="3" ma:contentTypeDescription="Create a new document." ma:contentTypeScope="" ma:versionID="0a2081eb7e7d5f514e5f39807464b4ea">
  <xsd:schema xmlns:xsd="http://www.w3.org/2001/XMLSchema" xmlns:xs="http://www.w3.org/2001/XMLSchema" xmlns:p="http://schemas.microsoft.com/office/2006/metadata/properties" xmlns:ns2="9a7fcd12-a304-4f5c-8906-7eefc0f485bf" xmlns:ns3="fedb4aab-8a55-4ee1-8a65-7fced8ef9b4a" targetNamespace="http://schemas.microsoft.com/office/2006/metadata/properties" ma:root="true" ma:fieldsID="82e21bf6ed7c55ee2f473c97bb620282" ns2:_="" ns3:_="">
    <xsd:import namespace="9a7fcd12-a304-4f5c-8906-7eefc0f485bf"/>
    <xsd:import namespace="fedb4aab-8a55-4ee1-8a65-7fced8ef9b4a"/>
    <xsd:element name="properties">
      <xsd:complexType>
        <xsd:sequence>
          <xsd:element name="documentManagement">
            <xsd:complexType>
              <xsd:all>
                <xsd:element ref="ns2:_dlc_DocId" minOccurs="0"/>
                <xsd:element ref="ns2:_dlc_DocIdUrl" minOccurs="0"/>
                <xsd:element ref="ns2:_dlc_DocIdPersistId" minOccurs="0"/>
                <xsd:element ref="ns3:Utility" minOccurs="0"/>
                <xsd:element ref="ns3:State" minOccurs="0"/>
                <xsd:element ref="ns3:Case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fcd12-a304-4f5c-8906-7eefc0f485b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edb4aab-8a55-4ee1-8a65-7fced8ef9b4a" elementFormDefault="qualified">
    <xsd:import namespace="http://schemas.microsoft.com/office/2006/documentManagement/types"/>
    <xsd:import namespace="http://schemas.microsoft.com/office/infopath/2007/PartnerControls"/>
    <xsd:element name="Utility" ma:index="11" nillable="true" ma:displayName="Utility" ma:list="{2c4c9be8-dee3-4175-aa57-3ce7a97e2a70}" ma:internalName="Utility" ma:showField="Service">
      <xsd:simpleType>
        <xsd:restriction base="dms:Lookup"/>
      </xsd:simpleType>
    </xsd:element>
    <xsd:element name="State" ma:index="12" nillable="true" ma:displayName="State" ma:internalName="State">
      <xsd:complexType>
        <xsd:complexContent>
          <xsd:extension base="dms:MultiChoice">
            <xsd:sequence>
              <xsd:element name="Value" maxOccurs="unbounded" minOccurs="0" nillable="true">
                <xsd:simpleType>
                  <xsd:restriction base="dms:Choice">
                    <xsd:enumeration value="California"/>
                    <xsd:enumeration value="D.C."/>
                    <xsd:enumeration value="Illinois"/>
                    <xsd:enumeration value="Indiana"/>
                    <xsd:enumeration value="Kentucky"/>
                    <xsd:enumeration value="Maryland"/>
                    <xsd:enumeration value="Michigan"/>
                    <xsd:enumeration value="New York"/>
                    <xsd:enumeration value="Ohio"/>
                    <xsd:enumeration value="Pennsylvania"/>
                    <xsd:enumeration value="Virginia"/>
                    <xsd:enumeration value="Texas"/>
                  </xsd:restriction>
                </xsd:simpleType>
              </xsd:element>
            </xsd:sequence>
          </xsd:extension>
        </xsd:complexContent>
      </xsd:complexType>
    </xsd:element>
    <xsd:element name="Case_x0020_Description" ma:index="13" nillable="true" ma:displayName="Case Description" ma:internalName="Case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33C1D-0944-4BBF-A5E2-2DC4FE6504F4}">
  <ds:schemaRefs>
    <ds:schemaRef ds:uri="http://schemas.microsoft.com/office/2006/documentManagement/types"/>
    <ds:schemaRef ds:uri="http://www.w3.org/XML/1998/namespace"/>
    <ds:schemaRef ds:uri="fedb4aab-8a55-4ee1-8a65-7fced8ef9b4a"/>
    <ds:schemaRef ds:uri="http://purl.org/dc/terms/"/>
    <ds:schemaRef ds:uri="http://schemas.microsoft.com/office/infopath/2007/PartnerControls"/>
    <ds:schemaRef ds:uri="http://purl.org/dc/elements/1.1/"/>
    <ds:schemaRef ds:uri="9a7fcd12-a304-4f5c-8906-7eefc0f485bf"/>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496DDEB-DF0A-495A-8A59-57D4A8902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fcd12-a304-4f5c-8906-7eefc0f485bf"/>
    <ds:schemaRef ds:uri="fedb4aab-8a55-4ee1-8a65-7fced8ef9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7DFA8-B24E-49E0-9EFD-7DA5497B6344}">
  <ds:schemaRefs>
    <ds:schemaRef ds:uri="http://schemas.microsoft.com/sharepoint/v3/contenttype/forms"/>
  </ds:schemaRefs>
</ds:datastoreItem>
</file>

<file path=customXml/itemProps4.xml><?xml version="1.0" encoding="utf-8"?>
<ds:datastoreItem xmlns:ds="http://schemas.openxmlformats.org/officeDocument/2006/customXml" ds:itemID="{CD91E00A-AC93-43A3-BDB4-BEEA776E5AFC}">
  <ds:schemaRefs>
    <ds:schemaRef ds:uri="http://schemas.microsoft.com/sharepoint/events"/>
  </ds:schemaRefs>
</ds:datastoreItem>
</file>

<file path=customXml/itemProps5.xml><?xml version="1.0" encoding="utf-8"?>
<ds:datastoreItem xmlns:ds="http://schemas.openxmlformats.org/officeDocument/2006/customXml" ds:itemID="{AE334599-985C-4927-9B80-CE5E7717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6981</Words>
  <Characters>39795</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Matt White Direct Testimony FINAL</vt:lpstr>
    </vt:vector>
  </TitlesOfParts>
  <Company>IGS Energy, Inc</Company>
  <LinksUpToDate>false</LinksUpToDate>
  <CharactersWithSpaces>46683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 White Direct Testimony FINAL</dc:title>
  <dc:creator>IGS Energy, Inc</dc:creator>
  <cp:lastModifiedBy>IMAGE</cp:lastModifiedBy>
  <cp:revision>2</cp:revision>
  <cp:lastPrinted>2014-09-26T20:05:00Z</cp:lastPrinted>
  <dcterms:created xsi:type="dcterms:W3CDTF">2014-09-26T20:43:00Z</dcterms:created>
  <dcterms:modified xsi:type="dcterms:W3CDTF">2014-09-26T20:43:00Z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0x010100ED74D15D4E26974A9E35D32B56D922AD</vt:lpwstr>
  </property>
  <property fmtid="{D5CDD505-2E9C-101B-9397-08002B2CF9AE}" pid="3" name="_dlc_DocIdItemGuid">
    <vt:lpwstr>65fcab9c-4fcb-4e35-ad58-658b09ea7c33</vt:lpwstr>
  </property>
</Properties>
</file>