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10" w:rsidRDefault="004B291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page">
              <wp:posOffset>371475</wp:posOffset>
            </wp:positionH>
            <wp:positionV relativeFrom="page">
              <wp:posOffset>600075</wp:posOffset>
            </wp:positionV>
            <wp:extent cx="2912745" cy="733425"/>
            <wp:effectExtent l="0" t="0" r="0" b="0"/>
            <wp:wrapNone/>
            <wp:docPr id="6" name="Picture 6" descr="McNees_email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Nees_email_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10" w:rsidRDefault="004B291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page">
              <wp:posOffset>575945</wp:posOffset>
            </wp:positionH>
            <wp:positionV relativeFrom="page">
              <wp:posOffset>1490345</wp:posOffset>
            </wp:positionV>
            <wp:extent cx="2379980" cy="297180"/>
            <wp:effectExtent l="0" t="0" r="0" b="0"/>
            <wp:wrapSquare wrapText="bothSides"/>
            <wp:docPr id="7" name="Picture 7" descr="Colum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umb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10" w:rsidRDefault="004B2910">
      <w:pPr>
        <w:rPr>
          <w:b/>
          <w:bCs/>
        </w:rPr>
      </w:pPr>
    </w:p>
    <w:p w:rsidR="004B2910" w:rsidRPr="004B2910" w:rsidRDefault="00000C71" w:rsidP="004B2910">
      <w:pPr>
        <w:spacing w:line="240" w:lineRule="auto"/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-462280</wp:posOffset>
                </wp:positionV>
                <wp:extent cx="9525" cy="95375095"/>
                <wp:effectExtent l="40005" t="46355" r="45720" b="38100"/>
                <wp:wrapNone/>
                <wp:docPr id="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9525" cy="953750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41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5.1pt;margin-top:-36.4pt;width:.75pt;height:7509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ukNwIAAF0EAAAOAAAAZHJzL2Uyb0RvYy54bWysVE2P2yAQvVfqf0Dcs7azzpcVZxXZSXvY&#10;tivt9gcQwDEqBgQkTlT1v3cg3nTTXqqqFzzAzJs3Mw8vH06dREdundCqxNldihFXVDOh9iX++rId&#10;zTFynihGpFa8xGfu8MPq/btlbwo+1q2WjFsEIMoVvSlx670pksTRlnfE3WnDFVw22nbEw9buE2ZJ&#10;D+idTMZpOk16bZmxmnLn4LS+XOJVxG8aTv2XpnHcI1li4ObjauO6C2uyWpJib4lpBR1okH9g0RGh&#10;IOkVqiaeoIMVf0B1glrtdOPvqO4S3TSC8lgDVJOlv1Xz3BLDYy3QHGeubXL/D5Z+Pj5ZJFiJFxgp&#10;0sGI1gevY2Y0D+3pjSvAq1JPNhRIT+rZPGr6zSGlq5aoPV87A32G6QPCcBTjX84G4LIAktyghI0z&#10;kHfXf9IMfAikjO07NbZDjRTmYwgM+aBF6BTndb7Oi588onC4mIwnGFG4WEzuZ5N0MYm5SBFgQrCx&#10;zn/gukPBKLHzloh96yutFDDW9pKCHB+dDyR/BYRgpbdCyigQqVBf4tkUFBdJOS0FC7fBz9n9rpIW&#10;HQlorMqz8X2UFaDduFl9UCyitZywzWB7IuTFBn+pAh5UB3wG6yKi74t0sZlv5vkoH083ozyt69F6&#10;W+Wj6TabTer7uqrq7EegluVFKxjjKrB7FXSW/51ghqd1keJV0tc+JLfosWFA9vUbScdBh9lehLPT&#10;7PxkXwUAGo7Ow3sLj+TtHuy3f4XVTwAAAP//AwBQSwMEFAAGAAgAAAAhAMwMIQHjAAAADQEAAA8A&#10;AABkcnMvZG93bnJldi54bWxMj8FOg0AQhu8mvsNmTLzRBUIoUJbGaPTQA6a1xusWtkDKzpLdbYs+&#10;vdOT3mYyX/75/nI965FdlHWDQQHRIgSmsDHtgJ2A/cdrkAFzXmIrR4NKwLdysK7u70pZtOaKW3XZ&#10;+Y5RCLpCCui9nwrOXdMrLd3CTArpdjRWS0+r7Xhr5ZXC9cjjMEy5lgPSh15O6rlXzWl31gLqJPq0&#10;bz+bPMr2X3W90Ufzgu9CPD7MTytgXs3+D4abPqlDRU4Hc8bWsVFAsAxjQm9DTB2ICNJsCexAaJIn&#10;aQ68Kvn/FtUvAAAA//8DAFBLAQItABQABgAIAAAAIQC2gziS/gAAAOEBAAATAAAAAAAAAAAAAAAA&#10;AAAAAABbQ29udGVudF9UeXBlc10ueG1sUEsBAi0AFAAGAAgAAAAhADj9If/WAAAAlAEAAAsAAAAA&#10;AAAAAAAAAAAALwEAAF9yZWxzLy5yZWxzUEsBAi0AFAAGAAgAAAAhAGzV26Q3AgAAXQQAAA4AAAAA&#10;AAAAAAAAAAAALgIAAGRycy9lMm9Eb2MueG1sUEsBAi0AFAAGAAgAAAAhAMwMIQHjAAAADQEAAA8A&#10;AAAAAAAAAAAAAAAAkQQAAGRycy9kb3ducmV2LnhtbFBLBQYAAAAABAAEAPMAAAChBQAAAAA=&#10;" strokecolor="#c41230" strokeweight="6pt">
                <o:lock v:ext="edit" aspectratio="t"/>
              </v:shape>
            </w:pict>
          </mc:Fallback>
        </mc:AlternateContent>
      </w:r>
      <w:r w:rsidR="00575BDC">
        <w:rPr>
          <w:rFonts w:cs="Arial"/>
        </w:rPr>
        <w:t>October 1</w:t>
      </w:r>
      <w:r w:rsidR="004B2910">
        <w:rPr>
          <w:rFonts w:cs="Arial"/>
        </w:rPr>
        <w:t>, 2013</w:t>
      </w:r>
    </w:p>
    <w:p w:rsidR="004B2910" w:rsidRPr="004B2910" w:rsidRDefault="004B2910" w:rsidP="004B2910">
      <w:pPr>
        <w:tabs>
          <w:tab w:val="left" w:pos="4176"/>
          <w:tab w:val="left" w:pos="4896"/>
        </w:tabs>
        <w:spacing w:line="240" w:lineRule="auto"/>
        <w:ind w:right="936"/>
        <w:jc w:val="left"/>
        <w:rPr>
          <w:rFonts w:cs="Arial"/>
        </w:rPr>
      </w:pPr>
    </w:p>
    <w:p w:rsidR="004B2910" w:rsidRPr="004B2910" w:rsidRDefault="004B2910" w:rsidP="004B2910">
      <w:pPr>
        <w:tabs>
          <w:tab w:val="left" w:pos="4176"/>
          <w:tab w:val="left" w:pos="4896"/>
        </w:tabs>
        <w:spacing w:line="240" w:lineRule="auto"/>
        <w:ind w:right="936"/>
        <w:jc w:val="left"/>
        <w:rPr>
          <w:rFonts w:cs="Arial"/>
        </w:rPr>
      </w:pPr>
    </w:p>
    <w:p w:rsidR="004B2910" w:rsidRPr="004B2910" w:rsidRDefault="004B2910" w:rsidP="004B2910">
      <w:pPr>
        <w:tabs>
          <w:tab w:val="left" w:pos="4176"/>
          <w:tab w:val="left" w:pos="4896"/>
        </w:tabs>
        <w:spacing w:line="240" w:lineRule="auto"/>
        <w:ind w:right="936"/>
        <w:jc w:val="left"/>
        <w:rPr>
          <w:rFonts w:cs="Arial"/>
        </w:rPr>
      </w:pPr>
    </w:p>
    <w:p w:rsidR="004B2910" w:rsidRPr="004B2910" w:rsidRDefault="004B2910" w:rsidP="004B2910">
      <w:pPr>
        <w:keepNext/>
        <w:spacing w:line="240" w:lineRule="auto"/>
        <w:outlineLvl w:val="1"/>
        <w:rPr>
          <w:rFonts w:cs="Arial"/>
          <w:szCs w:val="20"/>
        </w:rPr>
      </w:pPr>
      <w:r w:rsidRPr="004B2910">
        <w:rPr>
          <w:rFonts w:cs="Arial"/>
          <w:szCs w:val="20"/>
        </w:rPr>
        <w:t>Barcy McNeal</w:t>
      </w:r>
    </w:p>
    <w:p w:rsidR="004B2910" w:rsidRPr="004B2910" w:rsidRDefault="004B2910" w:rsidP="004B2910">
      <w:pPr>
        <w:spacing w:line="240" w:lineRule="auto"/>
        <w:rPr>
          <w:rFonts w:cs="Arial"/>
        </w:rPr>
      </w:pPr>
      <w:r w:rsidRPr="004B2910">
        <w:rPr>
          <w:rFonts w:cs="Arial"/>
        </w:rPr>
        <w:t>Secretary, Docketing Division</w:t>
      </w:r>
    </w:p>
    <w:p w:rsidR="004B2910" w:rsidRPr="004B2910" w:rsidRDefault="004B2910" w:rsidP="004B2910">
      <w:pPr>
        <w:spacing w:line="240" w:lineRule="auto"/>
        <w:rPr>
          <w:rFonts w:cs="Arial"/>
        </w:rPr>
      </w:pPr>
      <w:r w:rsidRPr="004B2910">
        <w:rPr>
          <w:rFonts w:cs="Arial"/>
        </w:rPr>
        <w:t xml:space="preserve">Public Utilities Commission of Ohio </w:t>
      </w:r>
    </w:p>
    <w:p w:rsidR="004B2910" w:rsidRPr="004B2910" w:rsidRDefault="004B2910" w:rsidP="004B2910">
      <w:pPr>
        <w:spacing w:line="240" w:lineRule="auto"/>
        <w:rPr>
          <w:rFonts w:cs="Arial"/>
        </w:rPr>
      </w:pPr>
      <w:r w:rsidRPr="004B2910">
        <w:rPr>
          <w:rFonts w:cs="Arial"/>
        </w:rPr>
        <w:t>180 East Broad Street</w:t>
      </w:r>
    </w:p>
    <w:p w:rsidR="004B2910" w:rsidRPr="004B2910" w:rsidRDefault="004B2910" w:rsidP="004B2910">
      <w:pPr>
        <w:spacing w:line="240" w:lineRule="auto"/>
        <w:rPr>
          <w:rFonts w:cs="Arial"/>
        </w:rPr>
      </w:pPr>
      <w:r w:rsidRPr="004B2910">
        <w:rPr>
          <w:rFonts w:cs="Arial"/>
        </w:rPr>
        <w:t>Columbus, Ohio 43215</w:t>
      </w:r>
    </w:p>
    <w:p w:rsidR="004B2910" w:rsidRPr="004B2910" w:rsidRDefault="004B2910" w:rsidP="004B2910">
      <w:pPr>
        <w:spacing w:line="240" w:lineRule="auto"/>
        <w:rPr>
          <w:rFonts w:cs="Arial"/>
        </w:rPr>
      </w:pPr>
    </w:p>
    <w:p w:rsidR="00261F80" w:rsidRDefault="003579DD">
      <w:pPr>
        <w:rPr>
          <w:b/>
          <w:bCs/>
        </w:rPr>
      </w:pPr>
      <w:r>
        <w:rPr>
          <w:b/>
          <w:bCs/>
        </w:rPr>
        <w:t>Re: Case No. 13-0320-GA-UEX</w:t>
      </w:r>
    </w:p>
    <w:p w:rsidR="00261F80" w:rsidRDefault="003579DD">
      <w:r>
        <w:t xml:space="preserve">Dear Secretary </w:t>
      </w:r>
      <w:r w:rsidR="004B2910">
        <w:t>McNeal</w:t>
      </w:r>
      <w:r>
        <w:t>:</w:t>
      </w:r>
    </w:p>
    <w:p w:rsidR="00261F80" w:rsidRDefault="003579DD">
      <w:pPr>
        <w:spacing w:line="240" w:lineRule="auto"/>
      </w:pPr>
      <w:r>
        <w:tab/>
        <w:t>On September 20, 2013, Deloitte &amp; Touche LLP (“D&amp;T”) filed its Audit Report regarding Vectren</w:t>
      </w:r>
      <w:r w:rsidR="004B2910">
        <w:t xml:space="preserve"> Energy Delivery of Ohio, Inc.’s</w:t>
      </w:r>
      <w:r>
        <w:t xml:space="preserve"> (“VEDO”) uncollectible expense </w:t>
      </w:r>
      <w:r w:rsidR="004B2910">
        <w:t xml:space="preserve">(“UEX”) </w:t>
      </w:r>
      <w:r>
        <w:t>rider.</w:t>
      </w:r>
      <w:r w:rsidR="004B2910">
        <w:t xml:space="preserve"> </w:t>
      </w:r>
      <w:r>
        <w:t xml:space="preserve"> In its report, D&amp;T reported the following regarding its audit of the bad debts written off by VEDO during the period April 1, 2012 to March 31, 2013: </w:t>
      </w:r>
    </w:p>
    <w:p w:rsidR="00261F80" w:rsidRDefault="00261F80">
      <w:pPr>
        <w:spacing w:line="240" w:lineRule="auto"/>
      </w:pPr>
    </w:p>
    <w:p w:rsidR="00261F80" w:rsidRDefault="003579DD" w:rsidP="004B2910">
      <w:pPr>
        <w:pStyle w:val="ListParagraph"/>
        <w:numPr>
          <w:ilvl w:val="0"/>
          <w:numId w:val="9"/>
        </w:numPr>
        <w:spacing w:line="240" w:lineRule="auto"/>
        <w:ind w:left="1440" w:hanging="720"/>
      </w:pPr>
      <w:r>
        <w:t>D&amp;T noted that a customer balance of $16.06 was written off in September 2012; however, the balance was eligible to be written off in May 2010.</w:t>
      </w:r>
      <w:r w:rsidR="004B2910">
        <w:t xml:space="preserve"> </w:t>
      </w:r>
      <w:r>
        <w:t xml:space="preserve"> D&amp;T noted that the account was tagged as a PIPP-exempt account, and as such was not written off timely. </w:t>
      </w:r>
      <w:r w:rsidR="004B2910">
        <w:t xml:space="preserve"> </w:t>
      </w:r>
      <w:r>
        <w:t>While this customer was a PIPP customer, D&amp;T noted that this balance was not a PIPP balance and</w:t>
      </w:r>
      <w:r w:rsidR="004B2910">
        <w:t>,</w:t>
      </w:r>
      <w:r>
        <w:t xml:space="preserve"> as such, was eligible for write-off and inclusion in the UEX.</w:t>
      </w:r>
      <w:r w:rsidR="004B2910">
        <w:t xml:space="preserve"> </w:t>
      </w:r>
      <w:r>
        <w:t xml:space="preserve"> D&amp;T further noted that in 2012, VEDO’s management initiated a new report to isolate and correct this type of balance. </w:t>
      </w:r>
      <w:r w:rsidR="004B2910">
        <w:t xml:space="preserve"> </w:t>
      </w:r>
      <w:r>
        <w:t>Once isolated, the balance was appropriately included in the write-off mechanism.</w:t>
      </w:r>
    </w:p>
    <w:p w:rsidR="00261F80" w:rsidRDefault="00261F80">
      <w:pPr>
        <w:pStyle w:val="ListParagraph"/>
        <w:spacing w:line="240" w:lineRule="auto"/>
      </w:pPr>
    </w:p>
    <w:p w:rsidR="00000C71" w:rsidRDefault="003579DD" w:rsidP="004B2910">
      <w:pPr>
        <w:pStyle w:val="ListParagraph"/>
        <w:numPr>
          <w:ilvl w:val="0"/>
          <w:numId w:val="9"/>
        </w:numPr>
        <w:spacing w:line="240" w:lineRule="auto"/>
        <w:ind w:left="1440" w:hanging="720"/>
        <w:rPr>
          <w:rFonts w:cs="Arial"/>
        </w:rPr>
      </w:pPr>
      <w:r>
        <w:t>D&amp;T noted that a customer balance of $99.55 was recalled in May 2012 and the balance was appropriately recalled from the UEX mechanism in May; however, this balance was initially</w:t>
      </w:r>
      <w:r w:rsidR="004B2910">
        <w:t xml:space="preserve"> written off in March 2012 and</w:t>
      </w:r>
      <w:r>
        <w:t xml:space="preserve"> was eligible to be written off in July 2010. </w:t>
      </w:r>
      <w:r w:rsidR="004B2910">
        <w:t xml:space="preserve"> </w:t>
      </w:r>
      <w:r>
        <w:t xml:space="preserve">The account was tagged as </w:t>
      </w:r>
      <w:r w:rsidR="004B2910">
        <w:t>a PIPP-exempt account</w:t>
      </w:r>
      <w:r>
        <w:t xml:space="preserve"> and</w:t>
      </w:r>
      <w:r w:rsidR="004B2910">
        <w:t>,</w:t>
      </w:r>
      <w:r>
        <w:t xml:space="preserve"> as such</w:t>
      </w:r>
      <w:r w:rsidR="004B2910">
        <w:t>,</w:t>
      </w:r>
      <w:r>
        <w:t xml:space="preserve"> was not written off timely.</w:t>
      </w:r>
      <w:r w:rsidR="004B2910">
        <w:t xml:space="preserve"> </w:t>
      </w:r>
      <w:r>
        <w:t xml:space="preserve"> While this customer was a PIPP customer, D&amp;T noted that this balance was not a PIPP balance and</w:t>
      </w:r>
      <w:r w:rsidR="004B2910">
        <w:t>,</w:t>
      </w:r>
      <w:r>
        <w:t xml:space="preserve"> as such, was eligible for write-off and inclusion in the UEX. </w:t>
      </w:r>
      <w:r w:rsidR="004B2910">
        <w:t xml:space="preserve"> </w:t>
      </w:r>
      <w:r>
        <w:t>D&amp;T further noted that in 2012, VEDO’s management initiated a new report to isolate and correct this type of balance</w:t>
      </w:r>
      <w:r>
        <w:rPr>
          <w:rFonts w:cs="Arial"/>
        </w:rPr>
        <w:t>. Once isolated, the balance was appropriately included in the write-off mechanism.</w:t>
      </w:r>
    </w:p>
    <w:p w:rsidR="00000C71" w:rsidRDefault="00000C71">
      <w:pPr>
        <w:spacing w:after="12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4B2910" w:rsidRPr="004B2910" w:rsidRDefault="004B2910" w:rsidP="004B2910">
      <w:pPr>
        <w:pStyle w:val="BodyText"/>
        <w:tabs>
          <w:tab w:val="clear" w:pos="4176"/>
          <w:tab w:val="clear" w:pos="4896"/>
        </w:tabs>
        <w:ind w:right="0"/>
      </w:pPr>
      <w:r w:rsidRPr="004B2910">
        <w:lastRenderedPageBreak/>
        <w:t>Barcy McNeal</w:t>
      </w:r>
    </w:p>
    <w:p w:rsidR="004B2910" w:rsidRPr="004B2910" w:rsidRDefault="00575BDC" w:rsidP="004B2910">
      <w:pPr>
        <w:pStyle w:val="BodyText"/>
        <w:tabs>
          <w:tab w:val="clear" w:pos="4176"/>
          <w:tab w:val="clear" w:pos="4896"/>
        </w:tabs>
        <w:ind w:right="0"/>
      </w:pPr>
      <w:r>
        <w:t>October 1</w:t>
      </w:r>
      <w:bookmarkStart w:id="0" w:name="_GoBack"/>
      <w:bookmarkEnd w:id="0"/>
      <w:r w:rsidR="004B2910">
        <w:t>, 2013</w:t>
      </w:r>
    </w:p>
    <w:p w:rsidR="004B2910" w:rsidRPr="004B2910" w:rsidRDefault="004B2910" w:rsidP="004B2910">
      <w:pPr>
        <w:pStyle w:val="BodyText"/>
        <w:tabs>
          <w:tab w:val="clear" w:pos="4176"/>
          <w:tab w:val="clear" w:pos="4896"/>
        </w:tabs>
        <w:ind w:right="0"/>
      </w:pPr>
      <w:r w:rsidRPr="004B2910">
        <w:t>Page Two</w:t>
      </w:r>
    </w:p>
    <w:p w:rsidR="004B2910" w:rsidRDefault="004B2910" w:rsidP="004B2910">
      <w:pPr>
        <w:pStyle w:val="BodyText"/>
        <w:tabs>
          <w:tab w:val="clear" w:pos="4176"/>
          <w:tab w:val="clear" w:pos="4896"/>
        </w:tabs>
        <w:ind w:left="360" w:right="0"/>
      </w:pPr>
    </w:p>
    <w:p w:rsidR="004B2910" w:rsidRDefault="004B2910" w:rsidP="004B2910">
      <w:pPr>
        <w:pStyle w:val="BodyText"/>
        <w:tabs>
          <w:tab w:val="clear" w:pos="4176"/>
          <w:tab w:val="clear" w:pos="4896"/>
        </w:tabs>
        <w:ind w:left="360" w:right="0"/>
      </w:pPr>
    </w:p>
    <w:p w:rsidR="004B2910" w:rsidRDefault="004B2910" w:rsidP="004B2910">
      <w:pPr>
        <w:pStyle w:val="BodyText"/>
        <w:tabs>
          <w:tab w:val="clear" w:pos="4176"/>
          <w:tab w:val="clear" w:pos="4896"/>
        </w:tabs>
        <w:ind w:left="360" w:right="0"/>
      </w:pPr>
    </w:p>
    <w:p w:rsidR="00261F80" w:rsidRDefault="00261F80">
      <w:pPr>
        <w:pStyle w:val="ListParagraph"/>
        <w:spacing w:line="240" w:lineRule="auto"/>
        <w:rPr>
          <w:rFonts w:cs="Arial"/>
        </w:rPr>
      </w:pPr>
    </w:p>
    <w:p w:rsidR="00261F80" w:rsidRDefault="003579DD">
      <w:pPr>
        <w:pStyle w:val="ListParagraph"/>
        <w:spacing w:line="240" w:lineRule="auto"/>
        <w:ind w:left="0"/>
        <w:rPr>
          <w:rFonts w:cs="Arial"/>
        </w:rPr>
      </w:pPr>
      <w:r>
        <w:rPr>
          <w:rFonts w:cs="Arial"/>
        </w:rPr>
        <w:tab/>
        <w:t>VEDO has corrected the exceptions to the write-off process identified by D&amp;T in its Audit Report and concurs with D&amp;T’s findings.</w:t>
      </w:r>
    </w:p>
    <w:p w:rsidR="00000C71" w:rsidRDefault="00000C71" w:rsidP="00000C71">
      <w:pPr>
        <w:pStyle w:val="ListParagraph"/>
        <w:spacing w:line="240" w:lineRule="auto"/>
        <w:ind w:left="0"/>
        <w:rPr>
          <w:rFonts w:cs="Arial"/>
        </w:rPr>
      </w:pPr>
    </w:p>
    <w:p w:rsidR="00261F80" w:rsidRDefault="003579DD" w:rsidP="00000C71">
      <w:pPr>
        <w:pStyle w:val="ListParagraph"/>
        <w:spacing w:line="240" w:lineRule="auto"/>
        <w:ind w:left="0" w:firstLine="720"/>
      </w:pPr>
      <w:r>
        <w:t>Thank you for your kind attention to this matter.</w:t>
      </w:r>
    </w:p>
    <w:p w:rsidR="00000C71" w:rsidRDefault="00000C71" w:rsidP="00000C71">
      <w:pPr>
        <w:pStyle w:val="ListParagraph"/>
        <w:spacing w:line="240" w:lineRule="auto"/>
        <w:ind w:left="0"/>
        <w:jc w:val="left"/>
      </w:pPr>
    </w:p>
    <w:p w:rsidR="00261F80" w:rsidRDefault="003579DD" w:rsidP="00000C71">
      <w:pPr>
        <w:pStyle w:val="ListParagraph"/>
        <w:spacing w:line="240" w:lineRule="auto"/>
        <w:ind w:left="4320" w:firstLine="720"/>
        <w:jc w:val="left"/>
      </w:pPr>
      <w:r>
        <w:t>Very truly yours,</w:t>
      </w:r>
    </w:p>
    <w:p w:rsidR="00000C71" w:rsidRDefault="00000C71" w:rsidP="00000C71">
      <w:pPr>
        <w:pStyle w:val="ListParagraph"/>
        <w:spacing w:line="240" w:lineRule="auto"/>
        <w:ind w:left="4320" w:firstLine="720"/>
        <w:jc w:val="left"/>
      </w:pPr>
    </w:p>
    <w:p w:rsidR="00000C71" w:rsidRDefault="00000C71" w:rsidP="00000C71">
      <w:pPr>
        <w:pStyle w:val="ListParagraph"/>
        <w:spacing w:line="240" w:lineRule="auto"/>
        <w:ind w:left="4320" w:firstLine="720"/>
        <w:jc w:val="left"/>
      </w:pPr>
    </w:p>
    <w:p w:rsidR="00261F80" w:rsidRPr="00000C71" w:rsidRDefault="003579DD" w:rsidP="00000C71">
      <w:pPr>
        <w:pStyle w:val="ListParagraph"/>
        <w:spacing w:line="240" w:lineRule="auto"/>
        <w:ind w:left="4320" w:firstLine="720"/>
        <w:jc w:val="left"/>
        <w:rPr>
          <w:u w:val="single"/>
        </w:rPr>
      </w:pPr>
      <w:r w:rsidRPr="00000C71">
        <w:rPr>
          <w:u w:val="single"/>
        </w:rPr>
        <w:t>/s/ Matthew R. Pritchard</w:t>
      </w:r>
      <w:r w:rsidR="00000C71">
        <w:rPr>
          <w:u w:val="single"/>
        </w:rPr>
        <w:tab/>
      </w:r>
      <w:r w:rsidR="00000C71">
        <w:rPr>
          <w:u w:val="single"/>
        </w:rPr>
        <w:tab/>
      </w:r>
    </w:p>
    <w:p w:rsidR="00261F80" w:rsidRDefault="003579DD" w:rsidP="00000C71">
      <w:pPr>
        <w:pStyle w:val="ListParagraph"/>
        <w:spacing w:line="240" w:lineRule="auto"/>
        <w:ind w:left="4320" w:firstLine="720"/>
        <w:jc w:val="left"/>
      </w:pPr>
      <w:r>
        <w:t>Matthew R. Pritchard</w:t>
      </w:r>
    </w:p>
    <w:p w:rsidR="00000C71" w:rsidRDefault="00000C71" w:rsidP="00000C71">
      <w:pPr>
        <w:pStyle w:val="ListParagraph"/>
        <w:spacing w:line="240" w:lineRule="auto"/>
        <w:ind w:left="4320" w:firstLine="720"/>
        <w:jc w:val="left"/>
      </w:pPr>
    </w:p>
    <w:p w:rsidR="00261F80" w:rsidRDefault="003579DD" w:rsidP="00000C71">
      <w:pPr>
        <w:pStyle w:val="ListParagraph"/>
        <w:spacing w:line="240" w:lineRule="auto"/>
        <w:ind w:left="5040"/>
        <w:jc w:val="left"/>
        <w:rPr>
          <w:b/>
          <w:bCs/>
        </w:rPr>
      </w:pPr>
      <w:r>
        <w:rPr>
          <w:b/>
          <w:bCs/>
        </w:rPr>
        <w:t>Attorney for Vectren Energy Delivery of Ohio, Inc.</w:t>
      </w:r>
    </w:p>
    <w:p w:rsidR="00000C71" w:rsidRDefault="00000C71" w:rsidP="00000C71">
      <w:pPr>
        <w:pStyle w:val="ListParagraph"/>
        <w:spacing w:line="240" w:lineRule="auto"/>
        <w:ind w:left="5040"/>
        <w:jc w:val="left"/>
        <w:rPr>
          <w:b/>
          <w:bCs/>
        </w:rPr>
      </w:pPr>
    </w:p>
    <w:p w:rsidR="00000C71" w:rsidRPr="00000C71" w:rsidRDefault="00000C71" w:rsidP="00000C71">
      <w:pPr>
        <w:pStyle w:val="ListParagraph"/>
        <w:spacing w:line="240" w:lineRule="auto"/>
        <w:ind w:left="0"/>
        <w:jc w:val="left"/>
        <w:rPr>
          <w:bCs/>
        </w:rPr>
      </w:pPr>
      <w:r w:rsidRPr="00000C71">
        <w:rPr>
          <w:bCs/>
        </w:rPr>
        <w:t>MRP:vlp</w:t>
      </w:r>
    </w:p>
    <w:p w:rsidR="00000C71" w:rsidRPr="00000C71" w:rsidRDefault="00000C71" w:rsidP="00000C71">
      <w:pPr>
        <w:pStyle w:val="ListParagraph"/>
        <w:spacing w:line="240" w:lineRule="auto"/>
        <w:ind w:left="0"/>
        <w:jc w:val="left"/>
      </w:pPr>
    </w:p>
    <w:sectPr w:rsidR="00000C71" w:rsidRPr="00000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80" w:rsidRDefault="003579DD">
      <w:pPr>
        <w:spacing w:line="240" w:lineRule="auto"/>
      </w:pPr>
      <w:r>
        <w:separator/>
      </w:r>
    </w:p>
  </w:endnote>
  <w:endnote w:type="continuationSeparator" w:id="0">
    <w:p w:rsidR="00261F80" w:rsidRDefault="00357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C" w:rsidRDefault="00575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80" w:rsidRDefault="00575BDC">
    <w:pPr>
      <w:pStyle w:val="Footer"/>
    </w:pPr>
    <w:r w:rsidRPr="00575BDC">
      <w:rPr>
        <w:noProof/>
        <w:sz w:val="16"/>
      </w:rPr>
      <w:t>{C41653: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80" w:rsidRPr="00000C71" w:rsidRDefault="00575BDC">
    <w:pPr>
      <w:pStyle w:val="Footer"/>
    </w:pPr>
    <w:r w:rsidRPr="00575BDC">
      <w:rPr>
        <w:noProof/>
        <w:sz w:val="16"/>
      </w:rPr>
      <w:t>{C41653: }</w:t>
    </w:r>
    <w:r w:rsidR="004B2910" w:rsidRPr="00000C71">
      <w:rPr>
        <w:noProof/>
      </w:rPr>
      <w:drawing>
        <wp:inline distT="0" distB="0" distL="0" distR="0" wp14:anchorId="0D59A666" wp14:editId="4351455D">
          <wp:extent cx="5758815" cy="457200"/>
          <wp:effectExtent l="0" t="0" r="0" b="0"/>
          <wp:docPr id="8" name="Picture 8" descr="botto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ottom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80" w:rsidRDefault="003579DD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61F80" w:rsidRDefault="00357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C" w:rsidRDefault="00575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C" w:rsidRDefault="00575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C" w:rsidRDefault="00575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FFFFFF89"/>
    <w:multiLevelType w:val="singleLevel"/>
    <w:tmpl w:val="4AC00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903B5"/>
    <w:multiLevelType w:val="hybridMultilevel"/>
    <w:tmpl w:val="402E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038F7"/>
    <w:multiLevelType w:val="hybridMultilevel"/>
    <w:tmpl w:val="402EA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71568"/>
    <w:multiLevelType w:val="multilevel"/>
    <w:tmpl w:val="D984456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u w:val="none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0"/>
    <w:rsid w:val="00000C71"/>
    <w:rsid w:val="00261F80"/>
    <w:rsid w:val="003579DD"/>
    <w:rsid w:val="004B2910"/>
    <w:rsid w:val="005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4"/>
      </w:numPr>
      <w:spacing w:after="240"/>
      <w:outlineLvl w:val="0"/>
    </w:pPr>
    <w:rPr>
      <w:rFonts w:ascii="Arial Bold" w:eastAsiaTheme="majorEastAsia" w:hAnsi="Arial Bold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4"/>
      </w:numPr>
      <w:spacing w:after="240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4"/>
      </w:numPr>
      <w:spacing w:after="24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numPr>
        <w:ilvl w:val="3"/>
        <w:numId w:val="4"/>
      </w:numPr>
      <w:spacing w:after="240"/>
      <w:outlineLvl w:val="3"/>
    </w:pPr>
    <w:rPr>
      <w:rFonts w:eastAsiaTheme="majorEastAsia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 Bold" w:eastAsiaTheme="majorEastAsia" w:hAnsi="Arial Bold" w:cs="Arial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="Arial"/>
      <w:b/>
      <w:bCs/>
      <w:i/>
      <w:i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="Calibri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sz w:val="23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 w:val="0"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</w:p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</w:style>
  <w:style w:type="paragraph" w:customStyle="1" w:styleId="NoIndent">
    <w:name w:val="No Indent"/>
    <w:aliases w:val="NoInd"/>
    <w:basedOn w:val="Normal"/>
    <w:qFormat/>
    <w:pPr>
      <w:spacing w:after="240"/>
    </w:p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right="720"/>
    </w:pPr>
    <w:rPr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2910"/>
    <w:pPr>
      <w:tabs>
        <w:tab w:val="left" w:pos="4176"/>
        <w:tab w:val="left" w:pos="4896"/>
      </w:tabs>
      <w:spacing w:line="240" w:lineRule="auto"/>
      <w:ind w:right="936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4B2910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4"/>
      </w:numPr>
      <w:spacing w:after="240"/>
      <w:outlineLvl w:val="0"/>
    </w:pPr>
    <w:rPr>
      <w:rFonts w:ascii="Arial Bold" w:eastAsiaTheme="majorEastAsia" w:hAnsi="Arial Bold" w:cs="Arial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4"/>
      </w:numPr>
      <w:spacing w:after="240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4"/>
      </w:numPr>
      <w:spacing w:after="24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numPr>
        <w:ilvl w:val="3"/>
        <w:numId w:val="4"/>
      </w:numPr>
      <w:spacing w:after="240"/>
      <w:outlineLvl w:val="3"/>
    </w:pPr>
    <w:rPr>
      <w:rFonts w:eastAsiaTheme="majorEastAsia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 Bold" w:eastAsiaTheme="majorEastAsia" w:hAnsi="Arial Bold" w:cs="Arial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="Arial"/>
      <w:b/>
      <w:bCs/>
      <w:i/>
      <w:i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="Calibri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sz w:val="23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 w:val="0"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</w:p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</w:style>
  <w:style w:type="paragraph" w:customStyle="1" w:styleId="NoIndent">
    <w:name w:val="No Indent"/>
    <w:aliases w:val="NoInd"/>
    <w:basedOn w:val="Normal"/>
    <w:qFormat/>
    <w:pPr>
      <w:spacing w:after="240"/>
    </w:p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right="720"/>
    </w:pPr>
    <w:rPr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2910"/>
    <w:pPr>
      <w:tabs>
        <w:tab w:val="left" w:pos="4176"/>
        <w:tab w:val="left" w:pos="4896"/>
      </w:tabs>
      <w:spacing w:line="240" w:lineRule="auto"/>
      <w:ind w:right="936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4B291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364</Words>
  <Characters>1804</Characters>
  <Application>Microsoft Office Word</Application>
  <DocSecurity>0</DocSecurity>
  <PresentationFormat/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VEDO response letter to D&amp;T UEX audit (13-320) (C41653).DOCX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VEDO response letter to D&amp;T UEX audit (13-320) (C41653).DOCX</dc:title>
  <dc:subject>C41653: /font=8</dc:subject>
  <dc:creator>mpritchard</dc:creator>
  <cp:keywords/>
  <dc:description/>
  <cp:lastModifiedBy>Vicki Leach-Payne</cp:lastModifiedBy>
  <cp:revision>6</cp:revision>
  <dcterms:created xsi:type="dcterms:W3CDTF">2013-09-23T17:25:00Z</dcterms:created>
  <dcterms:modified xsi:type="dcterms:W3CDTF">2013-10-01T18:43:00Z</dcterms:modified>
</cp:coreProperties>
</file>