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thick"/>
        </w:rPr>
        <w:t>STANDARD CHOICE OFFER RIDER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Standard Choice Offer (“SCO”) Rider is applicable to Rate 310, 311, 320 and 321 Customers.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>
      <w:pPr>
        <w:rPr>
          <w:rFonts w:ascii="Arial" w:hAnsi="Arial" w:cs="Arial"/>
          <w:sz w:val="20"/>
          <w:szCs w:val="20"/>
        </w:rPr>
      </w:pPr>
    </w:p>
    <w:p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Standard Choice Offer charge shall be the product of the Billing Ccf and the SCO Rider Rate.</w:t>
      </w:r>
    </w:p>
    <w:p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 Rate each month will be the NYMEX settlement price for such month converted to a price per Mcf using a standard Btu value of 1.070, plus the Retail Price Adjustment determined in the SCO auction. The resulting rate per Mcf will be converted to a rate per Ccf for billing purposes.</w:t>
      </w:r>
    </w:p>
    <w:p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Retail Price Adjustment effective April 1, 2020 through March 31, 2021 is $0.75 per Mcf.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SCO RIDER RATE</w:t>
      </w:r>
    </w:p>
    <w:p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 Rate for Febru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ary 2021 is $0.37032 per Billing Ccf.</w:t>
      </w:r>
    </w:p>
    <w:p>
      <w:pPr>
        <w:ind w:left="720"/>
        <w:rPr>
          <w:rFonts w:ascii="Arial" w:hAnsi="Arial" w:cs="Arial"/>
          <w:sz w:val="20"/>
          <w:szCs w:val="20"/>
        </w:rPr>
      </w:pPr>
    </w:p>
    <w:sectPr>
      <w:headerReference w:type="default" r:id="rId6"/>
      <w:footerReference w:type="default" r:id="rId7"/>
      <w:pgSz w:w="12240" w:h="15840"/>
      <w:pgMar w:top="1440" w:right="5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rPr>
        <w:sz w:val="20"/>
        <w:szCs w:val="20"/>
      </w:rPr>
    </w:pPr>
  </w:p>
  <w:p>
    <w:pPr>
      <w:pStyle w:val="Footer"/>
      <w:rPr>
        <w:sz w:val="20"/>
        <w:szCs w:val="20"/>
      </w:rPr>
    </w:pPr>
    <w:r>
      <w:rPr>
        <w:sz w:val="20"/>
        <w:szCs w:val="20"/>
      </w:rPr>
      <w:pict>
        <v:rect id="_x0000_i1025" style="width:468pt;height:1.5pt" o:hralign="center" o:hrstd="t" o:hrnoshade="t" o:hr="t" fillcolor="black" stroked="f"/>
      </w:pict>
    </w:r>
  </w:p>
  <w:p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Filed pursuant to the Opinion and Order dated August 28, 2019 in Case No. 18-0298-GA-AIR and the Entry dated January 13, 2010 in Case No. 07-1285-GA-EXM of The Public Utilities Commission of Ohio.</w:t>
    </w:r>
  </w:p>
  <w:p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628"/>
    </w:tblGrid>
    <w:tr>
      <w:tc>
        <w:tcPr>
          <w:tcW w:w="2880" w:type="dxa"/>
        </w:tcPr>
        <w:p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>
            <w:rPr>
              <w:rFonts w:ascii="Arial" w:hAnsi="Arial" w:cs="Arial"/>
              <w:sz w:val="20"/>
              <w:szCs w:val="20"/>
            </w:rPr>
            <w:t>January 27, 2021</w:t>
          </w:r>
        </w:p>
      </w:tc>
      <w:tc>
        <w:tcPr>
          <w:tcW w:w="4032" w:type="dxa"/>
        </w:tcPr>
        <w:p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>
            <w:rPr>
              <w:rFonts w:ascii="Arial" w:hAnsi="Arial" w:cs="Arial"/>
              <w:sz w:val="20"/>
              <w:szCs w:val="20"/>
            </w:rPr>
            <w:t>Angie M. Bell, Director</w:t>
          </w:r>
        </w:p>
      </w:tc>
      <w:tc>
        <w:tcPr>
          <w:tcW w:w="2628" w:type="dxa"/>
        </w:tcPr>
        <w:p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>
            <w:rPr>
              <w:rFonts w:ascii="Arial" w:hAnsi="Arial" w:cs="Arial"/>
              <w:sz w:val="20"/>
              <w:szCs w:val="20"/>
            </w:rPr>
            <w:t>February 1, 2021</w:t>
          </w:r>
        </w:p>
      </w:tc>
    </w:tr>
  </w:tbl>
  <w:p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4680"/>
    </w:tblGrid>
    <w:tr>
      <w:trPr>
        <w:trHeight w:val="90"/>
      </w:trPr>
      <w:tc>
        <w:tcPr>
          <w:tcW w:w="5760" w:type="dxa"/>
        </w:tcPr>
        <w:p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>
            <w:rPr>
              <w:rFonts w:ascii="Arial" w:eastAsia="Arial" w:hAnsi="Arial" w:cs="Arial"/>
              <w:sz w:val="20"/>
              <w:szCs w:val="20"/>
            </w:rPr>
            <w:t>OF</w:t>
          </w:r>
          <w:r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OHIO,</w:t>
          </w:r>
          <w:r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Tariff for</w:t>
          </w:r>
          <w:r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Gas</w:t>
          </w:r>
          <w:r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Service</w:t>
          </w:r>
        </w:p>
        <w:p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P.U.C.O. No. 4</w:t>
          </w:r>
        </w:p>
      </w:tc>
      <w:tc>
        <w:tcPr>
          <w:tcW w:w="4680" w:type="dxa"/>
        </w:tcPr>
        <w:p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Seventeenth Revised Page 1 of 1</w:t>
          </w:r>
        </w:p>
        <w:p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Cancels </w:t>
          </w:r>
          <w:r>
            <w:rPr>
              <w:rFonts w:ascii="Arial" w:hAnsi="Arial" w:cs="Arial"/>
              <w:sz w:val="20"/>
              <w:szCs w:val="20"/>
            </w:rPr>
            <w:t>Sixteenth</w:t>
          </w:r>
          <w:r>
            <w:rPr>
              <w:rFonts w:ascii="Arial" w:hAnsi="Arial" w:cs="Arial"/>
              <w:sz w:val="20"/>
              <w:szCs w:val="20"/>
            </w:rPr>
            <w:t xml:space="preserve"> Revised Page 1 of 1</w:t>
          </w:r>
        </w:p>
        <w:p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</w:p>
      </w:tc>
    </w:tr>
  </w:tbl>
  <w:p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  <w15:docId w15:val="{939E4E05-111B-4365-92EE-88E2540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Ramming, John</cp:lastModifiedBy>
  <cp:revision>3</cp:revision>
  <cp:lastPrinted>2020-08-27T19:25:00Z</cp:lastPrinted>
  <dcterms:created xsi:type="dcterms:W3CDTF">2021-01-27T20:52:00Z</dcterms:created>
  <dcterms:modified xsi:type="dcterms:W3CDTF">2021-01-27T20:55:00Z</dcterms:modified>
</cp:coreProperties>
</file>