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AB" w:rsidRDefault="00FE55AB">
      <w:pPr>
        <w:jc w:val="center"/>
        <w:rPr>
          <w:b/>
        </w:rPr>
      </w:pPr>
      <w:bookmarkStart w:id="0" w:name="_GoBack"/>
      <w:bookmarkEnd w:id="0"/>
      <w:r>
        <w:rPr>
          <w:b/>
        </w:rPr>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FE55AB">
        <w:trPr>
          <w:cantSplit/>
          <w:trHeight w:val="342"/>
        </w:trPr>
        <w:tc>
          <w:tcPr>
            <w:tcW w:w="4338" w:type="dxa"/>
          </w:tcPr>
          <w:p w:rsidR="00FE55AB" w:rsidRDefault="00FE55AB" w:rsidP="004A4FD9">
            <w:r>
              <w:t xml:space="preserve">In the Matter of the Application of </w:t>
            </w:r>
            <w:r w:rsidR="004A4FD9">
              <w:t xml:space="preserve">Ohio Edison Company, </w:t>
            </w:r>
            <w:r w:rsidR="00576351">
              <w:t xml:space="preserve">The Cleveland Electric Illuminating Company, </w:t>
            </w:r>
            <w:r>
              <w:t>and The Toledo Edison Company For Approval of Their Energy Efficiency and Peak Demand Reduction Program Portfolio Plans for 2013 through 2015.</w:t>
            </w:r>
          </w:p>
        </w:tc>
        <w:tc>
          <w:tcPr>
            <w:tcW w:w="540" w:type="dxa"/>
          </w:tcPr>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tc>
        <w:tc>
          <w:tcPr>
            <w:tcW w:w="3978" w:type="dxa"/>
          </w:tcPr>
          <w:p w:rsidR="002B3D31" w:rsidRDefault="002B3D31"/>
          <w:p w:rsidR="002B3D31" w:rsidRDefault="002B3D31"/>
          <w:p w:rsidR="00FE55AB" w:rsidRDefault="00FE55AB">
            <w:r>
              <w:t>Case No. 12-2190-EL-POR</w:t>
            </w:r>
          </w:p>
          <w:p w:rsidR="00FE55AB" w:rsidRDefault="00FE55AB">
            <w:r>
              <w:t>Case No. 12-2191-EL-POR</w:t>
            </w:r>
          </w:p>
          <w:p w:rsidR="00FE55AB" w:rsidRDefault="00FE55AB">
            <w:r>
              <w:t>Case No. 12-2192-EL-POR</w:t>
            </w:r>
          </w:p>
        </w:tc>
      </w:tr>
    </w:tbl>
    <w:p w:rsidR="00FE55AB" w:rsidRDefault="00FE55AB"/>
    <w:p w:rsidR="00FE55AB" w:rsidRDefault="00FE55AB">
      <w:pPr>
        <w:pBdr>
          <w:top w:val="single" w:sz="12" w:space="1" w:color="auto"/>
        </w:pBdr>
      </w:pPr>
    </w:p>
    <w:p w:rsidR="00FE55AB" w:rsidRDefault="00FE55AB">
      <w:pPr>
        <w:jc w:val="center"/>
        <w:rPr>
          <w:b/>
        </w:rPr>
      </w:pPr>
      <w:r>
        <w:rPr>
          <w:b/>
        </w:rPr>
        <w:t xml:space="preserve">APPLICATION FOR REHEARING </w:t>
      </w:r>
    </w:p>
    <w:p w:rsidR="00FE55AB" w:rsidRDefault="00FE55AB">
      <w:pPr>
        <w:jc w:val="center"/>
        <w:rPr>
          <w:b/>
        </w:rPr>
      </w:pPr>
      <w:r>
        <w:rPr>
          <w:b/>
        </w:rPr>
        <w:t>BY</w:t>
      </w:r>
    </w:p>
    <w:p w:rsidR="00FE55AB" w:rsidRDefault="00FE55AB">
      <w:pPr>
        <w:jc w:val="center"/>
        <w:rPr>
          <w:b/>
        </w:rPr>
      </w:pPr>
      <w:r>
        <w:rPr>
          <w:b/>
        </w:rPr>
        <w:t>THE OFFICE OF THE OHIO CONSUMERS</w:t>
      </w:r>
      <w:r w:rsidR="00182EB7">
        <w:rPr>
          <w:b/>
        </w:rPr>
        <w:t>’</w:t>
      </w:r>
      <w:r>
        <w:rPr>
          <w:b/>
        </w:rPr>
        <w:t xml:space="preserve"> COUNSEL</w:t>
      </w:r>
    </w:p>
    <w:p w:rsidR="00FE55AB" w:rsidRDefault="00FE55AB">
      <w:pPr>
        <w:pBdr>
          <w:bottom w:val="single" w:sz="12" w:space="1" w:color="auto"/>
        </w:pBdr>
      </w:pPr>
    </w:p>
    <w:p w:rsidR="00FE55AB" w:rsidRDefault="00FE55AB"/>
    <w:p w:rsidR="00FE55AB" w:rsidRDefault="00FE55AB">
      <w:pPr>
        <w:jc w:val="center"/>
        <w:rPr>
          <w:b/>
        </w:rPr>
      </w:pPr>
    </w:p>
    <w:p w:rsidR="00FE55AB" w:rsidRDefault="00FE55AB">
      <w:pPr>
        <w:jc w:val="center"/>
        <w:rPr>
          <w:b/>
        </w:rPr>
      </w:pPr>
    </w:p>
    <w:p w:rsidR="00FE55AB" w:rsidRDefault="00FE55AB">
      <w:pPr>
        <w:jc w:val="center"/>
        <w:rPr>
          <w:b/>
        </w:rPr>
      </w:pPr>
    </w:p>
    <w:p w:rsidR="00D037CA" w:rsidRDefault="00D037CA">
      <w:pPr>
        <w:ind w:left="4320"/>
        <w:rPr>
          <w:caps/>
        </w:rPr>
      </w:pPr>
    </w:p>
    <w:p w:rsidR="00A35F44" w:rsidRDefault="00B40B46">
      <w:pPr>
        <w:ind w:left="4320"/>
        <w:rPr>
          <w:caps/>
        </w:rPr>
      </w:pPr>
      <w:r>
        <w:rPr>
          <w:caps/>
        </w:rPr>
        <w:t xml:space="preserve">  </w:t>
      </w:r>
    </w:p>
    <w:p w:rsidR="00A35F44" w:rsidRDefault="00A35F44">
      <w:pPr>
        <w:ind w:left="4320"/>
        <w:rPr>
          <w:caps/>
        </w:rPr>
      </w:pPr>
    </w:p>
    <w:p w:rsidR="00A35F44" w:rsidRDefault="00A35F44">
      <w:pPr>
        <w:ind w:left="4320"/>
        <w:rPr>
          <w:caps/>
        </w:rPr>
      </w:pPr>
    </w:p>
    <w:p w:rsidR="00A35F44" w:rsidRDefault="00A35F44">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CD1B49" w:rsidRDefault="00CD1B49">
      <w:pPr>
        <w:ind w:left="4320"/>
        <w:rPr>
          <w:caps/>
        </w:rPr>
      </w:pP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r>
        <w:t>Kyle L. Kern, Counsel of Record</w:t>
      </w:r>
    </w:p>
    <w:p w:rsidR="00A35F44" w:rsidRDefault="00A35F44">
      <w:pPr>
        <w:ind w:left="4320"/>
      </w:pPr>
      <w:r>
        <w:t>(0084199)</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FE55AB" w:rsidRDefault="00A35F44" w:rsidP="00A35F44">
      <w:pPr>
        <w:rPr>
          <w:color w:val="0000FF"/>
        </w:rPr>
      </w:pPr>
      <w:r w:rsidRPr="00A35F44">
        <w:t xml:space="preserve">December 22, 2014 </w:t>
      </w:r>
      <w:r w:rsidRPr="00A35F44">
        <w:tab/>
      </w:r>
      <w:r>
        <w:rPr>
          <w:color w:val="0000FF"/>
        </w:rPr>
        <w:tab/>
      </w:r>
      <w:r>
        <w:rPr>
          <w:color w:val="0000FF"/>
        </w:rPr>
        <w:tab/>
      </w:r>
      <w:r>
        <w:rPr>
          <w:color w:val="0000FF"/>
        </w:rPr>
        <w:tab/>
      </w:r>
      <w:hyperlink r:id="rId8" w:history="1">
        <w:r w:rsidR="002C2952" w:rsidRPr="00D40BC7">
          <w:rPr>
            <w:rStyle w:val="Hyperlink"/>
          </w:rPr>
          <w:t>kyle.kern@occ.ohio.gov</w:t>
        </w:r>
      </w:hyperlink>
    </w:p>
    <w:p w:rsidR="0055180A" w:rsidRDefault="0055180A">
      <w:pPr>
        <w:jc w:val="center"/>
        <w:rPr>
          <w:b/>
        </w:rPr>
        <w:sectPr w:rsidR="0055180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pPr>
    </w:p>
    <w:p w:rsidR="00FE55AB" w:rsidRDefault="00FE55AB">
      <w:pPr>
        <w:jc w:val="center"/>
        <w:rPr>
          <w:b/>
        </w:rPr>
      </w:pPr>
      <w:r>
        <w:rPr>
          <w:b/>
        </w:rPr>
        <w:lastRenderedPageBreak/>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182EB7" w:rsidTr="000C3290">
        <w:trPr>
          <w:cantSplit/>
          <w:trHeight w:val="342"/>
        </w:trPr>
        <w:tc>
          <w:tcPr>
            <w:tcW w:w="4338" w:type="dxa"/>
          </w:tcPr>
          <w:p w:rsidR="00182EB7" w:rsidRDefault="00182EB7" w:rsidP="000C3290">
            <w:r>
              <w:t>In the Matter of the Application of Ohio Edison Company, The Cleveland Electric Illuminating Company, and The Toledo Edison Company For Approval of Their Energy Efficiency and Peak Demand Reduction Program Portfolio Plans for 2013 through 2015.</w:t>
            </w:r>
          </w:p>
        </w:tc>
        <w:tc>
          <w:tcPr>
            <w:tcW w:w="540" w:type="dxa"/>
          </w:tcPr>
          <w:p w:rsidR="00182EB7" w:rsidRDefault="00182EB7" w:rsidP="000C3290">
            <w:r>
              <w:t>)</w:t>
            </w:r>
          </w:p>
          <w:p w:rsidR="00182EB7" w:rsidRDefault="00182EB7" w:rsidP="000C3290">
            <w:r>
              <w:t>)</w:t>
            </w:r>
          </w:p>
          <w:p w:rsidR="00182EB7" w:rsidRDefault="00182EB7" w:rsidP="000C3290">
            <w:r>
              <w:t>)</w:t>
            </w:r>
          </w:p>
          <w:p w:rsidR="00182EB7" w:rsidRDefault="00182EB7" w:rsidP="000C3290">
            <w:r>
              <w:t>)</w:t>
            </w:r>
          </w:p>
          <w:p w:rsidR="00182EB7" w:rsidRDefault="00182EB7" w:rsidP="000C3290">
            <w:r>
              <w:t>)</w:t>
            </w:r>
          </w:p>
          <w:p w:rsidR="00182EB7" w:rsidRDefault="00182EB7" w:rsidP="000C3290">
            <w:r>
              <w:t>)</w:t>
            </w:r>
          </w:p>
          <w:p w:rsidR="00182EB7" w:rsidRDefault="00182EB7" w:rsidP="000C3290">
            <w:r>
              <w:t>)</w:t>
            </w:r>
          </w:p>
        </w:tc>
        <w:tc>
          <w:tcPr>
            <w:tcW w:w="3978" w:type="dxa"/>
          </w:tcPr>
          <w:p w:rsidR="00182EB7" w:rsidRDefault="00182EB7" w:rsidP="000C3290"/>
          <w:p w:rsidR="00182EB7" w:rsidRDefault="00182EB7" w:rsidP="000C3290"/>
          <w:p w:rsidR="00182EB7" w:rsidRDefault="00182EB7" w:rsidP="000C3290">
            <w:r>
              <w:t>Case No. 12-2190-EL-POR</w:t>
            </w:r>
          </w:p>
          <w:p w:rsidR="00182EB7" w:rsidRDefault="00182EB7" w:rsidP="000C3290">
            <w:r>
              <w:t>Case No. 12-2191-EL-POR</w:t>
            </w:r>
          </w:p>
          <w:p w:rsidR="00182EB7" w:rsidRDefault="00182EB7" w:rsidP="000C3290">
            <w:r>
              <w:t>Case No. 12-2192-EL-POR</w:t>
            </w:r>
          </w:p>
        </w:tc>
      </w:tr>
    </w:tbl>
    <w:p w:rsidR="00FE55AB" w:rsidRDefault="00FE55AB"/>
    <w:p w:rsidR="00FE55AB" w:rsidRDefault="00FE55AB">
      <w:pPr>
        <w:pBdr>
          <w:top w:val="single" w:sz="12" w:space="1" w:color="auto"/>
        </w:pBdr>
      </w:pPr>
    </w:p>
    <w:p w:rsidR="00FE55AB" w:rsidRDefault="00FE55AB">
      <w:pPr>
        <w:jc w:val="center"/>
        <w:rPr>
          <w:b/>
        </w:rPr>
      </w:pPr>
      <w:r>
        <w:rPr>
          <w:b/>
        </w:rPr>
        <w:t xml:space="preserve">APPLICATION FOR REHEARING </w:t>
      </w:r>
    </w:p>
    <w:p w:rsidR="00FE55AB" w:rsidRDefault="00FE55AB">
      <w:pPr>
        <w:jc w:val="center"/>
        <w:rPr>
          <w:b/>
        </w:rPr>
      </w:pPr>
      <w:r>
        <w:rPr>
          <w:b/>
        </w:rPr>
        <w:t>BY</w:t>
      </w:r>
    </w:p>
    <w:p w:rsidR="00FE55AB" w:rsidRDefault="00FE55AB">
      <w:pPr>
        <w:jc w:val="center"/>
        <w:rPr>
          <w:b/>
        </w:rPr>
      </w:pPr>
      <w:r>
        <w:rPr>
          <w:b/>
        </w:rPr>
        <w:t>THE OFFICE OF THE OHIO CONSUMERS</w:t>
      </w:r>
      <w:r w:rsidR="00182EB7">
        <w:rPr>
          <w:b/>
        </w:rPr>
        <w:t>’</w:t>
      </w:r>
      <w:r>
        <w:rPr>
          <w:b/>
        </w:rPr>
        <w:t xml:space="preserve"> COUNSEL</w:t>
      </w:r>
    </w:p>
    <w:p w:rsidR="00FE55AB" w:rsidRDefault="00FE55AB">
      <w:pPr>
        <w:pBdr>
          <w:bottom w:val="single" w:sz="12" w:space="1" w:color="auto"/>
        </w:pBdr>
      </w:pPr>
    </w:p>
    <w:p w:rsidR="00FE55AB" w:rsidRDefault="00FE55AB"/>
    <w:p w:rsidR="00A262C8" w:rsidRDefault="00B40B46" w:rsidP="00091CCE">
      <w:pPr>
        <w:autoSpaceDE w:val="0"/>
        <w:autoSpaceDN w:val="0"/>
        <w:adjustRightInd w:val="0"/>
        <w:spacing w:line="480" w:lineRule="auto"/>
        <w:ind w:firstLine="720"/>
      </w:pPr>
      <w:r>
        <w:t>FirstEnergy</w:t>
      </w:r>
      <w:r>
        <w:rPr>
          <w:rStyle w:val="FootnoteReference"/>
        </w:rPr>
        <w:footnoteReference w:id="2"/>
      </w:r>
      <w:r>
        <w:t xml:space="preserve"> sought</w:t>
      </w:r>
      <w:r w:rsidR="00654813">
        <w:t xml:space="preserve"> and was authorized</w:t>
      </w:r>
      <w:r>
        <w:t xml:space="preserve"> in these cases to “suspend” the majority of its currently approved energy efficiency programs </w:t>
      </w:r>
      <w:r w:rsidR="00582740">
        <w:t xml:space="preserve">that would otherwise be </w:t>
      </w:r>
      <w:r>
        <w:t>available to customers for 2015 and 2016, after the enactment of Senate Bill 310.</w:t>
      </w:r>
      <w:r w:rsidR="00A262C8">
        <w:t xml:space="preserve">  FirstEnergy was also successful in shifting to its two million</w:t>
      </w:r>
      <w:r w:rsidR="00F853C1">
        <w:t xml:space="preserve"> </w:t>
      </w:r>
      <w:r w:rsidR="00A262C8">
        <w:t>customers the potential financial consequences</w:t>
      </w:r>
      <w:r w:rsidR="00582740">
        <w:t xml:space="preserve"> (read charges)</w:t>
      </w:r>
      <w:r w:rsidR="00A262C8">
        <w:t xml:space="preserve"> </w:t>
      </w:r>
      <w:r w:rsidR="00582740">
        <w:t>that</w:t>
      </w:r>
      <w:r w:rsidR="00A262C8">
        <w:t xml:space="preserve"> its program reductions </w:t>
      </w:r>
      <w:r w:rsidR="00582740">
        <w:t>will have for</w:t>
      </w:r>
      <w:r w:rsidR="00A262C8">
        <w:t xml:space="preserve"> creating a shortfall in its energy efficiency commitment to PJM.</w:t>
      </w:r>
      <w:r>
        <w:t xml:space="preserve"> </w:t>
      </w:r>
      <w:r w:rsidRPr="00285046">
        <w:t xml:space="preserve"> </w:t>
      </w:r>
    </w:p>
    <w:p w:rsidR="00091CCE" w:rsidRDefault="00B40B46" w:rsidP="00091CCE">
      <w:pPr>
        <w:autoSpaceDE w:val="0"/>
        <w:autoSpaceDN w:val="0"/>
        <w:adjustRightInd w:val="0"/>
        <w:spacing w:line="480" w:lineRule="auto"/>
        <w:ind w:firstLine="720"/>
      </w:pPr>
      <w:r>
        <w:t>Parties submitted comments on October 20, 2014, and reply comments on October 27</w:t>
      </w:r>
      <w:r w:rsidRPr="00402945">
        <w:rPr>
          <w:vertAlign w:val="superscript"/>
        </w:rPr>
        <w:t>th</w:t>
      </w:r>
      <w:r>
        <w:t xml:space="preserve"> in response to FirstEnergy’s Application</w:t>
      </w:r>
      <w:r w:rsidR="009350F6" w:rsidRPr="009350F6">
        <w:t xml:space="preserve"> </w:t>
      </w:r>
      <w:r w:rsidR="009350F6">
        <w:t>dated September 24, 2014</w:t>
      </w:r>
      <w:r>
        <w:t xml:space="preserve">. </w:t>
      </w:r>
      <w:r w:rsidR="009350F6">
        <w:t xml:space="preserve"> </w:t>
      </w:r>
      <w:r w:rsidR="00091CCE">
        <w:t>The Public Utilities Commission of Ohio (“PUCO”) issued a Finding and Order on November 20, 2014 (“Order”) granting FirstEnergy’s Application, with modifications.</w:t>
      </w:r>
    </w:p>
    <w:p w:rsidR="00FE55AB" w:rsidRDefault="008027E9" w:rsidP="00070669">
      <w:pPr>
        <w:autoSpaceDE w:val="0"/>
        <w:autoSpaceDN w:val="0"/>
        <w:adjustRightInd w:val="0"/>
        <w:spacing w:line="480" w:lineRule="auto"/>
        <w:ind w:firstLine="720"/>
      </w:pPr>
      <w:r>
        <w:t>T</w:t>
      </w:r>
      <w:r w:rsidR="00FE55AB">
        <w:t>he</w:t>
      </w:r>
      <w:r>
        <w:t xml:space="preserve"> PUCO</w:t>
      </w:r>
      <w:r w:rsidR="00182EB7">
        <w:t>’</w:t>
      </w:r>
      <w:r>
        <w:t>s</w:t>
      </w:r>
      <w:r w:rsidR="00FE55AB">
        <w:t xml:space="preserve"> </w:t>
      </w:r>
      <w:r w:rsidR="00D23F27">
        <w:t>Order</w:t>
      </w:r>
      <w:r w:rsidR="00FE55AB">
        <w:t xml:space="preserve"> </w:t>
      </w:r>
      <w:r w:rsidR="007C70C4">
        <w:t xml:space="preserve">is </w:t>
      </w:r>
      <w:r w:rsidR="00FE55AB">
        <w:t>unreasonable and unlawful because:</w:t>
      </w:r>
    </w:p>
    <w:p w:rsidR="0010688C" w:rsidRDefault="00245552" w:rsidP="00A35F44">
      <w:pPr>
        <w:numPr>
          <w:ilvl w:val="0"/>
          <w:numId w:val="34"/>
        </w:numPr>
        <w:ind w:left="1440" w:right="720" w:hanging="720"/>
      </w:pPr>
      <w:r w:rsidRPr="004A4FD9">
        <w:t xml:space="preserve">The PUCO </w:t>
      </w:r>
      <w:r w:rsidR="00B434B2">
        <w:t>violated R.C. 4903.09</w:t>
      </w:r>
      <w:r w:rsidR="00B434B2" w:rsidRPr="004A4FD9">
        <w:t xml:space="preserve"> </w:t>
      </w:r>
      <w:r w:rsidRPr="004A4FD9">
        <w:t xml:space="preserve">by </w:t>
      </w:r>
      <w:r w:rsidR="00B434B2">
        <w:t xml:space="preserve">failing to set forth its reasons for </w:t>
      </w:r>
      <w:r>
        <w:t>authorizing</w:t>
      </w:r>
      <w:r w:rsidRPr="004A4FD9">
        <w:t xml:space="preserve"> </w:t>
      </w:r>
      <w:r>
        <w:t xml:space="preserve">the FirstEnergy utilities to charge customers for capacity shortfalls that may result from the Utility’s decision to eliminate over </w:t>
      </w:r>
      <w:r w:rsidR="00EC24A8">
        <w:t xml:space="preserve">60 </w:t>
      </w:r>
      <w:r>
        <w:t>percent of its energy efficiency programs</w:t>
      </w:r>
      <w:r w:rsidR="00657AD5">
        <w:t xml:space="preserve">.  </w:t>
      </w:r>
      <w:r w:rsidRPr="004A4FD9">
        <w:t xml:space="preserve"> </w:t>
      </w:r>
    </w:p>
    <w:p w:rsidR="000A327B" w:rsidRPr="000A327B" w:rsidRDefault="000A327B" w:rsidP="00A35F44">
      <w:pPr>
        <w:ind w:left="1440" w:right="720" w:hanging="720"/>
      </w:pPr>
    </w:p>
    <w:p w:rsidR="00662BB4" w:rsidRPr="00402945" w:rsidRDefault="00662BB4" w:rsidP="00A35F44">
      <w:pPr>
        <w:numPr>
          <w:ilvl w:val="0"/>
          <w:numId w:val="34"/>
        </w:numPr>
        <w:ind w:left="1440" w:right="720" w:hanging="720"/>
        <w:rPr>
          <w:noProof/>
        </w:rPr>
      </w:pPr>
      <w:r w:rsidRPr="00402945">
        <w:rPr>
          <w:noProof/>
        </w:rPr>
        <w:t>The PUCO</w:t>
      </w:r>
      <w:r w:rsidR="000C2B65">
        <w:rPr>
          <w:noProof/>
        </w:rPr>
        <w:t xml:space="preserve"> erred in its</w:t>
      </w:r>
      <w:r w:rsidRPr="00402945">
        <w:rPr>
          <w:noProof/>
        </w:rPr>
        <w:t xml:space="preserve"> decision that customer</w:t>
      </w:r>
      <w:r w:rsidR="009350F6">
        <w:rPr>
          <w:noProof/>
        </w:rPr>
        <w:t>s</w:t>
      </w:r>
      <w:r w:rsidRPr="00402945">
        <w:rPr>
          <w:noProof/>
        </w:rPr>
        <w:t xml:space="preserve"> be respo</w:t>
      </w:r>
      <w:r w:rsidR="009350F6">
        <w:rPr>
          <w:noProof/>
        </w:rPr>
        <w:t>n</w:t>
      </w:r>
      <w:r w:rsidRPr="00402945">
        <w:rPr>
          <w:noProof/>
        </w:rPr>
        <w:t xml:space="preserve">sible for any “prudently incurred costs of any steps taken to eliminate any [capacity] shortfalls” </w:t>
      </w:r>
      <w:r w:rsidR="000C2B65">
        <w:rPr>
          <w:noProof/>
        </w:rPr>
        <w:t>because</w:t>
      </w:r>
      <w:r w:rsidR="00FE4D39">
        <w:rPr>
          <w:noProof/>
        </w:rPr>
        <w:t xml:space="preserve"> FirstEnergy should bear any </w:t>
      </w:r>
      <w:r w:rsidR="000C2B65">
        <w:rPr>
          <w:noProof/>
        </w:rPr>
        <w:t xml:space="preserve">costs </w:t>
      </w:r>
      <w:r w:rsidR="00FE4D39">
        <w:rPr>
          <w:noProof/>
        </w:rPr>
        <w:t>associated with its decision to eliminate the majority of its energy efficiency programs</w:t>
      </w:r>
      <w:r w:rsidRPr="00402945">
        <w:rPr>
          <w:noProof/>
        </w:rPr>
        <w:t>.</w:t>
      </w:r>
    </w:p>
    <w:p w:rsidR="006076ED" w:rsidRPr="00F13ABD" w:rsidRDefault="0010688C" w:rsidP="00A35F44">
      <w:pPr>
        <w:ind w:left="1440" w:hanging="720"/>
      </w:pPr>
      <w:r w:rsidRPr="00996712">
        <w:tab/>
      </w:r>
    </w:p>
    <w:p w:rsidR="006076ED" w:rsidRDefault="00166177" w:rsidP="00A35F44">
      <w:pPr>
        <w:ind w:left="1440" w:hanging="720"/>
      </w:pPr>
      <w:r>
        <w:t>C</w:t>
      </w:r>
      <w:r w:rsidR="006076ED" w:rsidRPr="006076ED">
        <w:t>.</w:t>
      </w:r>
      <w:r w:rsidR="006076ED" w:rsidRPr="006076ED">
        <w:tab/>
      </w:r>
      <w:r w:rsidR="00DC2849" w:rsidRPr="004A4FD9">
        <w:t>The PUCO</w:t>
      </w:r>
      <w:r w:rsidR="000C2B65">
        <w:t xml:space="preserve"> erred in not</w:t>
      </w:r>
      <w:r w:rsidR="00DC2849" w:rsidRPr="004A4FD9">
        <w:t xml:space="preserve"> </w:t>
      </w:r>
      <w:r w:rsidR="00C874C2">
        <w:t>clarify</w:t>
      </w:r>
      <w:r w:rsidR="000C2B65">
        <w:t>ing</w:t>
      </w:r>
      <w:r w:rsidR="00A37E5D">
        <w:t xml:space="preserve"> its Finding and Order</w:t>
      </w:r>
      <w:r w:rsidR="00C874C2">
        <w:t xml:space="preserve"> that, co</w:t>
      </w:r>
      <w:r w:rsidR="00DE1743">
        <w:t>nsistent with Ohio Admin. Code 4901:1-39-04(B), FirstEnergy must demonstrate that its amended energy efficiency portfolio is cost-effective.</w:t>
      </w:r>
    </w:p>
    <w:p w:rsidR="00C874C2" w:rsidRPr="004A4FD9" w:rsidRDefault="00C874C2" w:rsidP="00182EB7">
      <w:pPr>
        <w:ind w:left="1440" w:hanging="720"/>
        <w:rPr>
          <w:caps/>
          <w:noProof/>
          <w:sz w:val="22"/>
          <w:szCs w:val="22"/>
        </w:rPr>
      </w:pPr>
    </w:p>
    <w:p w:rsidR="00FE55AB" w:rsidRDefault="008027E9">
      <w:pPr>
        <w:spacing w:line="480" w:lineRule="auto"/>
        <w:ind w:firstLine="720"/>
      </w:pPr>
      <w:r>
        <w:t>T</w:t>
      </w:r>
      <w:r w:rsidR="00FE55AB">
        <w:t xml:space="preserve">his Application for Rehearing </w:t>
      </w:r>
      <w:r>
        <w:t>is filed under R.C. 4903.10 and Ohio Admin. Code 4901-1-35, with reasons explained</w:t>
      </w:r>
      <w:r w:rsidR="00FE55AB">
        <w:t xml:space="preserve"> in the attached Memorandum in Support.  Consistent with R.C. 4903.10 and the claim</w:t>
      </w:r>
      <w:r w:rsidR="00380473">
        <w:t>s</w:t>
      </w:r>
      <w:r w:rsidR="00FE55AB">
        <w:t xml:space="preserve"> of error above, the PUCO should </w:t>
      </w:r>
      <w:r w:rsidR="00182EB7">
        <w:t>“</w:t>
      </w:r>
      <w:r w:rsidR="00FE7840">
        <w:t xml:space="preserve">abrogate or </w:t>
      </w:r>
      <w:r w:rsidR="00FE55AB">
        <w:t>modify</w:t>
      </w:r>
      <w:r w:rsidR="00182EB7">
        <w:t>”</w:t>
      </w:r>
      <w:r w:rsidR="00FE55AB">
        <w:t xml:space="preserve"> </w:t>
      </w:r>
      <w:r w:rsidR="00153D51">
        <w:t>its</w:t>
      </w:r>
      <w:r w:rsidR="00FE55AB">
        <w:t xml:space="preserve"> </w:t>
      </w:r>
      <w:r w:rsidR="00B02928">
        <w:t>Order</w:t>
      </w:r>
      <w:r w:rsidR="00FE55AB">
        <w:t xml:space="preserve">. </w:t>
      </w:r>
    </w:p>
    <w:p w:rsidR="00FE55AB" w:rsidRDefault="00FE55AB">
      <w:pPr>
        <w:spacing w:line="480" w:lineRule="auto"/>
        <w:ind w:left="3600" w:firstLine="720"/>
        <w:rPr>
          <w:bCs/>
        </w:rPr>
      </w:pPr>
      <w:r>
        <w:rPr>
          <w:bCs/>
        </w:rPr>
        <w:t>Respectfully submitted,</w:t>
      </w: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r>
        <w:rPr>
          <w:i/>
          <w:u w:val="single"/>
        </w:rPr>
        <w:t>/s/ Kyle L. Kern</w:t>
      </w:r>
      <w:r>
        <w:t>_______________</w:t>
      </w:r>
    </w:p>
    <w:p w:rsidR="00FE55AB" w:rsidRDefault="00FE55AB">
      <w:pPr>
        <w:ind w:left="4320"/>
      </w:pPr>
      <w:r>
        <w:t>Kyle L. Kern, Counsel of Record</w:t>
      </w:r>
    </w:p>
    <w:p w:rsidR="00A35F44" w:rsidRDefault="00A35F44" w:rsidP="00A35F44">
      <w:pPr>
        <w:ind w:left="4320"/>
      </w:pPr>
      <w:r>
        <w:t>(0084199)</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2C2952" w:rsidRDefault="002C2952" w:rsidP="002C2952">
      <w:r>
        <w:rPr>
          <w:b/>
        </w:rPr>
        <w:tab/>
      </w:r>
      <w:r>
        <w:rPr>
          <w:b/>
        </w:rPr>
        <w:tab/>
      </w:r>
      <w:r>
        <w:rPr>
          <w:b/>
        </w:rPr>
        <w:tab/>
      </w:r>
      <w:r>
        <w:rPr>
          <w:b/>
        </w:rPr>
        <w:tab/>
      </w:r>
      <w:r>
        <w:rPr>
          <w:b/>
        </w:rPr>
        <w:tab/>
      </w:r>
      <w:r>
        <w:rPr>
          <w:b/>
        </w:rPr>
        <w:tab/>
      </w:r>
      <w:hyperlink r:id="rId15" w:history="1">
        <w:r w:rsidRPr="00D40BC7">
          <w:rPr>
            <w:rStyle w:val="Hyperlink"/>
          </w:rPr>
          <w:t>kyle.kern@occ.ohio.gov</w:t>
        </w:r>
      </w:hyperlink>
    </w:p>
    <w:p w:rsidR="002C2952" w:rsidRDefault="002C2952" w:rsidP="002C2952">
      <w:pPr>
        <w:rPr>
          <w:b/>
        </w:rPr>
        <w:sectPr w:rsidR="002C2952">
          <w:headerReference w:type="even" r:id="rId16"/>
          <w:headerReference w:type="default" r:id="rId17"/>
          <w:headerReference w:type="first" r:id="rId18"/>
          <w:footerReference w:type="first" r:id="rId19"/>
          <w:pgSz w:w="12240" w:h="15840"/>
          <w:pgMar w:top="1440" w:right="1800" w:bottom="1440" w:left="1800" w:header="720" w:footer="720" w:gutter="0"/>
          <w:pgNumType w:start="1"/>
          <w:cols w:space="720"/>
          <w:titlePg/>
          <w:docGrid w:linePitch="360"/>
        </w:sectPr>
      </w:pPr>
      <w:r>
        <w:rPr>
          <w:b/>
        </w:rPr>
        <w:tab/>
      </w:r>
      <w:r>
        <w:rPr>
          <w:b/>
        </w:rPr>
        <w:tab/>
      </w:r>
    </w:p>
    <w:p w:rsidR="00FE55AB" w:rsidRDefault="00390A01">
      <w:pPr>
        <w:jc w:val="center"/>
        <w:rPr>
          <w:b/>
        </w:rPr>
      </w:pPr>
      <w:r>
        <w:rPr>
          <w:b/>
        </w:rPr>
        <w:t>TABLE OF CONTENTS</w:t>
      </w:r>
    </w:p>
    <w:p w:rsidR="00390A01" w:rsidRDefault="00390A01">
      <w:pPr>
        <w:jc w:val="center"/>
        <w:rPr>
          <w:b/>
        </w:rPr>
      </w:pPr>
    </w:p>
    <w:p w:rsidR="00390A01" w:rsidRDefault="00390A01">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PAGE</w:t>
      </w:r>
    </w:p>
    <w:p w:rsidR="00E92175" w:rsidRDefault="00E92175">
      <w:pPr>
        <w:jc w:val="center"/>
        <w:rPr>
          <w:b/>
        </w:rPr>
      </w:pPr>
    </w:p>
    <w:p w:rsidR="0076291D" w:rsidRDefault="00E92175">
      <w:pPr>
        <w:pStyle w:val="TOC1"/>
        <w:rPr>
          <w:rFonts w:asciiTheme="minorHAnsi" w:eastAsiaTheme="minorEastAsia" w:hAnsiTheme="minorHAnsi" w:cstheme="minorBidi"/>
          <w:caps w:val="0"/>
          <w:noProof/>
          <w:sz w:val="22"/>
          <w:szCs w:val="22"/>
        </w:rPr>
      </w:pPr>
      <w:r>
        <w:rPr>
          <w:b/>
        </w:rPr>
        <w:fldChar w:fldCharType="begin"/>
      </w:r>
      <w:r>
        <w:rPr>
          <w:b/>
        </w:rPr>
        <w:instrText xml:space="preserve"> TOC \o "1-2" \h \z \u </w:instrText>
      </w:r>
      <w:r>
        <w:rPr>
          <w:b/>
        </w:rPr>
        <w:fldChar w:fldCharType="separate"/>
      </w:r>
      <w:hyperlink w:anchor="_Toc407012912" w:history="1">
        <w:r w:rsidR="0076291D" w:rsidRPr="00532307">
          <w:rPr>
            <w:rStyle w:val="Hyperlink"/>
            <w:noProof/>
          </w:rPr>
          <w:t>I.</w:t>
        </w:r>
        <w:r w:rsidR="0076291D">
          <w:rPr>
            <w:rFonts w:asciiTheme="minorHAnsi" w:eastAsiaTheme="minorEastAsia" w:hAnsiTheme="minorHAnsi" w:cstheme="minorBidi"/>
            <w:caps w:val="0"/>
            <w:noProof/>
            <w:sz w:val="22"/>
            <w:szCs w:val="22"/>
          </w:rPr>
          <w:tab/>
        </w:r>
        <w:r w:rsidR="0076291D" w:rsidRPr="00532307">
          <w:rPr>
            <w:rStyle w:val="Hyperlink"/>
            <w:noProof/>
          </w:rPr>
          <w:t>INTRODUCTION</w:t>
        </w:r>
        <w:r w:rsidR="0076291D">
          <w:rPr>
            <w:noProof/>
            <w:webHidden/>
          </w:rPr>
          <w:tab/>
        </w:r>
        <w:r w:rsidR="0076291D">
          <w:rPr>
            <w:noProof/>
            <w:webHidden/>
          </w:rPr>
          <w:fldChar w:fldCharType="begin"/>
        </w:r>
        <w:r w:rsidR="0076291D">
          <w:rPr>
            <w:noProof/>
            <w:webHidden/>
          </w:rPr>
          <w:instrText xml:space="preserve"> PAGEREF _Toc407012912 \h </w:instrText>
        </w:r>
        <w:r w:rsidR="0076291D">
          <w:rPr>
            <w:noProof/>
            <w:webHidden/>
          </w:rPr>
        </w:r>
        <w:r w:rsidR="0076291D">
          <w:rPr>
            <w:noProof/>
            <w:webHidden/>
          </w:rPr>
          <w:fldChar w:fldCharType="separate"/>
        </w:r>
        <w:r w:rsidR="0049671F">
          <w:rPr>
            <w:noProof/>
            <w:webHidden/>
          </w:rPr>
          <w:t>1</w:t>
        </w:r>
        <w:r w:rsidR="0076291D">
          <w:rPr>
            <w:noProof/>
            <w:webHidden/>
          </w:rPr>
          <w:fldChar w:fldCharType="end"/>
        </w:r>
      </w:hyperlink>
    </w:p>
    <w:p w:rsidR="0076291D" w:rsidRDefault="00B34379">
      <w:pPr>
        <w:pStyle w:val="TOC1"/>
        <w:rPr>
          <w:rFonts w:asciiTheme="minorHAnsi" w:eastAsiaTheme="minorEastAsia" w:hAnsiTheme="minorHAnsi" w:cstheme="minorBidi"/>
          <w:caps w:val="0"/>
          <w:noProof/>
          <w:sz w:val="22"/>
          <w:szCs w:val="22"/>
        </w:rPr>
      </w:pPr>
      <w:hyperlink w:anchor="_Toc407012913" w:history="1">
        <w:r w:rsidR="0076291D" w:rsidRPr="00532307">
          <w:rPr>
            <w:rStyle w:val="Hyperlink"/>
            <w:noProof/>
          </w:rPr>
          <w:t>II.</w:t>
        </w:r>
        <w:r w:rsidR="0076291D">
          <w:rPr>
            <w:rFonts w:asciiTheme="minorHAnsi" w:eastAsiaTheme="minorEastAsia" w:hAnsiTheme="minorHAnsi" w:cstheme="minorBidi"/>
            <w:caps w:val="0"/>
            <w:noProof/>
            <w:sz w:val="22"/>
            <w:szCs w:val="22"/>
          </w:rPr>
          <w:tab/>
        </w:r>
        <w:r w:rsidR="0076291D" w:rsidRPr="00532307">
          <w:rPr>
            <w:rStyle w:val="Hyperlink"/>
            <w:noProof/>
          </w:rPr>
          <w:t>Standard of Review</w:t>
        </w:r>
        <w:r w:rsidR="0076291D">
          <w:rPr>
            <w:noProof/>
            <w:webHidden/>
          </w:rPr>
          <w:tab/>
        </w:r>
        <w:r w:rsidR="0076291D">
          <w:rPr>
            <w:noProof/>
            <w:webHidden/>
          </w:rPr>
          <w:fldChar w:fldCharType="begin"/>
        </w:r>
        <w:r w:rsidR="0076291D">
          <w:rPr>
            <w:noProof/>
            <w:webHidden/>
          </w:rPr>
          <w:instrText xml:space="preserve"> PAGEREF _Toc407012913 \h </w:instrText>
        </w:r>
        <w:r w:rsidR="0076291D">
          <w:rPr>
            <w:noProof/>
            <w:webHidden/>
          </w:rPr>
        </w:r>
        <w:r w:rsidR="0076291D">
          <w:rPr>
            <w:noProof/>
            <w:webHidden/>
          </w:rPr>
          <w:fldChar w:fldCharType="separate"/>
        </w:r>
        <w:r w:rsidR="0049671F">
          <w:rPr>
            <w:noProof/>
            <w:webHidden/>
          </w:rPr>
          <w:t>4</w:t>
        </w:r>
        <w:r w:rsidR="0076291D">
          <w:rPr>
            <w:noProof/>
            <w:webHidden/>
          </w:rPr>
          <w:fldChar w:fldCharType="end"/>
        </w:r>
      </w:hyperlink>
    </w:p>
    <w:p w:rsidR="0076291D" w:rsidRDefault="00B34379">
      <w:pPr>
        <w:pStyle w:val="TOC1"/>
        <w:rPr>
          <w:rFonts w:asciiTheme="minorHAnsi" w:eastAsiaTheme="minorEastAsia" w:hAnsiTheme="minorHAnsi" w:cstheme="minorBidi"/>
          <w:caps w:val="0"/>
          <w:noProof/>
          <w:sz w:val="22"/>
          <w:szCs w:val="22"/>
        </w:rPr>
      </w:pPr>
      <w:hyperlink w:anchor="_Toc407012914" w:history="1">
        <w:r w:rsidR="0076291D" w:rsidRPr="00532307">
          <w:rPr>
            <w:rStyle w:val="Hyperlink"/>
            <w:noProof/>
          </w:rPr>
          <w:t>III.</w:t>
        </w:r>
        <w:r w:rsidR="0076291D">
          <w:rPr>
            <w:rFonts w:asciiTheme="minorHAnsi" w:eastAsiaTheme="minorEastAsia" w:hAnsiTheme="minorHAnsi" w:cstheme="minorBidi"/>
            <w:caps w:val="0"/>
            <w:noProof/>
            <w:sz w:val="22"/>
            <w:szCs w:val="22"/>
          </w:rPr>
          <w:tab/>
        </w:r>
        <w:r w:rsidR="0076291D" w:rsidRPr="00532307">
          <w:rPr>
            <w:rStyle w:val="Hyperlink"/>
            <w:noProof/>
          </w:rPr>
          <w:t>ARGUMENT</w:t>
        </w:r>
        <w:r w:rsidR="0076291D">
          <w:rPr>
            <w:noProof/>
            <w:webHidden/>
          </w:rPr>
          <w:tab/>
        </w:r>
        <w:r w:rsidR="0076291D">
          <w:rPr>
            <w:noProof/>
            <w:webHidden/>
          </w:rPr>
          <w:fldChar w:fldCharType="begin"/>
        </w:r>
        <w:r w:rsidR="0076291D">
          <w:rPr>
            <w:noProof/>
            <w:webHidden/>
          </w:rPr>
          <w:instrText xml:space="preserve"> PAGEREF _Toc407012914 \h </w:instrText>
        </w:r>
        <w:r w:rsidR="0076291D">
          <w:rPr>
            <w:noProof/>
            <w:webHidden/>
          </w:rPr>
        </w:r>
        <w:r w:rsidR="0076291D">
          <w:rPr>
            <w:noProof/>
            <w:webHidden/>
          </w:rPr>
          <w:fldChar w:fldCharType="separate"/>
        </w:r>
        <w:r w:rsidR="0049671F">
          <w:rPr>
            <w:noProof/>
            <w:webHidden/>
          </w:rPr>
          <w:t>5</w:t>
        </w:r>
        <w:r w:rsidR="0076291D">
          <w:rPr>
            <w:noProof/>
            <w:webHidden/>
          </w:rPr>
          <w:fldChar w:fldCharType="end"/>
        </w:r>
      </w:hyperlink>
    </w:p>
    <w:p w:rsidR="0076291D" w:rsidRDefault="00B34379">
      <w:pPr>
        <w:pStyle w:val="TOC2"/>
        <w:tabs>
          <w:tab w:val="left" w:pos="1440"/>
        </w:tabs>
        <w:rPr>
          <w:rFonts w:asciiTheme="minorHAnsi" w:eastAsiaTheme="minorEastAsia" w:hAnsiTheme="minorHAnsi" w:cstheme="minorBidi"/>
          <w:noProof/>
          <w:sz w:val="22"/>
          <w:szCs w:val="22"/>
        </w:rPr>
      </w:pPr>
      <w:hyperlink w:anchor="_Toc407012915" w:history="1">
        <w:r w:rsidR="0076291D" w:rsidRPr="00532307">
          <w:rPr>
            <w:rStyle w:val="Hyperlink"/>
            <w:noProof/>
          </w:rPr>
          <w:t>A.</w:t>
        </w:r>
        <w:r w:rsidR="0076291D">
          <w:rPr>
            <w:rFonts w:asciiTheme="minorHAnsi" w:eastAsiaTheme="minorEastAsia" w:hAnsiTheme="minorHAnsi" w:cstheme="minorBidi"/>
            <w:noProof/>
            <w:sz w:val="22"/>
            <w:szCs w:val="22"/>
          </w:rPr>
          <w:tab/>
        </w:r>
        <w:r w:rsidR="0076291D" w:rsidRPr="00532307">
          <w:rPr>
            <w:rStyle w:val="Hyperlink"/>
            <w:noProof/>
          </w:rPr>
          <w:t>The PUCO violated R.C. 4903.09 by failing to set forth its reasons for authorizing the FirstEnergy utilities to charge customers for capacity shortfalls that may result from the Utility’s decision to eliminate over 60 percent of its energy efficiency programs.</w:t>
        </w:r>
        <w:r w:rsidR="0076291D">
          <w:rPr>
            <w:noProof/>
            <w:webHidden/>
          </w:rPr>
          <w:tab/>
        </w:r>
        <w:r w:rsidR="0076291D">
          <w:rPr>
            <w:noProof/>
            <w:webHidden/>
          </w:rPr>
          <w:fldChar w:fldCharType="begin"/>
        </w:r>
        <w:r w:rsidR="0076291D">
          <w:rPr>
            <w:noProof/>
            <w:webHidden/>
          </w:rPr>
          <w:instrText xml:space="preserve"> PAGEREF _Toc407012915 \h </w:instrText>
        </w:r>
        <w:r w:rsidR="0076291D">
          <w:rPr>
            <w:noProof/>
            <w:webHidden/>
          </w:rPr>
        </w:r>
        <w:r w:rsidR="0076291D">
          <w:rPr>
            <w:noProof/>
            <w:webHidden/>
          </w:rPr>
          <w:fldChar w:fldCharType="separate"/>
        </w:r>
        <w:r w:rsidR="0049671F">
          <w:rPr>
            <w:noProof/>
            <w:webHidden/>
          </w:rPr>
          <w:t>5</w:t>
        </w:r>
        <w:r w:rsidR="0076291D">
          <w:rPr>
            <w:noProof/>
            <w:webHidden/>
          </w:rPr>
          <w:fldChar w:fldCharType="end"/>
        </w:r>
      </w:hyperlink>
    </w:p>
    <w:p w:rsidR="0076291D" w:rsidRDefault="00B34379">
      <w:pPr>
        <w:pStyle w:val="TOC2"/>
        <w:tabs>
          <w:tab w:val="left" w:pos="1440"/>
        </w:tabs>
        <w:rPr>
          <w:rFonts w:asciiTheme="minorHAnsi" w:eastAsiaTheme="minorEastAsia" w:hAnsiTheme="minorHAnsi" w:cstheme="minorBidi"/>
          <w:noProof/>
          <w:sz w:val="22"/>
          <w:szCs w:val="22"/>
        </w:rPr>
      </w:pPr>
      <w:hyperlink w:anchor="_Toc407012916" w:history="1">
        <w:r w:rsidR="0076291D" w:rsidRPr="00532307">
          <w:rPr>
            <w:rStyle w:val="Hyperlink"/>
            <w:noProof/>
          </w:rPr>
          <w:t>B.</w:t>
        </w:r>
        <w:r w:rsidR="0076291D">
          <w:rPr>
            <w:rFonts w:asciiTheme="minorHAnsi" w:eastAsiaTheme="minorEastAsia" w:hAnsiTheme="minorHAnsi" w:cstheme="minorBidi"/>
            <w:noProof/>
            <w:sz w:val="22"/>
            <w:szCs w:val="22"/>
          </w:rPr>
          <w:tab/>
        </w:r>
        <w:r w:rsidR="0076291D" w:rsidRPr="00532307">
          <w:rPr>
            <w:rStyle w:val="Hyperlink"/>
            <w:noProof/>
          </w:rPr>
          <w:t>The PUCO erred in its decision that customers be responsible for any “prudently incurred costs of any steps taken to eliminate any [capacity] shortfalls” because FirstEnergy should bear any costs associated with its decision to eliminate the majority of its energy efficiency programs.</w:t>
        </w:r>
        <w:r w:rsidR="0076291D">
          <w:rPr>
            <w:noProof/>
            <w:webHidden/>
          </w:rPr>
          <w:tab/>
        </w:r>
        <w:r w:rsidR="0076291D">
          <w:rPr>
            <w:noProof/>
            <w:webHidden/>
          </w:rPr>
          <w:fldChar w:fldCharType="begin"/>
        </w:r>
        <w:r w:rsidR="0076291D">
          <w:rPr>
            <w:noProof/>
            <w:webHidden/>
          </w:rPr>
          <w:instrText xml:space="preserve"> PAGEREF _Toc407012916 \h </w:instrText>
        </w:r>
        <w:r w:rsidR="0076291D">
          <w:rPr>
            <w:noProof/>
            <w:webHidden/>
          </w:rPr>
        </w:r>
        <w:r w:rsidR="0076291D">
          <w:rPr>
            <w:noProof/>
            <w:webHidden/>
          </w:rPr>
          <w:fldChar w:fldCharType="separate"/>
        </w:r>
        <w:r w:rsidR="0049671F">
          <w:rPr>
            <w:noProof/>
            <w:webHidden/>
          </w:rPr>
          <w:t>8</w:t>
        </w:r>
        <w:r w:rsidR="0076291D">
          <w:rPr>
            <w:noProof/>
            <w:webHidden/>
          </w:rPr>
          <w:fldChar w:fldCharType="end"/>
        </w:r>
      </w:hyperlink>
    </w:p>
    <w:p w:rsidR="0076291D" w:rsidRDefault="00B34379">
      <w:pPr>
        <w:pStyle w:val="TOC2"/>
        <w:tabs>
          <w:tab w:val="left" w:pos="1440"/>
        </w:tabs>
        <w:rPr>
          <w:rFonts w:asciiTheme="minorHAnsi" w:eastAsiaTheme="minorEastAsia" w:hAnsiTheme="minorHAnsi" w:cstheme="minorBidi"/>
          <w:noProof/>
          <w:sz w:val="22"/>
          <w:szCs w:val="22"/>
        </w:rPr>
      </w:pPr>
      <w:hyperlink w:anchor="_Toc407012917" w:history="1">
        <w:r w:rsidR="0076291D" w:rsidRPr="00532307">
          <w:rPr>
            <w:rStyle w:val="Hyperlink"/>
            <w:noProof/>
          </w:rPr>
          <w:t>C.</w:t>
        </w:r>
        <w:r w:rsidR="0076291D">
          <w:rPr>
            <w:rFonts w:asciiTheme="minorHAnsi" w:eastAsiaTheme="minorEastAsia" w:hAnsiTheme="minorHAnsi" w:cstheme="minorBidi"/>
            <w:noProof/>
            <w:sz w:val="22"/>
            <w:szCs w:val="22"/>
          </w:rPr>
          <w:tab/>
        </w:r>
        <w:r w:rsidR="0076291D" w:rsidRPr="00532307">
          <w:rPr>
            <w:rStyle w:val="Hyperlink"/>
            <w:noProof/>
          </w:rPr>
          <w:t>The PUCO erred in not clarifying its Finding and Order that, consistent with Ohio Admin. Code 4901:1-39-04(B), FirstEnergy must demonstrate that its amended energy efficiency portfolio is cost-effective.</w:t>
        </w:r>
        <w:r w:rsidR="0076291D">
          <w:rPr>
            <w:noProof/>
            <w:webHidden/>
          </w:rPr>
          <w:tab/>
        </w:r>
        <w:r w:rsidR="0076291D">
          <w:rPr>
            <w:noProof/>
            <w:webHidden/>
          </w:rPr>
          <w:fldChar w:fldCharType="begin"/>
        </w:r>
        <w:r w:rsidR="0076291D">
          <w:rPr>
            <w:noProof/>
            <w:webHidden/>
          </w:rPr>
          <w:instrText xml:space="preserve"> PAGEREF _Toc407012917 \h </w:instrText>
        </w:r>
        <w:r w:rsidR="0076291D">
          <w:rPr>
            <w:noProof/>
            <w:webHidden/>
          </w:rPr>
        </w:r>
        <w:r w:rsidR="0076291D">
          <w:rPr>
            <w:noProof/>
            <w:webHidden/>
          </w:rPr>
          <w:fldChar w:fldCharType="separate"/>
        </w:r>
        <w:r w:rsidR="0049671F">
          <w:rPr>
            <w:noProof/>
            <w:webHidden/>
          </w:rPr>
          <w:t>10</w:t>
        </w:r>
        <w:r w:rsidR="0076291D">
          <w:rPr>
            <w:noProof/>
            <w:webHidden/>
          </w:rPr>
          <w:fldChar w:fldCharType="end"/>
        </w:r>
      </w:hyperlink>
    </w:p>
    <w:p w:rsidR="0076291D" w:rsidRDefault="00B34379">
      <w:pPr>
        <w:pStyle w:val="TOC1"/>
        <w:rPr>
          <w:rFonts w:asciiTheme="minorHAnsi" w:eastAsiaTheme="minorEastAsia" w:hAnsiTheme="minorHAnsi" w:cstheme="minorBidi"/>
          <w:caps w:val="0"/>
          <w:noProof/>
          <w:sz w:val="22"/>
          <w:szCs w:val="22"/>
        </w:rPr>
      </w:pPr>
      <w:hyperlink w:anchor="_Toc407012918" w:history="1">
        <w:r w:rsidR="0076291D" w:rsidRPr="00532307">
          <w:rPr>
            <w:rStyle w:val="Hyperlink"/>
            <w:noProof/>
          </w:rPr>
          <w:t>Iv.</w:t>
        </w:r>
        <w:r w:rsidR="0076291D">
          <w:rPr>
            <w:rFonts w:asciiTheme="minorHAnsi" w:eastAsiaTheme="minorEastAsia" w:hAnsiTheme="minorHAnsi" w:cstheme="minorBidi"/>
            <w:caps w:val="0"/>
            <w:noProof/>
            <w:sz w:val="22"/>
            <w:szCs w:val="22"/>
          </w:rPr>
          <w:tab/>
        </w:r>
        <w:r w:rsidR="0076291D" w:rsidRPr="00532307">
          <w:rPr>
            <w:rStyle w:val="Hyperlink"/>
            <w:noProof/>
          </w:rPr>
          <w:t>CONCLUSION</w:t>
        </w:r>
        <w:r w:rsidR="0076291D">
          <w:rPr>
            <w:noProof/>
            <w:webHidden/>
          </w:rPr>
          <w:tab/>
        </w:r>
        <w:r w:rsidR="0076291D">
          <w:rPr>
            <w:noProof/>
            <w:webHidden/>
          </w:rPr>
          <w:fldChar w:fldCharType="begin"/>
        </w:r>
        <w:r w:rsidR="0076291D">
          <w:rPr>
            <w:noProof/>
            <w:webHidden/>
          </w:rPr>
          <w:instrText xml:space="preserve"> PAGEREF _Toc407012918 \h </w:instrText>
        </w:r>
        <w:r w:rsidR="0076291D">
          <w:rPr>
            <w:noProof/>
            <w:webHidden/>
          </w:rPr>
        </w:r>
        <w:r w:rsidR="0076291D">
          <w:rPr>
            <w:noProof/>
            <w:webHidden/>
          </w:rPr>
          <w:fldChar w:fldCharType="separate"/>
        </w:r>
        <w:r w:rsidR="0049671F">
          <w:rPr>
            <w:noProof/>
            <w:webHidden/>
          </w:rPr>
          <w:t>11</w:t>
        </w:r>
        <w:r w:rsidR="0076291D">
          <w:rPr>
            <w:noProof/>
            <w:webHidden/>
          </w:rPr>
          <w:fldChar w:fldCharType="end"/>
        </w:r>
      </w:hyperlink>
    </w:p>
    <w:p w:rsidR="00390A01" w:rsidRDefault="00E92175">
      <w:pPr>
        <w:jc w:val="center"/>
        <w:rPr>
          <w:b/>
        </w:rPr>
      </w:pPr>
      <w:r>
        <w:rPr>
          <w:b/>
        </w:rPr>
        <w:fldChar w:fldCharType="end"/>
      </w:r>
    </w:p>
    <w:p w:rsidR="004316EF" w:rsidRDefault="004316EF">
      <w:pPr>
        <w:jc w:val="center"/>
        <w:rPr>
          <w:b/>
        </w:rPr>
        <w:sectPr w:rsidR="004316EF" w:rsidSect="00390A01">
          <w:headerReference w:type="even" r:id="rId20"/>
          <w:headerReference w:type="default" r:id="rId21"/>
          <w:headerReference w:type="first" r:id="rId22"/>
          <w:footerReference w:type="first" r:id="rId23"/>
          <w:pgSz w:w="12240" w:h="15840"/>
          <w:pgMar w:top="1440" w:right="1800" w:bottom="1440" w:left="1800" w:header="720" w:footer="720" w:gutter="0"/>
          <w:pgNumType w:fmt="lowerRoman" w:start="1"/>
          <w:cols w:space="720"/>
          <w:titlePg/>
          <w:docGrid w:linePitch="360"/>
        </w:sectPr>
      </w:pPr>
    </w:p>
    <w:p w:rsidR="00FE55AB" w:rsidRDefault="00FE55AB">
      <w:pPr>
        <w:jc w:val="center"/>
        <w:rPr>
          <w:b/>
        </w:rPr>
      </w:pPr>
      <w:r>
        <w:rPr>
          <w:b/>
        </w:rPr>
        <w:t>BEFORE</w:t>
      </w:r>
    </w:p>
    <w:p w:rsidR="00FE55AB" w:rsidRDefault="00FE55AB">
      <w:pPr>
        <w:jc w:val="center"/>
        <w:rPr>
          <w:b/>
        </w:rPr>
      </w:pPr>
      <w:r>
        <w:rPr>
          <w:b/>
        </w:rPr>
        <w:t>THE PUBLIC UTILITIES COMMISSION OF OHIO</w:t>
      </w:r>
    </w:p>
    <w:p w:rsidR="00FE55AB" w:rsidRDefault="00FE55AB">
      <w:pPr>
        <w:jc w:val="center"/>
      </w:pPr>
    </w:p>
    <w:tbl>
      <w:tblPr>
        <w:tblW w:w="0" w:type="auto"/>
        <w:tblLayout w:type="fixed"/>
        <w:tblLook w:val="0000" w:firstRow="0" w:lastRow="0" w:firstColumn="0" w:lastColumn="0" w:noHBand="0" w:noVBand="0"/>
      </w:tblPr>
      <w:tblGrid>
        <w:gridCol w:w="4338"/>
        <w:gridCol w:w="540"/>
        <w:gridCol w:w="3978"/>
      </w:tblGrid>
      <w:tr w:rsidR="00FE55AB">
        <w:trPr>
          <w:cantSplit/>
          <w:trHeight w:val="342"/>
        </w:trPr>
        <w:tc>
          <w:tcPr>
            <w:tcW w:w="4338" w:type="dxa"/>
          </w:tcPr>
          <w:p w:rsidR="00FE55AB" w:rsidRDefault="00FE55AB" w:rsidP="00DA1254">
            <w:r>
              <w:t xml:space="preserve">In the Matter of the Application of </w:t>
            </w:r>
            <w:r w:rsidR="00DA1254">
              <w:t xml:space="preserve">The Cleveland Electric Illuminating Company, </w:t>
            </w:r>
            <w:r>
              <w:t>Ohio Edison Company, and The Toledo Edison Company For Approval of Their Energy Efficiency and Peak Demand Reduction Program Portfolio Plans for 2013 through 2015.</w:t>
            </w:r>
          </w:p>
        </w:tc>
        <w:tc>
          <w:tcPr>
            <w:tcW w:w="540" w:type="dxa"/>
          </w:tcPr>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p w:rsidR="00FE55AB" w:rsidRDefault="00FE55AB">
            <w:r>
              <w:t>)</w:t>
            </w:r>
          </w:p>
        </w:tc>
        <w:tc>
          <w:tcPr>
            <w:tcW w:w="3978" w:type="dxa"/>
          </w:tcPr>
          <w:p w:rsidR="00FE55AB" w:rsidRDefault="00FE55AB"/>
          <w:p w:rsidR="00FE55AB" w:rsidRDefault="00FE55AB">
            <w:r>
              <w:t>Case No. 12-2190-EL-POR</w:t>
            </w:r>
          </w:p>
          <w:p w:rsidR="00FE55AB" w:rsidRDefault="00FE55AB">
            <w:r>
              <w:t>Case No. 12-2191-EL-POR</w:t>
            </w:r>
          </w:p>
          <w:p w:rsidR="00FE55AB" w:rsidRDefault="00FE55AB">
            <w:r>
              <w:t>Case No. 12-2192-EL-POR</w:t>
            </w:r>
          </w:p>
        </w:tc>
      </w:tr>
    </w:tbl>
    <w:p w:rsidR="00FE55AB" w:rsidRDefault="00FE55AB"/>
    <w:p w:rsidR="00FE55AB" w:rsidRDefault="00FE55AB">
      <w:pPr>
        <w:pBdr>
          <w:top w:val="single" w:sz="12" w:space="1" w:color="auto"/>
        </w:pBdr>
      </w:pPr>
    </w:p>
    <w:p w:rsidR="00FE55AB" w:rsidRDefault="00FE55AB">
      <w:pPr>
        <w:pBdr>
          <w:bottom w:val="single" w:sz="12" w:space="1" w:color="auto"/>
        </w:pBdr>
        <w:jc w:val="center"/>
        <w:rPr>
          <w:b/>
        </w:rPr>
      </w:pPr>
      <w:r>
        <w:rPr>
          <w:b/>
        </w:rPr>
        <w:t>MEMORANDUM IN SUPPORT</w:t>
      </w:r>
    </w:p>
    <w:p w:rsidR="00FE55AB" w:rsidRDefault="00FE55AB">
      <w:pPr>
        <w:pBdr>
          <w:bottom w:val="single" w:sz="12" w:space="1" w:color="auto"/>
        </w:pBdr>
      </w:pPr>
    </w:p>
    <w:p w:rsidR="00FE55AB" w:rsidRDefault="00FE55AB"/>
    <w:p w:rsidR="00FE55AB" w:rsidRDefault="00432EF3" w:rsidP="00432EF3">
      <w:pPr>
        <w:pStyle w:val="Heading1"/>
      </w:pPr>
      <w:bookmarkStart w:id="1" w:name="_Toc331598697"/>
      <w:bookmarkStart w:id="2" w:name="_Toc331602814"/>
      <w:bookmarkStart w:id="3" w:name="_Toc331603299"/>
      <w:bookmarkStart w:id="4" w:name="_Toc340153710"/>
      <w:bookmarkStart w:id="5" w:name="_Toc345674397"/>
      <w:bookmarkStart w:id="6" w:name="_Toc345675355"/>
      <w:bookmarkStart w:id="7" w:name="_Toc353617277"/>
      <w:bookmarkStart w:id="8" w:name="_Toc354150636"/>
      <w:bookmarkStart w:id="9" w:name="_Toc363632579"/>
      <w:bookmarkStart w:id="10" w:name="_Toc364332203"/>
      <w:bookmarkStart w:id="11" w:name="_Toc406689427"/>
      <w:bookmarkStart w:id="12" w:name="_Toc407012912"/>
      <w:r w:rsidRPr="00432EF3">
        <w:rPr>
          <w:b w:val="0"/>
          <w:bCs w:val="0"/>
          <w:caps w:val="0"/>
        </w:rPr>
        <w:t>I.</w:t>
      </w:r>
      <w:r>
        <w:tab/>
      </w:r>
      <w:r w:rsidR="00FE55AB">
        <w:t>INTRODUCTION</w:t>
      </w:r>
      <w:bookmarkEnd w:id="1"/>
      <w:bookmarkEnd w:id="2"/>
      <w:bookmarkEnd w:id="3"/>
      <w:bookmarkEnd w:id="4"/>
      <w:bookmarkEnd w:id="5"/>
      <w:bookmarkEnd w:id="6"/>
      <w:bookmarkEnd w:id="7"/>
      <w:bookmarkEnd w:id="8"/>
      <w:bookmarkEnd w:id="9"/>
      <w:bookmarkEnd w:id="10"/>
      <w:bookmarkEnd w:id="11"/>
      <w:bookmarkEnd w:id="12"/>
    </w:p>
    <w:p w:rsidR="00F853C1" w:rsidRDefault="00F853C1" w:rsidP="00432EF3">
      <w:pPr>
        <w:spacing w:line="480" w:lineRule="auto"/>
        <w:ind w:firstLine="720"/>
      </w:pPr>
      <w:r>
        <w:t>FirstEnergy’s proposal to suspend the majority of its energy efficiency portfolio programs poses a risk to customers with respect to the PJM markets</w:t>
      </w:r>
      <w:r w:rsidR="00E87B5A">
        <w:t>. In this regard, FirstEnergy’s decision to suspend most of its programs could likely result in FirstEnergy not being able to meet its future Base Residual Auction (“BRA”) obligations. The PUCO’s Order confirms that customers will be at risk for capacity-related charges that could arise because of the Utility’s decision.</w:t>
      </w:r>
    </w:p>
    <w:p w:rsidR="00432EF3" w:rsidRDefault="00432EF3" w:rsidP="00432EF3">
      <w:pPr>
        <w:spacing w:line="480" w:lineRule="auto"/>
        <w:ind w:firstLine="720"/>
      </w:pPr>
      <w:r>
        <w:t>In legislation this year (Senate Bill 310), the General Assembly froze the cumulative energy efficiency benchmark for two years (2015 and 2016) if a utility elected to file an amended energy efficiency portfolio plan.</w:t>
      </w:r>
      <w:r>
        <w:rPr>
          <w:rStyle w:val="FootnoteReference"/>
        </w:rPr>
        <w:footnoteReference w:id="3"/>
      </w:r>
      <w:r>
        <w:t xml:space="preserve"> Under this legislation, the General Assembly allowed for two different options for energy efficiency programs and charges to consumers for the next two years. In this regard, uncodified Section 6 of Senate Bill 310 states:</w:t>
      </w:r>
    </w:p>
    <w:p w:rsidR="00432EF3" w:rsidRDefault="00432EF3" w:rsidP="00A35F44">
      <w:pPr>
        <w:numPr>
          <w:ilvl w:val="0"/>
          <w:numId w:val="31"/>
        </w:numPr>
        <w:autoSpaceDE w:val="0"/>
        <w:autoSpaceDN w:val="0"/>
        <w:adjustRightInd w:val="0"/>
        <w:ind w:left="1440" w:right="720" w:hanging="720"/>
      </w:pPr>
      <w:r>
        <w:t>If an electric distribution utility has a portfolio plan that is in effect on the effective date of this section, the utility shall do either of the following, at its sole discretion:</w:t>
      </w:r>
    </w:p>
    <w:p w:rsidR="00AB5CFF" w:rsidRDefault="00AB5CFF" w:rsidP="00A35F44">
      <w:pPr>
        <w:autoSpaceDE w:val="0"/>
        <w:autoSpaceDN w:val="0"/>
        <w:adjustRightInd w:val="0"/>
        <w:ind w:left="1440" w:right="720" w:hanging="720"/>
      </w:pPr>
    </w:p>
    <w:p w:rsidR="00091CCE" w:rsidRDefault="00432EF3" w:rsidP="00A35F44">
      <w:pPr>
        <w:numPr>
          <w:ilvl w:val="0"/>
          <w:numId w:val="33"/>
        </w:numPr>
        <w:autoSpaceDE w:val="0"/>
        <w:autoSpaceDN w:val="0"/>
        <w:adjustRightInd w:val="0"/>
        <w:ind w:left="2160" w:right="720" w:hanging="720"/>
      </w:pPr>
      <w:r>
        <w:t>Continue to implement the portfolio plan with no amendments to the plan, for the duration that the Public Utilities Commission originally approved, subject to divisions (D) and (E) of this section;</w:t>
      </w:r>
    </w:p>
    <w:p w:rsidR="00091CCE" w:rsidRDefault="00091CCE" w:rsidP="00A35F44">
      <w:pPr>
        <w:autoSpaceDE w:val="0"/>
        <w:autoSpaceDN w:val="0"/>
        <w:adjustRightInd w:val="0"/>
        <w:ind w:left="2160" w:right="720" w:hanging="720"/>
      </w:pPr>
    </w:p>
    <w:p w:rsidR="00432EF3" w:rsidRDefault="00432EF3" w:rsidP="00A35F44">
      <w:pPr>
        <w:numPr>
          <w:ilvl w:val="0"/>
          <w:numId w:val="33"/>
        </w:numPr>
        <w:autoSpaceDE w:val="0"/>
        <w:autoSpaceDN w:val="0"/>
        <w:adjustRightInd w:val="0"/>
        <w:ind w:left="2160" w:right="720" w:hanging="720"/>
      </w:pPr>
      <w:r>
        <w:t>Seek an amendment of the portfolio plan under division (B) of this section.</w:t>
      </w:r>
    </w:p>
    <w:p w:rsidR="00432EF3" w:rsidRDefault="00432EF3" w:rsidP="00432EF3">
      <w:pPr>
        <w:autoSpaceDE w:val="0"/>
        <w:autoSpaceDN w:val="0"/>
        <w:adjustRightInd w:val="0"/>
      </w:pPr>
    </w:p>
    <w:p w:rsidR="00432EF3" w:rsidRDefault="00432EF3" w:rsidP="00AB6EDD">
      <w:pPr>
        <w:autoSpaceDE w:val="0"/>
        <w:autoSpaceDN w:val="0"/>
        <w:adjustRightInd w:val="0"/>
        <w:spacing w:line="480" w:lineRule="auto"/>
        <w:ind w:firstLine="720"/>
      </w:pPr>
      <w:r>
        <w:t>FirstEnergy filed an Application seeking the PUCO’s approval to amend its energy efficiency and peak demand reduction plans for 2015 through 2016 (under option</w:t>
      </w:r>
    </w:p>
    <w:p w:rsidR="000C3290" w:rsidRDefault="00432EF3" w:rsidP="00432EF3">
      <w:pPr>
        <w:autoSpaceDE w:val="0"/>
        <w:autoSpaceDN w:val="0"/>
        <w:adjustRightInd w:val="0"/>
        <w:spacing w:line="480" w:lineRule="auto"/>
      </w:pPr>
      <w:r>
        <w:t>(A)(2) above). In</w:t>
      </w:r>
      <w:r w:rsidR="000C3290">
        <w:t xml:space="preserve"> its Application, FirstEnergy sought</w:t>
      </w:r>
      <w:r>
        <w:t xml:space="preserve"> to eliminate, or “suspend,” the majority of its energy efficiency/peak demand reduction programs (</w:t>
      </w:r>
      <w:r w:rsidR="00EC24A8">
        <w:t xml:space="preserve">nine </w:t>
      </w:r>
      <w:r>
        <w:t xml:space="preserve">programs out of 15) that were to be </w:t>
      </w:r>
      <w:r w:rsidR="00662BB4">
        <w:t>offered to</w:t>
      </w:r>
      <w:r>
        <w:t xml:space="preserve"> customers for the next two years.</w:t>
      </w:r>
      <w:r>
        <w:rPr>
          <w:rStyle w:val="FootnoteReference"/>
        </w:rPr>
        <w:footnoteReference w:id="4"/>
      </w:r>
      <w:r>
        <w:t xml:space="preserve"> </w:t>
      </w:r>
    </w:p>
    <w:p w:rsidR="00BA6313" w:rsidRDefault="000C3290" w:rsidP="00871CA2">
      <w:pPr>
        <w:autoSpaceDE w:val="0"/>
        <w:autoSpaceDN w:val="0"/>
        <w:adjustRightInd w:val="0"/>
        <w:spacing w:line="480" w:lineRule="auto"/>
        <w:ind w:firstLine="720"/>
      </w:pPr>
      <w:r>
        <w:t>Several parties explained in comments</w:t>
      </w:r>
      <w:r>
        <w:rPr>
          <w:rStyle w:val="FootnoteReference"/>
        </w:rPr>
        <w:footnoteReference w:id="5"/>
      </w:r>
      <w:r>
        <w:t xml:space="preserve"> that </w:t>
      </w:r>
      <w:r w:rsidR="00432EF3">
        <w:t xml:space="preserve">FirstEnergy’s proposal to suspend the majority of its programs </w:t>
      </w:r>
      <w:r w:rsidR="00657AD5">
        <w:t xml:space="preserve">is unreasonable because it </w:t>
      </w:r>
      <w:r w:rsidR="00432EF3">
        <w:t>poses a risk to customers with respect to the PJM</w:t>
      </w:r>
      <w:r w:rsidR="00D92C64">
        <w:t xml:space="preserve"> Interconnection, LLC (“PJM”)</w:t>
      </w:r>
      <w:r w:rsidR="00432EF3">
        <w:t xml:space="preserve"> markets</w:t>
      </w:r>
      <w:r>
        <w:t>.</w:t>
      </w:r>
      <w:r w:rsidR="00432EF3">
        <w:t xml:space="preserve"> </w:t>
      </w:r>
      <w:r>
        <w:t xml:space="preserve">This </w:t>
      </w:r>
      <w:r w:rsidR="00DE1743">
        <w:t>is because the PUCO, in its March 20, 2013</w:t>
      </w:r>
      <w:r>
        <w:t xml:space="preserve"> Opinion and Order in 12-2190-</w:t>
      </w:r>
      <w:r w:rsidR="00DE1743">
        <w:t>EL-POR</w:t>
      </w:r>
      <w:r w:rsidR="00153D51">
        <w:t xml:space="preserve"> (“March 20 Order”)</w:t>
      </w:r>
      <w:r w:rsidR="00DE1743">
        <w:t xml:space="preserve">, </w:t>
      </w:r>
      <w:r>
        <w:t>required FirstEnergy to bid 75</w:t>
      </w:r>
      <w:r w:rsidR="00634F51">
        <w:t xml:space="preserve"> percent</w:t>
      </w:r>
      <w:r>
        <w:t xml:space="preserve"> of its energy efficiency into the May 2013 PJM </w:t>
      </w:r>
      <w:r w:rsidR="00EC24A8">
        <w:t xml:space="preserve">Reliability Pricing Model (“RPM”) </w:t>
      </w:r>
      <w:r w:rsidR="00E87B5A">
        <w:t>BRA</w:t>
      </w:r>
      <w:r>
        <w:t xml:space="preserve"> for the 2016/2017 Delivery Year.</w:t>
      </w:r>
      <w:r w:rsidR="00AA1506">
        <w:rPr>
          <w:rStyle w:val="FootnoteReference"/>
        </w:rPr>
        <w:footnoteReference w:id="6"/>
      </w:r>
      <w:r w:rsidR="00DE1743">
        <w:t xml:space="preserve"> </w:t>
      </w:r>
      <w:r w:rsidR="00BA6313">
        <w:t>FirstEnergy did so and as a result is now obligated to make available for delivery for planning years 2016 and 2017 its energy efficiency resources that were “planned” as of 2014. But now, First Energy has changed its “planned” energy efficiency resources by drastically reducing its portfolio programs.</w:t>
      </w:r>
      <w:r w:rsidR="005275F5">
        <w:t xml:space="preserve"> </w:t>
      </w:r>
      <w:r w:rsidR="00BA6313">
        <w:t xml:space="preserve">Thus, its earlier commitment for 2016 and 2017 may be difficult to meet and FirstEnergy is asking customers to </w:t>
      </w:r>
      <w:r w:rsidR="004D7F56">
        <w:t xml:space="preserve">bear </w:t>
      </w:r>
      <w:r w:rsidR="0008762F">
        <w:t xml:space="preserve">its </w:t>
      </w:r>
      <w:r w:rsidR="004D7F56">
        <w:t>risk of not meet</w:t>
      </w:r>
      <w:r w:rsidR="0008762F">
        <w:t>ing</w:t>
      </w:r>
      <w:r w:rsidR="004D7F56">
        <w:t xml:space="preserve"> its commitment to PJM. </w:t>
      </w:r>
    </w:p>
    <w:p w:rsidR="00E62833" w:rsidRDefault="00BA6313" w:rsidP="00871CA2">
      <w:pPr>
        <w:autoSpaceDE w:val="0"/>
        <w:autoSpaceDN w:val="0"/>
        <w:adjustRightInd w:val="0"/>
        <w:spacing w:line="480" w:lineRule="auto"/>
        <w:ind w:firstLine="720"/>
      </w:pPr>
      <w:r>
        <w:t xml:space="preserve"> </w:t>
      </w:r>
      <w:r w:rsidR="00EC24A8">
        <w:t xml:space="preserve">BRAs </w:t>
      </w:r>
      <w:r w:rsidR="00871CA2">
        <w:t xml:space="preserve">are held </w:t>
      </w:r>
      <w:r w:rsidR="00871CA2" w:rsidRPr="00871CA2">
        <w:t>each May, three years prior to the actual delivery date (the year in which the committed</w:t>
      </w:r>
      <w:r w:rsidR="00871CA2">
        <w:t xml:space="preserve"> </w:t>
      </w:r>
      <w:r w:rsidR="00871CA2" w:rsidRPr="00871CA2">
        <w:t>capac</w:t>
      </w:r>
      <w:r w:rsidR="00AA1506">
        <w:t xml:space="preserve">ity resource must be available). These auctions </w:t>
      </w:r>
      <w:r w:rsidR="00871CA2" w:rsidRPr="00871CA2">
        <w:t>are designed to ensure that adequate resources</w:t>
      </w:r>
      <w:r w:rsidR="00871CA2">
        <w:t xml:space="preserve"> </w:t>
      </w:r>
      <w:r w:rsidR="00871CA2" w:rsidRPr="00871CA2">
        <w:t>will be available to serve each zone of the PJM system</w:t>
      </w:r>
      <w:r w:rsidR="00871CA2">
        <w:t>.</w:t>
      </w:r>
      <w:r w:rsidR="00091CCE">
        <w:t xml:space="preserve"> At the time the PUCO ordered FirstEnergy to bid 75</w:t>
      </w:r>
      <w:r w:rsidR="00634F51">
        <w:t xml:space="preserve"> percent</w:t>
      </w:r>
      <w:r w:rsidR="00091CCE">
        <w:t xml:space="preserve"> of its resources into the PJM </w:t>
      </w:r>
      <w:r w:rsidR="00402945">
        <w:t>BRA</w:t>
      </w:r>
      <w:r w:rsidR="00091CCE">
        <w:t>, FirstEnergy had an entire portfolio of energy efficiency programs in place that could yield resources to be bid into the PJM auctions</w:t>
      </w:r>
      <w:r w:rsidR="00AA1506">
        <w:t xml:space="preserve"> for the benefit of customers. But t</w:t>
      </w:r>
      <w:r w:rsidR="00091CCE">
        <w:t>hat has changed significantly as a result of the Utility’s Application in this proceeding.</w:t>
      </w:r>
    </w:p>
    <w:p w:rsidR="00DE1743" w:rsidRDefault="00153D51" w:rsidP="00871CA2">
      <w:pPr>
        <w:autoSpaceDE w:val="0"/>
        <w:autoSpaceDN w:val="0"/>
        <w:adjustRightInd w:val="0"/>
        <w:spacing w:line="480" w:lineRule="auto"/>
        <w:ind w:firstLine="720"/>
      </w:pPr>
      <w:r>
        <w:t>In its March 20 Order, t</w:t>
      </w:r>
      <w:r w:rsidR="00DE1743">
        <w:t xml:space="preserve">he PUCO concluded that there is a “substantial benefit” to customers from bidding resources </w:t>
      </w:r>
      <w:r w:rsidR="00EC24A8">
        <w:t xml:space="preserve">annually </w:t>
      </w:r>
      <w:r w:rsidR="00DE1743">
        <w:t xml:space="preserve">into the PJM </w:t>
      </w:r>
      <w:r w:rsidR="00EC24A8">
        <w:t>BRA</w:t>
      </w:r>
      <w:r w:rsidR="00DE1743">
        <w:t>.</w:t>
      </w:r>
      <w:r w:rsidR="00DE1743">
        <w:rPr>
          <w:rStyle w:val="FootnoteReference"/>
        </w:rPr>
        <w:footnoteReference w:id="7"/>
      </w:r>
      <w:r w:rsidR="000C3290">
        <w:t xml:space="preserve"> But </w:t>
      </w:r>
      <w:r w:rsidR="00EC24A8">
        <w:t xml:space="preserve">because </w:t>
      </w:r>
      <w:r w:rsidR="000C3290">
        <w:t>FirstEnergy proposed to eliminate the majority of its energy efficiency programs</w:t>
      </w:r>
      <w:r w:rsidR="00DE1743">
        <w:t xml:space="preserve"> for 2015 and 2016</w:t>
      </w:r>
      <w:r w:rsidR="000C3290">
        <w:t>,</w:t>
      </w:r>
      <w:r w:rsidR="00DE1743">
        <w:t xml:space="preserve"> customers will </w:t>
      </w:r>
      <w:r w:rsidR="00E62833">
        <w:t xml:space="preserve">likely </w:t>
      </w:r>
      <w:r w:rsidR="00DE1743">
        <w:t>not experience this “substantial benefit</w:t>
      </w:r>
      <w:r w:rsidR="00657AD5">
        <w:t>.</w:t>
      </w:r>
      <w:r w:rsidR="00DE1743">
        <w:t>”</w:t>
      </w:r>
      <w:r w:rsidR="005275F5">
        <w:t xml:space="preserve"> </w:t>
      </w:r>
      <w:r w:rsidR="00657AD5">
        <w:t xml:space="preserve">Instead </w:t>
      </w:r>
      <w:r w:rsidR="000C3290">
        <w:t>it is likely ther</w:t>
      </w:r>
      <w:r w:rsidR="004A17F0">
        <w:t>e will be a capacity shortfall</w:t>
      </w:r>
      <w:r w:rsidR="00EC24A8">
        <w:t>,</w:t>
      </w:r>
      <w:r>
        <w:t xml:space="preserve"> which could result in increased capacity charges to customers</w:t>
      </w:r>
      <w:r w:rsidR="004A17F0">
        <w:t xml:space="preserve">. </w:t>
      </w:r>
      <w:r w:rsidR="00DE1743">
        <w:t xml:space="preserve">The PUCO’s Order places the risk of </w:t>
      </w:r>
      <w:r w:rsidR="00662BB4">
        <w:t>this capacity</w:t>
      </w:r>
      <w:r w:rsidR="00DE1743">
        <w:t xml:space="preserve"> shortfall</w:t>
      </w:r>
      <w:r w:rsidR="00EC24A8">
        <w:t xml:space="preserve"> and its associated costs</w:t>
      </w:r>
      <w:r w:rsidR="00DE1743">
        <w:t xml:space="preserve"> </w:t>
      </w:r>
      <w:r w:rsidR="00091CCE">
        <w:t>on customers</w:t>
      </w:r>
      <w:r w:rsidR="00AA1506">
        <w:t>,</w:t>
      </w:r>
      <w:r w:rsidR="00091CCE">
        <w:t xml:space="preserve"> </w:t>
      </w:r>
      <w:r w:rsidR="00AA1506">
        <w:t>rather than</w:t>
      </w:r>
      <w:r w:rsidR="00091CCE">
        <w:t xml:space="preserve"> the Utility</w:t>
      </w:r>
      <w:r w:rsidR="00EC24A8">
        <w:t xml:space="preserve"> that made this business decision.  </w:t>
      </w:r>
    </w:p>
    <w:p w:rsidR="00031587" w:rsidRDefault="00031587" w:rsidP="00432EF3">
      <w:pPr>
        <w:autoSpaceDE w:val="0"/>
        <w:autoSpaceDN w:val="0"/>
        <w:adjustRightInd w:val="0"/>
        <w:spacing w:line="480" w:lineRule="auto"/>
      </w:pPr>
      <w:r>
        <w:tab/>
      </w:r>
      <w:r w:rsidR="00AB5CFF">
        <w:t>In addition to eliminating the majority of its energy efficiency programs, FirstEnergy proposed two new programs, one being the “Customer Action Program.” Under the Customer Action Program, the Utility intends to “capture” energy savings and peak demand reductions through actions taken by customers outside of utility-administered programs.</w:t>
      </w:r>
      <w:r w:rsidR="00AB5CFF">
        <w:rPr>
          <w:rStyle w:val="FootnoteReference"/>
        </w:rPr>
        <w:footnoteReference w:id="8"/>
      </w:r>
      <w:r w:rsidR="002E6E34">
        <w:t xml:space="preserve"> </w:t>
      </w:r>
      <w:r w:rsidR="00944212">
        <w:t>In its Order, t</w:t>
      </w:r>
      <w:r w:rsidR="002E6E34">
        <w:t>he PUCO found that FirstEnergy included little information in its Application as to how to verify savings that result from the Customer Action Program.</w:t>
      </w:r>
      <w:r w:rsidR="002E6E34">
        <w:rPr>
          <w:rStyle w:val="FootnoteReference"/>
        </w:rPr>
        <w:footnoteReference w:id="9"/>
      </w:r>
      <w:r w:rsidR="00091CCE">
        <w:t xml:space="preserve"> And al</w:t>
      </w:r>
      <w:r w:rsidR="002E6E34">
        <w:t>though the PUCO approved the Customer Action Program, the PUCO stressed that any savings resulting from the program could not be counted until the savings are measured and verified.</w:t>
      </w:r>
      <w:r w:rsidR="00F0426D">
        <w:rPr>
          <w:rStyle w:val="FootnoteReference"/>
        </w:rPr>
        <w:footnoteReference w:id="10"/>
      </w:r>
      <w:r w:rsidR="00F0426D">
        <w:t xml:space="preserve"> The </w:t>
      </w:r>
      <w:r w:rsidR="00091CCE">
        <w:t>PUCO required that</w:t>
      </w:r>
      <w:r w:rsidR="0008762F">
        <w:t xml:space="preserve"> the</w:t>
      </w:r>
      <w:r w:rsidR="00091CCE">
        <w:t xml:space="preserve"> </w:t>
      </w:r>
      <w:r w:rsidR="00F0426D">
        <w:t xml:space="preserve">Customer Action Program be subject to the Total Resource Cost Test (“TRC”) to </w:t>
      </w:r>
      <w:r w:rsidR="004E4C78">
        <w:t>en</w:t>
      </w:r>
      <w:r w:rsidR="00F0426D">
        <w:t>sure that the program is cost-effective as part of future audits.</w:t>
      </w:r>
      <w:r w:rsidR="00F0426D">
        <w:rPr>
          <w:rStyle w:val="FootnoteReference"/>
        </w:rPr>
        <w:footnoteReference w:id="11"/>
      </w:r>
      <w:r w:rsidR="00F0426D">
        <w:t xml:space="preserve"> </w:t>
      </w:r>
      <w:r w:rsidR="00C72E33">
        <w:t>T</w:t>
      </w:r>
      <w:r w:rsidR="00F0426D">
        <w:t xml:space="preserve">he PUCO should clarify that FirstEnergy’s overall modified portfolio is </w:t>
      </w:r>
      <w:r w:rsidR="00F0426D" w:rsidRPr="00F0426D">
        <w:rPr>
          <w:i/>
        </w:rPr>
        <w:t>required</w:t>
      </w:r>
      <w:r w:rsidR="00F0426D">
        <w:t xml:space="preserve"> to be cost-effective under the PUCO’s rules</w:t>
      </w:r>
      <w:r w:rsidR="00091CCE">
        <w:t xml:space="preserve"> (Ohio Admin. Code 4901:1-39-04(B))</w:t>
      </w:r>
      <w:r w:rsidR="00F0426D">
        <w:t>.</w:t>
      </w:r>
    </w:p>
    <w:p w:rsidR="00A35F44" w:rsidRDefault="00A35F44" w:rsidP="00A35F44">
      <w:pPr>
        <w:autoSpaceDE w:val="0"/>
        <w:autoSpaceDN w:val="0"/>
        <w:adjustRightInd w:val="0"/>
      </w:pPr>
    </w:p>
    <w:p w:rsidR="00FE55AB" w:rsidRDefault="00FE55AB" w:rsidP="004A4FD9">
      <w:pPr>
        <w:pStyle w:val="Heading1"/>
      </w:pPr>
      <w:bookmarkStart w:id="13" w:name="_Toc285028425"/>
      <w:bookmarkStart w:id="14" w:name="_Toc285028467"/>
      <w:bookmarkStart w:id="15" w:name="_Toc331598698"/>
      <w:bookmarkStart w:id="16" w:name="_Toc331602815"/>
      <w:bookmarkStart w:id="17" w:name="_Toc331603300"/>
      <w:bookmarkStart w:id="18" w:name="_Toc340153711"/>
      <w:bookmarkStart w:id="19" w:name="_Toc345674398"/>
      <w:bookmarkStart w:id="20" w:name="_Toc345675356"/>
      <w:bookmarkStart w:id="21" w:name="_Toc353617278"/>
      <w:bookmarkStart w:id="22" w:name="_Toc354150637"/>
      <w:bookmarkStart w:id="23" w:name="_Toc363632580"/>
      <w:bookmarkStart w:id="24" w:name="_Toc364332204"/>
      <w:bookmarkStart w:id="25" w:name="_Toc406689428"/>
      <w:bookmarkStart w:id="26" w:name="_Toc407012913"/>
      <w:r>
        <w:t>II.</w:t>
      </w:r>
      <w:r>
        <w:tab/>
        <w:t>Standard of Review</w:t>
      </w:r>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E55AB" w:rsidRDefault="00FE55AB">
      <w:pPr>
        <w:spacing w:line="480" w:lineRule="auto"/>
      </w:pPr>
      <w:r>
        <w:tab/>
        <w:t xml:space="preserve">Applications for rehearing are governed by R.C. 4903.10. This statute provides that any party may apply for rehearing on matters decided by the </w:t>
      </w:r>
      <w:r w:rsidR="00996712">
        <w:t xml:space="preserve">PUCO </w:t>
      </w:r>
      <w:r>
        <w:t>within thirty days after an order is issued.</w:t>
      </w:r>
      <w:r>
        <w:rPr>
          <w:rStyle w:val="FootnoteReference"/>
        </w:rPr>
        <w:footnoteReference w:id="12"/>
      </w:r>
      <w:r>
        <w:t xml:space="preserve"> An application for rehearing must be written and must specify how the order is unreasonable or unlawful.</w:t>
      </w:r>
      <w:r>
        <w:rPr>
          <w:rStyle w:val="FootnoteReference"/>
        </w:rPr>
        <w:footnoteReference w:id="13"/>
      </w:r>
      <w:r>
        <w:t xml:space="preserve">  </w:t>
      </w:r>
    </w:p>
    <w:p w:rsidR="00FE55AB" w:rsidRDefault="00FE55AB">
      <w:pPr>
        <w:spacing w:line="480" w:lineRule="auto"/>
      </w:pPr>
      <w:r>
        <w:tab/>
        <w:t xml:space="preserve">In considering an application for rehearing, the </w:t>
      </w:r>
      <w:r w:rsidR="003B693A">
        <w:t>PUCO may</w:t>
      </w:r>
      <w:r>
        <w:t xml:space="preserve"> grant rehearing requested in an application, if </w:t>
      </w:r>
      <w:r w:rsidR="00182EB7">
        <w:t>“</w:t>
      </w:r>
      <w:r>
        <w:t>sufficient reason therefore is made to appear.</w:t>
      </w:r>
      <w:r w:rsidR="00182EB7">
        <w:t>”</w:t>
      </w:r>
      <w:r>
        <w:rPr>
          <w:rStyle w:val="FootnoteReference"/>
        </w:rPr>
        <w:footnoteReference w:id="14"/>
      </w:r>
      <w:r>
        <w:t xml:space="preserve"> If the Commission grants a rehearing and determines that its </w:t>
      </w:r>
      <w:r w:rsidR="00B434B2">
        <w:t>o</w:t>
      </w:r>
      <w:r>
        <w:t xml:space="preserve">rder is unjust or unwarranted, or should be changed, it may abrogate or modify the </w:t>
      </w:r>
      <w:r w:rsidR="00B434B2">
        <w:t>o</w:t>
      </w:r>
      <w:r>
        <w:t>rder.</w:t>
      </w:r>
      <w:r>
        <w:rPr>
          <w:rStyle w:val="FootnoteReference"/>
        </w:rPr>
        <w:footnoteReference w:id="15"/>
      </w:r>
      <w:r>
        <w:t xml:space="preserve"> Otherwise the </w:t>
      </w:r>
      <w:r w:rsidR="00B434B2">
        <w:t>o</w:t>
      </w:r>
      <w:r>
        <w:t xml:space="preserve">rder is affirmed. </w:t>
      </w:r>
      <w:r w:rsidR="005F67A3">
        <w:t xml:space="preserve">Under R.C. 4903.10(B), the PUCO is limited on rehearing to granting or denying a </w:t>
      </w:r>
      <w:r w:rsidR="00182EB7">
        <w:t>“</w:t>
      </w:r>
      <w:r w:rsidR="00613C9D" w:rsidRPr="00613C9D">
        <w:t>matter</w:t>
      </w:r>
      <w:r w:rsidR="005F67A3">
        <w:t>[]</w:t>
      </w:r>
      <w:r w:rsidR="00613C9D" w:rsidRPr="00613C9D">
        <w:t xml:space="preserve"> specified in such application</w:t>
      </w:r>
      <w:r w:rsidR="005F67A3">
        <w:t xml:space="preserve"> [for rehearing].</w:t>
      </w:r>
      <w:r w:rsidR="00182EB7">
        <w:t>”</w:t>
      </w:r>
      <w:r w:rsidR="00613C9D" w:rsidRPr="00613C9D">
        <w:t xml:space="preserve"> </w:t>
      </w:r>
    </w:p>
    <w:p w:rsidR="00FE55AB" w:rsidRDefault="00FE55AB">
      <w:pPr>
        <w:spacing w:line="480" w:lineRule="auto"/>
      </w:pPr>
      <w:r>
        <w:tab/>
        <w:t xml:space="preserve">OCC meets both the statutory conditions applicable to an applicant for rehearing pursuant to R.C. 4903.10 and the requirements of the </w:t>
      </w:r>
      <w:r w:rsidR="00CB20E9">
        <w:t>PUCO</w:t>
      </w:r>
      <w:r w:rsidR="00182EB7">
        <w:t>’</w:t>
      </w:r>
      <w:r w:rsidR="00CB20E9">
        <w:t xml:space="preserve">s </w:t>
      </w:r>
      <w:r>
        <w:t>rule on applications for rehearing.</w:t>
      </w:r>
      <w:r>
        <w:rPr>
          <w:rStyle w:val="FootnoteReference"/>
        </w:rPr>
        <w:footnoteReference w:id="16"/>
      </w:r>
      <w:r>
        <w:t xml:space="preserve"> OCC is a party to the case. Additionally, OCC actively participated in this case, and thus, may apply for rehearing under R.C. 4903.10. </w:t>
      </w:r>
      <w:r w:rsidR="00CB20E9">
        <w:t>T</w:t>
      </w:r>
      <w:r>
        <w:t xml:space="preserve">he </w:t>
      </w:r>
      <w:r w:rsidR="00CB20E9">
        <w:t xml:space="preserve">PUCO should </w:t>
      </w:r>
      <w:r>
        <w:t xml:space="preserve">determine </w:t>
      </w:r>
      <w:r w:rsidR="00CB20E9">
        <w:t xml:space="preserve">that </w:t>
      </w:r>
      <w:r>
        <w:t xml:space="preserve">OCC has shown </w:t>
      </w:r>
      <w:r w:rsidR="00182EB7">
        <w:t>“</w:t>
      </w:r>
      <w:r>
        <w:t>sufficient reason</w:t>
      </w:r>
      <w:r w:rsidR="00182EB7">
        <w:t>”</w:t>
      </w:r>
      <w:r>
        <w:t xml:space="preserve"> to grant rehearing on the matters specified below</w:t>
      </w:r>
      <w:r w:rsidR="00CB20E9">
        <w:t xml:space="preserve"> and should </w:t>
      </w:r>
      <w:r w:rsidR="00182EB7">
        <w:t>“</w:t>
      </w:r>
      <w:r w:rsidR="00CB20E9">
        <w:t>abrogate or modify</w:t>
      </w:r>
      <w:r w:rsidR="00182EB7">
        <w:t>”</w:t>
      </w:r>
      <w:r w:rsidR="00CB20E9">
        <w:t xml:space="preserve"> its Order</w:t>
      </w:r>
      <w:r>
        <w:t xml:space="preserve">.  </w:t>
      </w:r>
    </w:p>
    <w:p w:rsidR="00FE55AB" w:rsidRDefault="00FE55AB"/>
    <w:p w:rsidR="00FE55AB" w:rsidRDefault="00FE55AB" w:rsidP="004A4FD9">
      <w:pPr>
        <w:pStyle w:val="Heading1"/>
      </w:pPr>
      <w:bookmarkStart w:id="27" w:name="_Toc331598699"/>
      <w:bookmarkStart w:id="28" w:name="_Toc331602816"/>
      <w:bookmarkStart w:id="29" w:name="_Toc331603301"/>
      <w:bookmarkStart w:id="30" w:name="_Toc340153712"/>
      <w:bookmarkStart w:id="31" w:name="_Toc345674399"/>
      <w:bookmarkStart w:id="32" w:name="_Toc345675357"/>
      <w:bookmarkStart w:id="33" w:name="_Toc353617279"/>
      <w:bookmarkStart w:id="34" w:name="_Toc354150638"/>
      <w:bookmarkStart w:id="35" w:name="_Toc363632581"/>
      <w:bookmarkStart w:id="36" w:name="_Toc364332205"/>
      <w:bookmarkStart w:id="37" w:name="_Toc406689429"/>
      <w:bookmarkStart w:id="38" w:name="_Toc407012914"/>
      <w:r>
        <w:t>III.</w:t>
      </w:r>
      <w:r>
        <w:tab/>
        <w:t>ARGUMENT</w:t>
      </w:r>
      <w:bookmarkEnd w:id="27"/>
      <w:bookmarkEnd w:id="28"/>
      <w:bookmarkEnd w:id="29"/>
      <w:bookmarkEnd w:id="30"/>
      <w:bookmarkEnd w:id="31"/>
      <w:bookmarkEnd w:id="32"/>
      <w:bookmarkEnd w:id="33"/>
      <w:bookmarkEnd w:id="34"/>
      <w:bookmarkEnd w:id="35"/>
      <w:bookmarkEnd w:id="36"/>
      <w:bookmarkEnd w:id="37"/>
      <w:bookmarkEnd w:id="38"/>
    </w:p>
    <w:p w:rsidR="0076291D" w:rsidRDefault="004A4FD9" w:rsidP="0076291D">
      <w:pPr>
        <w:pStyle w:val="Heading2"/>
      </w:pPr>
      <w:bookmarkStart w:id="39" w:name="_Toc364430703"/>
      <w:bookmarkStart w:id="40" w:name="_Toc407012915"/>
      <w:bookmarkStart w:id="41" w:name="_Toc406689430"/>
      <w:r>
        <w:t>A.</w:t>
      </w:r>
      <w:r>
        <w:tab/>
      </w:r>
      <w:bookmarkEnd w:id="39"/>
      <w:r w:rsidR="0076291D" w:rsidRPr="004A4FD9">
        <w:t xml:space="preserve">The PUCO </w:t>
      </w:r>
      <w:r w:rsidR="0076291D">
        <w:t>violated R.C. 4903.09</w:t>
      </w:r>
      <w:r w:rsidR="0076291D" w:rsidRPr="004A4FD9">
        <w:t xml:space="preserve"> by </w:t>
      </w:r>
      <w:r w:rsidR="0076291D">
        <w:t>failing to set forth its reasons for authorizing</w:t>
      </w:r>
      <w:r w:rsidR="0076291D" w:rsidRPr="004A4FD9">
        <w:t xml:space="preserve"> </w:t>
      </w:r>
      <w:r w:rsidR="0076291D">
        <w:t>the FirstEnergy utilities to charge customers for capacity shortfalls that may result from the Utility’s decision to eliminate over 60 percent of its energy efficiency programs.</w:t>
      </w:r>
      <w:bookmarkEnd w:id="40"/>
      <w:r w:rsidR="0076291D">
        <w:t xml:space="preserve">  </w:t>
      </w:r>
      <w:r w:rsidR="0076291D" w:rsidRPr="004A4FD9">
        <w:t xml:space="preserve"> </w:t>
      </w:r>
    </w:p>
    <w:p w:rsidR="00251B8F" w:rsidRDefault="00251B8F" w:rsidP="0076291D">
      <w:pPr>
        <w:spacing w:line="480" w:lineRule="auto"/>
        <w:ind w:firstLine="720"/>
        <w:rPr>
          <w:rFonts w:ascii="Calibri" w:hAnsi="Calibri"/>
          <w:caps/>
          <w:noProof/>
          <w:sz w:val="22"/>
          <w:szCs w:val="22"/>
        </w:rPr>
      </w:pPr>
      <w:r w:rsidRPr="004A4FD9">
        <w:t xml:space="preserve">The PUCO erred by </w:t>
      </w:r>
      <w:r>
        <w:t>authorizing</w:t>
      </w:r>
      <w:r w:rsidRPr="004A4FD9">
        <w:t xml:space="preserve"> </w:t>
      </w:r>
      <w:r>
        <w:t>the FirstEnergy utilities to charge customers for capacity shortfalls that may result from the Utility’s decision to eliminate over sixty percent of its energy efficiency programs</w:t>
      </w:r>
      <w:r w:rsidR="00653FF4">
        <w:t xml:space="preserve">. The </w:t>
      </w:r>
      <w:r w:rsidR="00292AEA">
        <w:t xml:space="preserve">PUCO </w:t>
      </w:r>
      <w:r w:rsidR="00292AEA" w:rsidRPr="004A4FD9">
        <w:t>failed</w:t>
      </w:r>
      <w:r w:rsidRPr="004A4FD9">
        <w:t xml:space="preserve"> to set forth the reasons pr</w:t>
      </w:r>
      <w:r w:rsidR="00AC7723">
        <w:t xml:space="preserve">ompting </w:t>
      </w:r>
      <w:r w:rsidR="00653FF4">
        <w:t>its decision violating</w:t>
      </w:r>
      <w:r w:rsidR="00245552" w:rsidRPr="004A4FD9">
        <w:t xml:space="preserve"> R.C. 4903.09</w:t>
      </w:r>
      <w:r w:rsidRPr="004A4FD9">
        <w:t>.</w:t>
      </w:r>
      <w:bookmarkEnd w:id="41"/>
      <w:r w:rsidRPr="004A4FD9">
        <w:t xml:space="preserve">  </w:t>
      </w:r>
      <w:bookmarkStart w:id="42" w:name="_Toc364332207"/>
      <w:bookmarkStart w:id="43" w:name="_Toc364430704"/>
      <w:bookmarkStart w:id="44" w:name="_Toc363632583"/>
    </w:p>
    <w:p w:rsidR="00251B8F" w:rsidRDefault="00251B8F" w:rsidP="00251B8F">
      <w:pPr>
        <w:autoSpaceDE w:val="0"/>
        <w:autoSpaceDN w:val="0"/>
        <w:adjustRightInd w:val="0"/>
        <w:spacing w:line="480" w:lineRule="auto"/>
        <w:ind w:firstLine="720"/>
      </w:pPr>
      <w:r>
        <w:t>As OCC and others explained in comments,</w:t>
      </w:r>
      <w:r>
        <w:rPr>
          <w:rStyle w:val="FootnoteReference"/>
        </w:rPr>
        <w:footnoteReference w:id="17"/>
      </w:r>
      <w:r>
        <w:t xml:space="preserve"> FirstEnergy’s proposal to suspend the majority of its programs poses a risk to customers with respect to the PJM markets. The PUCO previously</w:t>
      </w:r>
      <w:r w:rsidR="001F777A">
        <w:t xml:space="preserve"> required FirstEnergy to bid 75</w:t>
      </w:r>
      <w:r w:rsidR="00634F51">
        <w:t xml:space="preserve"> percent</w:t>
      </w:r>
      <w:r w:rsidR="00193D10">
        <w:t xml:space="preserve"> </w:t>
      </w:r>
      <w:r>
        <w:t>of its planned resources into the 2013 BRA.</w:t>
      </w:r>
      <w:r>
        <w:rPr>
          <w:rStyle w:val="FootnoteReference"/>
        </w:rPr>
        <w:footnoteReference w:id="18"/>
      </w:r>
      <w:r w:rsidR="001F777A">
        <w:rPr>
          <w:sz w:val="16"/>
          <w:szCs w:val="16"/>
        </w:rPr>
        <w:t xml:space="preserve"> </w:t>
      </w:r>
      <w:r w:rsidR="00AA1506">
        <w:t>But the</w:t>
      </w:r>
      <w:r>
        <w:t xml:space="preserve"> potential risk</w:t>
      </w:r>
      <w:r w:rsidR="00C72E33">
        <w:t xml:space="preserve"> </w:t>
      </w:r>
      <w:r>
        <w:t xml:space="preserve">to customers </w:t>
      </w:r>
      <w:r w:rsidR="00C72E33">
        <w:t xml:space="preserve">of a capacity shortfall </w:t>
      </w:r>
      <w:r>
        <w:t>was small</w:t>
      </w:r>
      <w:r w:rsidR="00C72E33">
        <w:t xml:space="preserve"> because</w:t>
      </w:r>
      <w:r>
        <w:t xml:space="preserve"> there was a buffer in place for customers if FirstEnergy was unable to realize the full quantity of energy efficiency capacity cleared in the B</w:t>
      </w:r>
      <w:r w:rsidR="00AA1506">
        <w:t>ase Residual Auction</w:t>
      </w:r>
      <w:r>
        <w:t xml:space="preserve">. </w:t>
      </w:r>
    </w:p>
    <w:p w:rsidR="00245552" w:rsidRDefault="00AB6EDD" w:rsidP="00EB6C2A">
      <w:pPr>
        <w:autoSpaceDE w:val="0"/>
        <w:autoSpaceDN w:val="0"/>
        <w:adjustRightInd w:val="0"/>
        <w:spacing w:line="480" w:lineRule="auto"/>
        <w:ind w:firstLine="720"/>
      </w:pPr>
      <w:r>
        <w:t>T</w:t>
      </w:r>
      <w:r w:rsidR="00EB6C2A">
        <w:t>he PUCO determine</w:t>
      </w:r>
      <w:r w:rsidR="003F7FEC">
        <w:t xml:space="preserve">d in its </w:t>
      </w:r>
      <w:r w:rsidR="00E62833">
        <w:t>Order</w:t>
      </w:r>
      <w:r w:rsidR="003F7FEC">
        <w:t xml:space="preserve"> that FirstEnergy </w:t>
      </w:r>
      <w:r w:rsidR="00C72E33">
        <w:t>will</w:t>
      </w:r>
      <w:r w:rsidR="003F7FEC">
        <w:t xml:space="preserve"> be entitled to recover from customers the prudently incurred costs of any steps taken to eliminate any</w:t>
      </w:r>
      <w:r w:rsidR="00245552">
        <w:t xml:space="preserve"> capacity</w:t>
      </w:r>
      <w:r w:rsidR="003F7FEC">
        <w:t xml:space="preserve"> shortfalls.</w:t>
      </w:r>
      <w:r w:rsidR="0061393B">
        <w:rPr>
          <w:rStyle w:val="FootnoteReference"/>
        </w:rPr>
        <w:footnoteReference w:id="19"/>
      </w:r>
      <w:r w:rsidR="00B2210D">
        <w:t xml:space="preserve"> The</w:t>
      </w:r>
      <w:r w:rsidR="0061393B">
        <w:t xml:space="preserve"> PUCO based its</w:t>
      </w:r>
      <w:r w:rsidR="00B2210D">
        <w:t xml:space="preserve"> finding on the</w:t>
      </w:r>
      <w:r w:rsidR="0061393B">
        <w:t xml:space="preserve"> rationale provided in the PUCO’s</w:t>
      </w:r>
      <w:r w:rsidR="00B2210D">
        <w:t xml:space="preserve"> Opinion and Order approving FirstEnergy’s previous</w:t>
      </w:r>
      <w:r w:rsidR="0061393B">
        <w:t xml:space="preserve"> energy efficiency portfolio</w:t>
      </w:r>
      <w:r w:rsidR="00245552">
        <w:t xml:space="preserve"> (the March 20 Order)</w:t>
      </w:r>
      <w:r w:rsidR="0061393B">
        <w:t xml:space="preserve">. </w:t>
      </w:r>
      <w:r w:rsidR="00193D10">
        <w:t>That ra</w:t>
      </w:r>
      <w:r w:rsidR="00E62833">
        <w:t>tionale is not applicable here</w:t>
      </w:r>
      <w:r w:rsidR="00FE1AA5">
        <w:t>. T</w:t>
      </w:r>
      <w:r w:rsidR="00245552">
        <w:t xml:space="preserve">he PUCO’s </w:t>
      </w:r>
      <w:r w:rsidR="00AA1506">
        <w:t>Order</w:t>
      </w:r>
      <w:r w:rsidR="00245552">
        <w:t xml:space="preserve"> </w:t>
      </w:r>
      <w:r w:rsidR="00E62833">
        <w:t xml:space="preserve">does not comply with R.C. 4903.09. </w:t>
      </w:r>
    </w:p>
    <w:p w:rsidR="00193D10" w:rsidRDefault="00E62833" w:rsidP="00EB6C2A">
      <w:pPr>
        <w:autoSpaceDE w:val="0"/>
        <w:autoSpaceDN w:val="0"/>
        <w:adjustRightInd w:val="0"/>
        <w:spacing w:line="480" w:lineRule="auto"/>
        <w:ind w:firstLine="720"/>
      </w:pPr>
      <w:r>
        <w:t>R.C. 4903.09 requires that the PUCO’s decisions be based upon findings of fact in the record. T</w:t>
      </w:r>
      <w:r w:rsidRPr="00C907FE">
        <w:t>he Ohio Supreme Court has held that</w:t>
      </w:r>
      <w:r>
        <w:t xml:space="preserve"> “</w:t>
      </w:r>
      <w:r w:rsidRPr="00C907FE">
        <w:t>the purpose of R.C. 4903.09 is to provide [the] court with sufficient details to enable [it]</w:t>
      </w:r>
      <w:r>
        <w:t xml:space="preserve"> </w:t>
      </w:r>
      <w:r w:rsidRPr="00C907FE">
        <w:t>to determine, upon appeal, how the com</w:t>
      </w:r>
      <w:r>
        <w:t>mission reached its decision.”</w:t>
      </w:r>
      <w:r>
        <w:rPr>
          <w:rStyle w:val="FootnoteReference"/>
        </w:rPr>
        <w:footnoteReference w:id="20"/>
      </w:r>
      <w:r w:rsidR="00245552">
        <w:t xml:space="preserve"> </w:t>
      </w:r>
      <w:r w:rsidRPr="00C907FE">
        <w:t>And only where</w:t>
      </w:r>
      <w:r>
        <w:t xml:space="preserve"> “</w:t>
      </w:r>
      <w:r w:rsidRPr="00C907FE">
        <w:t>there was enough evidence and discussion in order to enable the PUCO</w:t>
      </w:r>
      <w:r>
        <w:t>’</w:t>
      </w:r>
      <w:r w:rsidRPr="00C907FE">
        <w:t>s reasoning to</w:t>
      </w:r>
      <w:r>
        <w:t xml:space="preserve"> </w:t>
      </w:r>
      <w:r w:rsidRPr="00C907FE">
        <w:t>be readily discerned</w:t>
      </w:r>
      <w:r>
        <w:t>”</w:t>
      </w:r>
      <w:r w:rsidRPr="00C907FE">
        <w:t xml:space="preserve"> has the Ohio Supreme Court found substantial compliance with</w:t>
      </w:r>
      <w:r>
        <w:t xml:space="preserve"> R.C. 4903.09.</w:t>
      </w:r>
      <w:r>
        <w:rPr>
          <w:rStyle w:val="FootnoteReference"/>
        </w:rPr>
        <w:footnoteReference w:id="21"/>
      </w:r>
    </w:p>
    <w:p w:rsidR="00A37E5D" w:rsidRDefault="00A37E5D" w:rsidP="00A37E5D">
      <w:pPr>
        <w:pStyle w:val="BodyText"/>
        <w:spacing w:after="0" w:line="480" w:lineRule="auto"/>
        <w:ind w:firstLine="720"/>
        <w:rPr>
          <w:lang w:val="en-US"/>
        </w:rPr>
      </w:pPr>
      <w:r>
        <w:rPr>
          <w:lang w:val="en-US"/>
        </w:rPr>
        <w:t>A legion of cases establishes that the PUCO abuses its discretion if it renders an opinion on an issue without a record in support.</w:t>
      </w:r>
      <w:r>
        <w:rPr>
          <w:rStyle w:val="FootnoteReference"/>
          <w:lang w:val="en-US"/>
        </w:rPr>
        <w:footnoteReference w:id="22"/>
      </w:r>
      <w:r w:rsidR="00245552">
        <w:rPr>
          <w:lang w:val="en-US"/>
        </w:rPr>
        <w:t xml:space="preserve"> </w:t>
      </w:r>
      <w:r>
        <w:rPr>
          <w:lang w:val="en-US"/>
        </w:rPr>
        <w:t>The need for record support i</w:t>
      </w:r>
      <w:r w:rsidR="00245552">
        <w:rPr>
          <w:lang w:val="en-US"/>
        </w:rPr>
        <w:t xml:space="preserve">s mandated under R.C. 4903.09. </w:t>
      </w:r>
      <w:r>
        <w:rPr>
          <w:lang w:val="en-US"/>
        </w:rPr>
        <w:t>Under R.C. 4903.09 in all contested cases heard, the PUCO “shall file, with records of such cases, finding of fact and written opinions setting forth the reasons prompting the decisions arrived at, based upon said findings of fact.”  Some factual support for PUCO determinations must exist in the record, an obligation which the PUCO itself has recognized in its orders.</w:t>
      </w:r>
      <w:r>
        <w:rPr>
          <w:rStyle w:val="FootnoteReference"/>
          <w:lang w:val="en-US"/>
        </w:rPr>
        <w:footnoteReference w:id="23"/>
      </w:r>
    </w:p>
    <w:p w:rsidR="00FE1AA5" w:rsidRDefault="00A37E5D" w:rsidP="00A37E5D">
      <w:pPr>
        <w:pStyle w:val="BodyText"/>
        <w:spacing w:after="0" w:line="480" w:lineRule="auto"/>
        <w:ind w:firstLine="720"/>
        <w:rPr>
          <w:lang w:val="en-US"/>
        </w:rPr>
      </w:pPr>
      <w:r>
        <w:rPr>
          <w:lang w:val="en-US"/>
        </w:rPr>
        <w:t xml:space="preserve">Without adequate facts and reasons to support the PUCO’s decision, the Court would not be able to determine if the </w:t>
      </w:r>
      <w:r w:rsidR="00245552">
        <w:rPr>
          <w:lang w:val="en-US"/>
        </w:rPr>
        <w:t>Finding and Order</w:t>
      </w:r>
      <w:r>
        <w:rPr>
          <w:lang w:val="en-US"/>
        </w:rPr>
        <w:t xml:space="preserve"> is reasonable and lawful under R.C. 4903.10. Additionally, lack of a record stymies a complaining party’s effort in demonstrating prejudice,</w:t>
      </w:r>
      <w:r>
        <w:rPr>
          <w:rStyle w:val="FootnoteReference"/>
          <w:lang w:val="en-US"/>
        </w:rPr>
        <w:footnoteReference w:id="24"/>
      </w:r>
      <w:r>
        <w:rPr>
          <w:lang w:val="en-US"/>
        </w:rPr>
        <w:t xml:space="preserve"> a necessary element to obtain </w:t>
      </w:r>
      <w:r w:rsidR="00DC0B86">
        <w:rPr>
          <w:lang w:val="en-US"/>
        </w:rPr>
        <w:t xml:space="preserve">the Court’s </w:t>
      </w:r>
      <w:r>
        <w:rPr>
          <w:lang w:val="en-US"/>
        </w:rPr>
        <w:t xml:space="preserve">reversal of a </w:t>
      </w:r>
      <w:r w:rsidR="00245552">
        <w:rPr>
          <w:lang w:val="en-US"/>
        </w:rPr>
        <w:t>PUCO</w:t>
      </w:r>
      <w:r>
        <w:rPr>
          <w:lang w:val="en-US"/>
        </w:rPr>
        <w:t xml:space="preserve"> order.</w:t>
      </w:r>
      <w:r>
        <w:rPr>
          <w:rStyle w:val="FootnoteReference"/>
          <w:lang w:val="en-US"/>
        </w:rPr>
        <w:footnoteReference w:id="25"/>
      </w:r>
      <w:r>
        <w:rPr>
          <w:lang w:val="en-US"/>
        </w:rPr>
        <w:t xml:space="preserve"> </w:t>
      </w:r>
    </w:p>
    <w:p w:rsidR="001F777A" w:rsidRDefault="00193D10" w:rsidP="002628D7">
      <w:pPr>
        <w:autoSpaceDE w:val="0"/>
        <w:autoSpaceDN w:val="0"/>
        <w:adjustRightInd w:val="0"/>
        <w:spacing w:line="480" w:lineRule="auto"/>
        <w:ind w:firstLine="720"/>
      </w:pPr>
      <w:r>
        <w:t xml:space="preserve">In the </w:t>
      </w:r>
      <w:r w:rsidR="00245552">
        <w:t xml:space="preserve">March 20 </w:t>
      </w:r>
      <w:r>
        <w:t>Order, the PUCO required that FirstEnergy bid 75</w:t>
      </w:r>
      <w:r w:rsidR="00634F51">
        <w:t xml:space="preserve"> percent</w:t>
      </w:r>
      <w:r>
        <w:t xml:space="preserve"> of its planned energy efficiency resources for the 2016/2017 planning year under their program portfolio. The PUCO found that bidding 75</w:t>
      </w:r>
      <w:r w:rsidR="00634F51">
        <w:t xml:space="preserve"> percent</w:t>
      </w:r>
      <w:r>
        <w:t xml:space="preserve"> would “appropriately mitigate the Companies’ risk while benefitting [customers].”</w:t>
      </w:r>
      <w:r>
        <w:rPr>
          <w:rStyle w:val="FootnoteReference"/>
        </w:rPr>
        <w:footnoteReference w:id="26"/>
      </w:r>
      <w:r>
        <w:t xml:space="preserve"> The PUCO’s reasoning</w:t>
      </w:r>
      <w:r w:rsidR="00245552">
        <w:t xml:space="preserve"> in the March 20 Order</w:t>
      </w:r>
      <w:r>
        <w:t xml:space="preserve"> was logical </w:t>
      </w:r>
      <w:r w:rsidR="00871CA2">
        <w:t>given that customers would benefit from the majority</w:t>
      </w:r>
      <w:r w:rsidR="00245552">
        <w:t xml:space="preserve"> (75</w:t>
      </w:r>
      <w:r w:rsidR="00634F51">
        <w:t xml:space="preserve"> percent</w:t>
      </w:r>
      <w:r w:rsidR="00245552">
        <w:t>)</w:t>
      </w:r>
      <w:r w:rsidR="00871CA2">
        <w:t xml:space="preserve"> of FirstEnergy’s planned resources being bid into the </w:t>
      </w:r>
      <w:r w:rsidR="00245552">
        <w:t>BRA</w:t>
      </w:r>
      <w:r w:rsidR="00871CA2">
        <w:t>.</w:t>
      </w:r>
      <w:r w:rsidR="002628D7">
        <w:t xml:space="preserve"> </w:t>
      </w:r>
      <w:r w:rsidR="001F777A">
        <w:t>But</w:t>
      </w:r>
      <w:r w:rsidR="00682470">
        <w:t xml:space="preserve"> this rationale is no longer </w:t>
      </w:r>
      <w:r w:rsidR="00C72E33">
        <w:t>applicable</w:t>
      </w:r>
      <w:r w:rsidR="00682470">
        <w:t xml:space="preserve"> since the Utility decided to eliminate the majority of its energy efficiency programs. This is because the benefit to customers has been largely eliminated and the risk for capacity shortfalls has increased. </w:t>
      </w:r>
    </w:p>
    <w:p w:rsidR="008F0CBC" w:rsidRDefault="001F777A" w:rsidP="001F777A">
      <w:pPr>
        <w:autoSpaceDE w:val="0"/>
        <w:autoSpaceDN w:val="0"/>
        <w:adjustRightInd w:val="0"/>
        <w:spacing w:line="480" w:lineRule="auto"/>
        <w:ind w:firstLine="720"/>
      </w:pPr>
      <w:r>
        <w:t>T</w:t>
      </w:r>
      <w:r w:rsidR="002628D7">
        <w:t>he PUCO</w:t>
      </w:r>
      <w:r w:rsidR="00245552">
        <w:t>’s Order</w:t>
      </w:r>
      <w:r w:rsidR="002628D7">
        <w:t xml:space="preserve"> </w:t>
      </w:r>
      <w:r w:rsidR="00245552">
        <w:t>does</w:t>
      </w:r>
      <w:r w:rsidR="0061393B">
        <w:t xml:space="preserve"> not explain why it is appropriate for customers to bear the risk of any shortfalls that could result from the Utility’s</w:t>
      </w:r>
      <w:r w:rsidR="00634F51">
        <w:t xml:space="preserve"> business</w:t>
      </w:r>
      <w:r w:rsidR="0061393B">
        <w:t xml:space="preserve"> decision to eliminate the majority of its energy efficiency programs</w:t>
      </w:r>
      <w:r w:rsidR="00B2210D">
        <w:t>.</w:t>
      </w:r>
      <w:r w:rsidR="00245552">
        <w:t xml:space="preserve"> </w:t>
      </w:r>
      <w:r>
        <w:t>T</w:t>
      </w:r>
      <w:r w:rsidR="00B2210D">
        <w:t>he circumstances have</w:t>
      </w:r>
      <w:r w:rsidR="0061393B">
        <w:t xml:space="preserve"> </w:t>
      </w:r>
      <w:r w:rsidR="00B2210D">
        <w:t xml:space="preserve">changed </w:t>
      </w:r>
      <w:r>
        <w:t xml:space="preserve">significantly </w:t>
      </w:r>
      <w:r w:rsidR="00B2210D">
        <w:t>as a result of FirstEnergy’s proposal to eliminate the majority of its energy efficiency programs for 2015 and 2016</w:t>
      </w:r>
      <w:r w:rsidR="00CF3262">
        <w:t>.</w:t>
      </w:r>
      <w:r w:rsidR="002628D7">
        <w:t xml:space="preserve"> In this regard, </w:t>
      </w:r>
      <w:r w:rsidR="008F0CBC">
        <w:t>it was</w:t>
      </w:r>
      <w:r w:rsidR="002628D7">
        <w:t xml:space="preserve"> estimated </w:t>
      </w:r>
      <w:r w:rsidR="001555E2">
        <w:t>with regard to</w:t>
      </w:r>
      <w:r w:rsidR="002628D7">
        <w:t xml:space="preserve"> Ohio Edison </w:t>
      </w:r>
      <w:r w:rsidR="008F0CBC">
        <w:t xml:space="preserve">that </w:t>
      </w:r>
      <w:r w:rsidR="002628D7">
        <w:t>the eliminated programs represented 78.6</w:t>
      </w:r>
      <w:r w:rsidR="00634F51">
        <w:t xml:space="preserve"> percent</w:t>
      </w:r>
      <w:r w:rsidR="002628D7">
        <w:t xml:space="preserve"> of the</w:t>
      </w:r>
      <w:r w:rsidR="007318A2">
        <w:t xml:space="preserve"> portfolio and total lifetime MW</w:t>
      </w:r>
      <w:r w:rsidR="002628D7">
        <w:t>h savings.</w:t>
      </w:r>
      <w:r w:rsidR="00927772">
        <w:rPr>
          <w:rStyle w:val="FootnoteReference"/>
        </w:rPr>
        <w:footnoteReference w:id="27"/>
      </w:r>
      <w:r w:rsidR="002628D7">
        <w:t xml:space="preserve"> Cleveland Electric Illuminating eliminated 82.2</w:t>
      </w:r>
      <w:r w:rsidR="00634F51">
        <w:t xml:space="preserve"> percent</w:t>
      </w:r>
      <w:r w:rsidR="002628D7">
        <w:t xml:space="preserve"> of its portfolio an</w:t>
      </w:r>
      <w:r>
        <w:t>d</w:t>
      </w:r>
      <w:r w:rsidR="002628D7">
        <w:t xml:space="preserve"> total lifetime MWh savings</w:t>
      </w:r>
      <w:r w:rsidR="008F0CBC">
        <w:t>.</w:t>
      </w:r>
      <w:r w:rsidR="00927772">
        <w:rPr>
          <w:rStyle w:val="FootnoteReference"/>
        </w:rPr>
        <w:footnoteReference w:id="28"/>
      </w:r>
      <w:r w:rsidR="008F0CBC">
        <w:t xml:space="preserve"> A</w:t>
      </w:r>
      <w:r w:rsidR="002628D7">
        <w:t>nd Toledo Edison eliminated 81.1</w:t>
      </w:r>
      <w:r w:rsidR="00634F51">
        <w:t xml:space="preserve"> percent</w:t>
      </w:r>
      <w:r w:rsidR="002628D7">
        <w:t xml:space="preserve"> of the portfolio and total lifetime MWh savings.</w:t>
      </w:r>
      <w:r w:rsidR="002628D7">
        <w:rPr>
          <w:rStyle w:val="FootnoteReference"/>
        </w:rPr>
        <w:footnoteReference w:id="29"/>
      </w:r>
      <w:r w:rsidR="002628D7">
        <w:t xml:space="preserve"> </w:t>
      </w:r>
    </w:p>
    <w:p w:rsidR="00682470" w:rsidRDefault="002628D7" w:rsidP="001F777A">
      <w:pPr>
        <w:autoSpaceDE w:val="0"/>
        <w:autoSpaceDN w:val="0"/>
        <w:adjustRightInd w:val="0"/>
        <w:spacing w:line="480" w:lineRule="auto"/>
        <w:ind w:firstLine="720"/>
      </w:pPr>
      <w:r>
        <w:t>It can be concluded that in light of the PUCO’</w:t>
      </w:r>
      <w:r w:rsidR="001F777A">
        <w:t xml:space="preserve">s requirement that </w:t>
      </w:r>
      <w:r w:rsidR="006C053A">
        <w:t>FirstEnergy</w:t>
      </w:r>
      <w:r w:rsidR="001F777A">
        <w:t xml:space="preserve"> b</w:t>
      </w:r>
      <w:r>
        <w:t>id 75</w:t>
      </w:r>
      <w:r w:rsidR="00634F51">
        <w:t xml:space="preserve"> percent</w:t>
      </w:r>
      <w:r>
        <w:t xml:space="preserve"> of </w:t>
      </w:r>
      <w:r w:rsidR="00B434B2">
        <w:t xml:space="preserve">its </w:t>
      </w:r>
      <w:r>
        <w:t>eligible, planne</w:t>
      </w:r>
      <w:r w:rsidR="001F777A">
        <w:t>d</w:t>
      </w:r>
      <w:r>
        <w:t xml:space="preserve"> savings into the 2013 </w:t>
      </w:r>
      <w:r w:rsidR="00634F51">
        <w:t>BRA</w:t>
      </w:r>
      <w:r>
        <w:t>, the elimination of energy efficiency programs account</w:t>
      </w:r>
      <w:r w:rsidR="00B434B2">
        <w:t>ing</w:t>
      </w:r>
      <w:r>
        <w:t xml:space="preserve"> for between 78 and 82 percent of </w:t>
      </w:r>
      <w:r w:rsidR="00B434B2">
        <w:t xml:space="preserve">its </w:t>
      </w:r>
      <w:r>
        <w:t>2013-2015 portfolio will yield capacity shortfalls.</w:t>
      </w:r>
      <w:r w:rsidR="001F777A">
        <w:t xml:space="preserve"> </w:t>
      </w:r>
      <w:r w:rsidR="007318A2">
        <w:t>But</w:t>
      </w:r>
      <w:r w:rsidR="00245552">
        <w:t xml:space="preserve"> because of the PUCO’s Order, t</w:t>
      </w:r>
      <w:r w:rsidR="007318A2">
        <w:t>he expense of these potential</w:t>
      </w:r>
      <w:r w:rsidR="001F777A">
        <w:t xml:space="preserve"> shortfalls</w:t>
      </w:r>
      <w:r w:rsidR="007318A2">
        <w:t xml:space="preserve"> (cause</w:t>
      </w:r>
      <w:r w:rsidR="00B434B2">
        <w:t>d</w:t>
      </w:r>
      <w:r w:rsidR="007318A2">
        <w:t xml:space="preserve"> by the Utility) </w:t>
      </w:r>
      <w:r w:rsidR="00B434B2">
        <w:t xml:space="preserve">will become a burden </w:t>
      </w:r>
      <w:r w:rsidR="007318A2">
        <w:t>on customers</w:t>
      </w:r>
      <w:r w:rsidR="001F777A">
        <w:t xml:space="preserve">. </w:t>
      </w:r>
    </w:p>
    <w:p w:rsidR="00EB6C2A" w:rsidRDefault="00190D14" w:rsidP="001F777A">
      <w:pPr>
        <w:autoSpaceDE w:val="0"/>
        <w:autoSpaceDN w:val="0"/>
        <w:adjustRightInd w:val="0"/>
        <w:spacing w:line="480" w:lineRule="auto"/>
        <w:ind w:firstLine="720"/>
      </w:pPr>
      <w:r>
        <w:t>The PUCO’s decision fails to set</w:t>
      </w:r>
      <w:r w:rsidR="00FE1AA5">
        <w:t xml:space="preserve"> </w:t>
      </w:r>
      <w:r>
        <w:t>forth the reasons why customers should be charged for any capacity shortfalls</w:t>
      </w:r>
      <w:r w:rsidR="00383AEB">
        <w:t xml:space="preserve"> that may result from the Utility’s decision</w:t>
      </w:r>
      <w:r w:rsidR="00682470">
        <w:t xml:space="preserve"> to eliminate its energy efficiency programs</w:t>
      </w:r>
      <w:r>
        <w:t>.</w:t>
      </w:r>
      <w:r w:rsidR="00653FF4">
        <w:t xml:space="preserve"> The PUCO has failed to comply with R.C. 4903.09.  Rehearing should be granted on this issue.  </w:t>
      </w:r>
    </w:p>
    <w:p w:rsidR="00E87B5A" w:rsidRDefault="00194E70" w:rsidP="0076291D">
      <w:pPr>
        <w:pStyle w:val="Heading2"/>
        <w:rPr>
          <w:noProof/>
        </w:rPr>
      </w:pPr>
      <w:bookmarkStart w:id="45" w:name="_Toc407012916"/>
      <w:r w:rsidRPr="00E87B5A">
        <w:rPr>
          <w:noProof/>
        </w:rPr>
        <w:t>B.</w:t>
      </w:r>
      <w:r w:rsidRPr="00E87B5A">
        <w:rPr>
          <w:noProof/>
        </w:rPr>
        <w:tab/>
      </w:r>
      <w:r w:rsidR="00E87B5A" w:rsidRPr="00E87B5A">
        <w:rPr>
          <w:noProof/>
        </w:rPr>
        <w:t>The PUCO erred in its decision that customers be responsible for any “prudently incurred costs of any steps taken to eliminate any [capacity] shortfalls” because FirstEnergy should bear any costs associated with its decision to eliminate the majority of its energy efficiency programs.</w:t>
      </w:r>
      <w:bookmarkEnd w:id="45"/>
    </w:p>
    <w:p w:rsidR="00996712" w:rsidRDefault="00996712" w:rsidP="00E92175">
      <w:pPr>
        <w:spacing w:line="480" w:lineRule="auto"/>
        <w:ind w:right="720" w:firstLine="720"/>
      </w:pPr>
      <w:r>
        <w:t>The PUCO determined that customers, and not the Utility</w:t>
      </w:r>
      <w:r w:rsidR="00F25A06">
        <w:t>,</w:t>
      </w:r>
      <w:r>
        <w:t xml:space="preserve"> should be responsible for prudently incurred costs of any steps that FirstEnergy takes to eliminate capacity shortfalls. </w:t>
      </w:r>
      <w:r w:rsidR="006719B8">
        <w:t>But i</w:t>
      </w:r>
      <w:r w:rsidR="00F25A06">
        <w:t xml:space="preserve">t is not reasonable to hold customers responsible for capacity shortfalls and potential increased </w:t>
      </w:r>
      <w:r w:rsidR="00653FF4">
        <w:t>rates</w:t>
      </w:r>
      <w:r w:rsidR="00F25A06">
        <w:t xml:space="preserve"> that could result from the Utility’s </w:t>
      </w:r>
      <w:r w:rsidR="006719B8">
        <w:t xml:space="preserve">own </w:t>
      </w:r>
      <w:r w:rsidR="00F25A06">
        <w:t xml:space="preserve">business decision to </w:t>
      </w:r>
      <w:r w:rsidR="006719B8">
        <w:t xml:space="preserve">reduce </w:t>
      </w:r>
      <w:r w:rsidR="00F25A06">
        <w:t>its energy efficiency portfolio.</w:t>
      </w:r>
    </w:p>
    <w:p w:rsidR="00F43E2D" w:rsidRDefault="00402945" w:rsidP="00402945">
      <w:pPr>
        <w:autoSpaceDE w:val="0"/>
        <w:autoSpaceDN w:val="0"/>
        <w:adjustRightInd w:val="0"/>
        <w:spacing w:line="480" w:lineRule="auto"/>
        <w:ind w:firstLine="720"/>
      </w:pPr>
      <w:r>
        <w:t>Specifically, a capacity shortfall potentially would negatively affect customers in at least three ways. First,</w:t>
      </w:r>
      <w:r w:rsidR="00F43E2D">
        <w:t xml:space="preserve"> customers would have to pay for any needed replacement capacity.</w:t>
      </w:r>
      <w:r>
        <w:t xml:space="preserve"> </w:t>
      </w:r>
      <w:r w:rsidR="00F43E2D">
        <w:t>T</w:t>
      </w:r>
      <w:r>
        <w:t>o meet its capacity obligations, FirstEnergy would need to find replacement capacity for the energy efficiency that cleared the BRA for each involved delivery year by, most likely, purchasing the additional new capacity through PJM’s incremental auctions. Under the PUCO’s March 20</w:t>
      </w:r>
      <w:r w:rsidR="00F43E2D">
        <w:t xml:space="preserve"> </w:t>
      </w:r>
      <w:r>
        <w:t>Order</w:t>
      </w:r>
      <w:r w:rsidR="00F43E2D">
        <w:t>,</w:t>
      </w:r>
      <w:r>
        <w:t xml:space="preserve"> customers would pay for this additional new capacity. Prices for the newly acquired capacity could be more expensive than that which was purchased during the BRA, thus increasing charges to customers. </w:t>
      </w:r>
    </w:p>
    <w:p w:rsidR="00F43E2D" w:rsidRDefault="00402945" w:rsidP="00402945">
      <w:pPr>
        <w:autoSpaceDE w:val="0"/>
        <w:autoSpaceDN w:val="0"/>
        <w:adjustRightInd w:val="0"/>
        <w:spacing w:line="480" w:lineRule="auto"/>
        <w:ind w:firstLine="720"/>
      </w:pPr>
      <w:r>
        <w:t xml:space="preserve">Conversely, if the incremental auction prices are lower than that which cleared the BRA, customers should be held harmless from any additional capacity charges. And, in fact, </w:t>
      </w:r>
      <w:r w:rsidR="00CE5A50">
        <w:t xml:space="preserve">if customers are responsible for additional capacity charges, they </w:t>
      </w:r>
      <w:r w:rsidR="00E92175">
        <w:t>should</w:t>
      </w:r>
      <w:r>
        <w:t xml:space="preserve"> be refunded the incremental gain via the financial arbitrage. </w:t>
      </w:r>
    </w:p>
    <w:p w:rsidR="00402945" w:rsidRDefault="00402945" w:rsidP="00402945">
      <w:pPr>
        <w:autoSpaceDE w:val="0"/>
        <w:autoSpaceDN w:val="0"/>
        <w:adjustRightInd w:val="0"/>
        <w:spacing w:line="480" w:lineRule="auto"/>
        <w:ind w:firstLine="720"/>
      </w:pPr>
      <w:r>
        <w:t xml:space="preserve">Second, eliminating the energy efficiency capacity resources that cleared the annual auctions will </w:t>
      </w:r>
      <w:r w:rsidR="007F0BA1">
        <w:t xml:space="preserve">potentially increase the capacity prices that customers pay. This result occurs because eliminating the efficiency resources will </w:t>
      </w:r>
      <w:r>
        <w:t>reduce capacity supply</w:t>
      </w:r>
      <w:r w:rsidR="00F43E2D">
        <w:t xml:space="preserve"> and</w:t>
      </w:r>
      <w:r>
        <w:t xml:space="preserve"> tend to increase capacity prices</w:t>
      </w:r>
      <w:r w:rsidR="007F0BA1">
        <w:t>. U</w:t>
      </w:r>
      <w:r>
        <w:t xml:space="preserve">nder the PUCO’s March 20 Order customers will pay these increased prices. </w:t>
      </w:r>
    </w:p>
    <w:p w:rsidR="00CE5A50" w:rsidRDefault="00402945" w:rsidP="00402945">
      <w:pPr>
        <w:autoSpaceDE w:val="0"/>
        <w:autoSpaceDN w:val="0"/>
        <w:adjustRightInd w:val="0"/>
        <w:spacing w:line="480" w:lineRule="auto"/>
        <w:ind w:firstLine="720"/>
      </w:pPr>
      <w:r>
        <w:t>Third, FirstEnergy</w:t>
      </w:r>
      <w:r w:rsidR="007F0BA1">
        <w:t>’s captive customers could have to pay its penalties</w:t>
      </w:r>
      <w:r>
        <w:t xml:space="preserve"> </w:t>
      </w:r>
      <w:r w:rsidR="007F0BA1">
        <w:t xml:space="preserve">from PJM for nonperformance. That situation (penalties) would occur if FirstEnergy </w:t>
      </w:r>
      <w:r>
        <w:t>fails to deliver capacity resources that have cleared the BRA</w:t>
      </w:r>
      <w:r w:rsidR="007F0BA1">
        <w:t>.</w:t>
      </w:r>
      <w:r>
        <w:t xml:space="preserve"> Under any of these scenarios, FirstEnergy -</w:t>
      </w:r>
      <w:r w:rsidR="007F0BA1">
        <w:t>-</w:t>
      </w:r>
      <w:r>
        <w:t xml:space="preserve"> not its customers -</w:t>
      </w:r>
      <w:r w:rsidR="007F0BA1">
        <w:t>-</w:t>
      </w:r>
      <w:r>
        <w:t xml:space="preserve"> should bear the risks and any associated costs for removing from the market any capacity resources that have already cleared the BRA. That is, customers should be held harmless from FirstEnergy’s business decisions to remove energy efficiency programs from its capacity resource product portfolio. </w:t>
      </w:r>
    </w:p>
    <w:p w:rsidR="00402945" w:rsidRDefault="00CE5A50" w:rsidP="00CE5A50">
      <w:pPr>
        <w:autoSpaceDE w:val="0"/>
        <w:autoSpaceDN w:val="0"/>
        <w:adjustRightInd w:val="0"/>
        <w:spacing w:line="480" w:lineRule="auto"/>
        <w:ind w:firstLine="720"/>
      </w:pPr>
      <w:r>
        <w:t>If the PUCO nonetheless determines that customers will be responsible,</w:t>
      </w:r>
      <w:r w:rsidR="00402945">
        <w:t xml:space="preserve"> the PUCO should require FirstEnergy to share the potential risk with customers</w:t>
      </w:r>
      <w:r w:rsidR="007F0BA1">
        <w:t>.</w:t>
      </w:r>
      <w:r w:rsidR="00402945">
        <w:t xml:space="preserve"> </w:t>
      </w:r>
      <w:r w:rsidR="007F0BA1">
        <w:t>In this way,</w:t>
      </w:r>
      <w:r w:rsidR="00402945">
        <w:t xml:space="preserve"> the Utility</w:t>
      </w:r>
      <w:r w:rsidR="007F0BA1">
        <w:t xml:space="preserve"> would</w:t>
      </w:r>
      <w:r w:rsidR="00402945">
        <w:t xml:space="preserve"> ha</w:t>
      </w:r>
      <w:r w:rsidR="007F0BA1">
        <w:t>ve</w:t>
      </w:r>
      <w:r w:rsidR="00402945">
        <w:t xml:space="preserve"> a financial incentive to make prudent decisions </w:t>
      </w:r>
      <w:r w:rsidR="007F0BA1">
        <w:t>regarding</w:t>
      </w:r>
      <w:r w:rsidR="00402945">
        <w:t xml:space="preserve"> its capacity commitments related to its energy efficiency portfolio.</w:t>
      </w:r>
    </w:p>
    <w:p w:rsidR="00C72E33" w:rsidRDefault="00010A41" w:rsidP="00402945">
      <w:pPr>
        <w:autoSpaceDE w:val="0"/>
        <w:autoSpaceDN w:val="0"/>
        <w:adjustRightInd w:val="0"/>
        <w:spacing w:line="480" w:lineRule="auto"/>
        <w:ind w:firstLine="720"/>
      </w:pPr>
      <w:r>
        <w:t>T</w:t>
      </w:r>
      <w:r w:rsidR="00C72E33">
        <w:t>he Environmental</w:t>
      </w:r>
      <w:r>
        <w:t xml:space="preserve"> </w:t>
      </w:r>
      <w:r w:rsidR="00C72E33">
        <w:t>Advocates pointed out</w:t>
      </w:r>
      <w:r w:rsidR="00DE563A">
        <w:t xml:space="preserve"> that</w:t>
      </w:r>
      <w:r w:rsidR="00C72E33">
        <w:t xml:space="preserve"> Senate Bill 310 </w:t>
      </w:r>
      <w:r w:rsidR="00C14BD5">
        <w:t xml:space="preserve">did not </w:t>
      </w:r>
      <w:r w:rsidR="00AC52EF">
        <w:t>“</w:t>
      </w:r>
      <w:r w:rsidR="00C14BD5">
        <w:t xml:space="preserve">hold the utilities </w:t>
      </w:r>
      <w:r w:rsidR="00AC52EF">
        <w:t xml:space="preserve">and their shareholders </w:t>
      </w:r>
      <w:r w:rsidR="00C14BD5">
        <w:t>harmless</w:t>
      </w:r>
      <w:r w:rsidR="00AC52EF">
        <w:t>….”</w:t>
      </w:r>
      <w:r w:rsidR="00C14BD5">
        <w:t xml:space="preserve"> for the consequences of any actions on their part to reduce </w:t>
      </w:r>
      <w:r w:rsidR="00C72E33">
        <w:t>their energy efficiency portfolios for 2015 and 2016.”</w:t>
      </w:r>
      <w:r w:rsidR="00C72E33">
        <w:rPr>
          <w:rStyle w:val="FootnoteReference"/>
        </w:rPr>
        <w:footnoteReference w:id="30"/>
      </w:r>
      <w:r w:rsidR="00C72E33">
        <w:t xml:space="preserve"> </w:t>
      </w:r>
      <w:r>
        <w:t xml:space="preserve">It was </w:t>
      </w:r>
      <w:r w:rsidR="00682470">
        <w:t>FirstEnergy</w:t>
      </w:r>
      <w:r w:rsidR="00AC52EF">
        <w:t xml:space="preserve"> itself </w:t>
      </w:r>
      <w:r>
        <w:t xml:space="preserve">that </w:t>
      </w:r>
      <w:r w:rsidR="00AC52EF">
        <w:t>sought</w:t>
      </w:r>
      <w:r w:rsidR="0076291D">
        <w:t xml:space="preserve"> </w:t>
      </w:r>
      <w:r w:rsidR="00173F80">
        <w:t>--</w:t>
      </w:r>
      <w:r w:rsidR="0076291D">
        <w:t xml:space="preserve"> </w:t>
      </w:r>
      <w:r w:rsidR="00AC52EF">
        <w:t xml:space="preserve">and </w:t>
      </w:r>
      <w:r w:rsidR="00173F80">
        <w:t>was allowed</w:t>
      </w:r>
      <w:r w:rsidR="0076291D">
        <w:t xml:space="preserve"> </w:t>
      </w:r>
      <w:r w:rsidR="00173F80">
        <w:t>--</w:t>
      </w:r>
      <w:r w:rsidR="0076291D">
        <w:t xml:space="preserve"> </w:t>
      </w:r>
      <w:r w:rsidR="00AC52EF">
        <w:t>to</w:t>
      </w:r>
      <w:r w:rsidR="00682470">
        <w:t xml:space="preserve"> </w:t>
      </w:r>
      <w:r w:rsidR="00AC52EF">
        <w:t xml:space="preserve">significantly reduce </w:t>
      </w:r>
      <w:r w:rsidR="00682470">
        <w:t xml:space="preserve">its energy efficiency programs. </w:t>
      </w:r>
      <w:r w:rsidR="00C72E33">
        <w:t>Rehearing should be granted</w:t>
      </w:r>
      <w:r w:rsidR="00AC52EF">
        <w:t xml:space="preserve"> to align FirstEnergy’s decision to abandon much of its energy </w:t>
      </w:r>
      <w:r w:rsidR="00173F80">
        <w:t>efficiency portf</w:t>
      </w:r>
      <w:r w:rsidR="00AC52EF">
        <w:t xml:space="preserve">olio with </w:t>
      </w:r>
      <w:r>
        <w:t>a</w:t>
      </w:r>
      <w:r w:rsidR="00AC52EF">
        <w:t xml:space="preserve"> responsibility for</w:t>
      </w:r>
      <w:r>
        <w:t xml:space="preserve"> it to bear</w:t>
      </w:r>
      <w:r w:rsidR="00AC52EF">
        <w:t xml:space="preserve"> </w:t>
      </w:r>
      <w:r w:rsidR="00173F80">
        <w:t xml:space="preserve">the </w:t>
      </w:r>
      <w:r w:rsidR="00AC52EF">
        <w:t>negative financial consequences of its decision</w:t>
      </w:r>
      <w:r w:rsidR="00C72E33">
        <w:t>.</w:t>
      </w:r>
    </w:p>
    <w:p w:rsidR="0076291D" w:rsidRDefault="0076291D" w:rsidP="0076291D">
      <w:pPr>
        <w:pStyle w:val="Heading2"/>
      </w:pPr>
      <w:bookmarkStart w:id="46" w:name="_Toc407012917"/>
      <w:bookmarkEnd w:id="42"/>
      <w:bookmarkEnd w:id="43"/>
      <w:r>
        <w:t>C.</w:t>
      </w:r>
      <w:r>
        <w:tab/>
      </w:r>
      <w:bookmarkStart w:id="47" w:name="_Toc406689431"/>
      <w:r w:rsidRPr="004A4FD9">
        <w:t>The PUCO</w:t>
      </w:r>
      <w:r>
        <w:t xml:space="preserve"> erred in not</w:t>
      </w:r>
      <w:r w:rsidRPr="004A4FD9">
        <w:t xml:space="preserve"> </w:t>
      </w:r>
      <w:r>
        <w:t>clarifying its Finding and Order that, consistent with Ohio Admin. Code 4901:1-39-04(B), FirstEnergy must demonstrate that its amended energy efficiency portfolio is cost-effective.</w:t>
      </w:r>
      <w:bookmarkEnd w:id="46"/>
    </w:p>
    <w:bookmarkEnd w:id="47"/>
    <w:p w:rsidR="003D6E0E" w:rsidRDefault="0014445B" w:rsidP="000E4F11">
      <w:pPr>
        <w:spacing w:line="480" w:lineRule="auto"/>
      </w:pPr>
      <w:r>
        <w:tab/>
        <w:t>In Comments, several parties, inc</w:t>
      </w:r>
      <w:r w:rsidR="003D6E0E">
        <w:t>luding OCC, questioned the cost-</w:t>
      </w:r>
      <w:r>
        <w:t>effectiveness of FirstEnergy’s modified ene</w:t>
      </w:r>
      <w:r w:rsidR="000E4F11">
        <w:t>rgy portfolio plan</w:t>
      </w:r>
      <w:r w:rsidR="00173F80">
        <w:t xml:space="preserve"> for customers</w:t>
      </w:r>
      <w:r w:rsidR="000E4F11">
        <w:t>.</w:t>
      </w:r>
      <w:r w:rsidR="000E4F11">
        <w:rPr>
          <w:rStyle w:val="FootnoteReference"/>
        </w:rPr>
        <w:footnoteReference w:id="31"/>
      </w:r>
      <w:r w:rsidR="000E4F11">
        <w:t xml:space="preserve"> FirstEnergy’s bare-bones Application lacked data demonstrating</w:t>
      </w:r>
      <w:r w:rsidR="00E0787C">
        <w:t xml:space="preserve"> that its</w:t>
      </w:r>
      <w:r w:rsidR="000E4F11">
        <w:t xml:space="preserve"> modified </w:t>
      </w:r>
      <w:r w:rsidR="00E0787C">
        <w:t xml:space="preserve">energy efficiency </w:t>
      </w:r>
      <w:r w:rsidR="000E4F11">
        <w:t>plan is cost-effective under the Total Resource Cost Test</w:t>
      </w:r>
      <w:r w:rsidR="00173F80">
        <w:t>. That outcome of cost-effectiveness is</w:t>
      </w:r>
      <w:r w:rsidR="00E0787C">
        <w:t xml:space="preserve"> required by Ohio Admin. Code 4901:1-39-04(B)</w:t>
      </w:r>
      <w:r w:rsidR="000E4F11">
        <w:t>.</w:t>
      </w:r>
      <w:r w:rsidR="00E24961">
        <w:t xml:space="preserve"> </w:t>
      </w:r>
      <w:r w:rsidR="000E4F11">
        <w:t xml:space="preserve">FirstEnergy contends that </w:t>
      </w:r>
      <w:r w:rsidR="00634F51">
        <w:t xml:space="preserve">because </w:t>
      </w:r>
      <w:r w:rsidR="000E4F11">
        <w:t>its existing portfolio was cost effective under the Total Resource Cost test, its modified plan would also pass the test.</w:t>
      </w:r>
      <w:r w:rsidR="003D6E0E">
        <w:rPr>
          <w:rStyle w:val="FootnoteReference"/>
        </w:rPr>
        <w:footnoteReference w:id="32"/>
      </w:r>
      <w:r w:rsidR="000E4F11">
        <w:t xml:space="preserve"> The PUCO rejected FirstEnergy’s argument in its Order.</w:t>
      </w:r>
      <w:r w:rsidR="000E4F11">
        <w:rPr>
          <w:rStyle w:val="FootnoteReference"/>
        </w:rPr>
        <w:footnoteReference w:id="33"/>
      </w:r>
      <w:r w:rsidR="000E4F11">
        <w:t xml:space="preserve"> Specifically, the PUCO found that with respect to cost-effectiveness, “alteration of the program m</w:t>
      </w:r>
      <w:r w:rsidR="007E6BDC">
        <w:t>ix may cause a different result</w:t>
      </w:r>
      <w:r w:rsidR="000E4F11">
        <w:t>”</w:t>
      </w:r>
      <w:r w:rsidR="007E6BDC">
        <w:t xml:space="preserve"> and the PUCO was not persuaded by FirstEnergy’s argument.</w:t>
      </w:r>
      <w:r w:rsidR="000E4F11">
        <w:t xml:space="preserve"> </w:t>
      </w:r>
    </w:p>
    <w:p w:rsidR="0014445B" w:rsidRDefault="000E4F11" w:rsidP="003D6E0E">
      <w:pPr>
        <w:spacing w:line="480" w:lineRule="auto"/>
        <w:ind w:firstLine="720"/>
      </w:pPr>
      <w:r>
        <w:t>The PUCO required FirstEnergy to demonstrate the cost-effectiveness of its newly proposed Customer Action Program.</w:t>
      </w:r>
      <w:r w:rsidR="00E24961">
        <w:rPr>
          <w:rStyle w:val="FootnoteReference"/>
        </w:rPr>
        <w:footnoteReference w:id="34"/>
      </w:r>
      <w:r w:rsidR="003D6E0E">
        <w:t xml:space="preserve"> </w:t>
      </w:r>
      <w:r w:rsidR="00595E53">
        <w:t>The PUCO also directed FirstEnergy to “work with its collaborative to ensure that the overall portfolio remains cost-effective.”</w:t>
      </w:r>
      <w:r w:rsidR="00595E53">
        <w:rPr>
          <w:rStyle w:val="FootnoteReference"/>
        </w:rPr>
        <w:footnoteReference w:id="35"/>
      </w:r>
      <w:r w:rsidR="00595E53">
        <w:t xml:space="preserve"> </w:t>
      </w:r>
      <w:r w:rsidR="00173F80">
        <w:t>Those requirements are appropriate</w:t>
      </w:r>
      <w:r>
        <w:t xml:space="preserve">. However, the Utility should </w:t>
      </w:r>
      <w:r w:rsidR="003D6E0E">
        <w:t xml:space="preserve">also </w:t>
      </w:r>
      <w:r>
        <w:t xml:space="preserve">be required to </w:t>
      </w:r>
      <w:r w:rsidRPr="00595E53">
        <w:rPr>
          <w:i/>
        </w:rPr>
        <w:t>demonstrate</w:t>
      </w:r>
      <w:r w:rsidRPr="00595E53">
        <w:t xml:space="preserve"> </w:t>
      </w:r>
      <w:r>
        <w:t xml:space="preserve">the cost-effectiveness of its entire modified energy efficiency portfolio, </w:t>
      </w:r>
      <w:r w:rsidR="003D6E0E">
        <w:t>in accordance with Ohio Admin. Code 4901:1-39-04(B)</w:t>
      </w:r>
      <w:r>
        <w:t>. The PUCO should clarify</w:t>
      </w:r>
      <w:r w:rsidR="00595E53">
        <w:t xml:space="preserve"> this point </w:t>
      </w:r>
      <w:r w:rsidR="00173F80">
        <w:t xml:space="preserve">in </w:t>
      </w:r>
      <w:r>
        <w:t>its Order.</w:t>
      </w:r>
    </w:p>
    <w:bookmarkEnd w:id="44"/>
    <w:p w:rsidR="0055180A" w:rsidRPr="0055180A" w:rsidRDefault="0055180A" w:rsidP="0055180A">
      <w:pPr>
        <w:pStyle w:val="BodyText"/>
        <w:spacing w:after="0"/>
        <w:ind w:firstLine="720"/>
        <w:contextualSpacing/>
        <w:rPr>
          <w:lang w:val="en-US"/>
        </w:rPr>
      </w:pPr>
    </w:p>
    <w:p w:rsidR="00FE55AB" w:rsidRDefault="00FE55AB" w:rsidP="004A4FD9">
      <w:pPr>
        <w:pStyle w:val="Heading1"/>
      </w:pPr>
      <w:bookmarkStart w:id="48" w:name="_Toc331598712"/>
      <w:bookmarkStart w:id="49" w:name="_Toc331602829"/>
      <w:bookmarkStart w:id="50" w:name="_Toc331603314"/>
      <w:bookmarkStart w:id="51" w:name="_Toc340153716"/>
      <w:bookmarkStart w:id="52" w:name="_Toc345674401"/>
      <w:bookmarkStart w:id="53" w:name="_Toc345675359"/>
      <w:bookmarkStart w:id="54" w:name="_Toc353617289"/>
      <w:bookmarkStart w:id="55" w:name="_Toc354150649"/>
      <w:bookmarkStart w:id="56" w:name="_Toc363632584"/>
      <w:bookmarkStart w:id="57" w:name="_Toc364332208"/>
      <w:bookmarkStart w:id="58" w:name="_Toc364430705"/>
      <w:bookmarkStart w:id="59" w:name="_Toc406689432"/>
      <w:bookmarkStart w:id="60" w:name="_Toc407012918"/>
      <w:r>
        <w:t>Iv.</w:t>
      </w:r>
      <w:r>
        <w:tab/>
        <w:t>CONCLUSION</w:t>
      </w:r>
      <w:bookmarkEnd w:id="48"/>
      <w:bookmarkEnd w:id="49"/>
      <w:bookmarkEnd w:id="50"/>
      <w:bookmarkEnd w:id="51"/>
      <w:bookmarkEnd w:id="52"/>
      <w:bookmarkEnd w:id="53"/>
      <w:bookmarkEnd w:id="54"/>
      <w:bookmarkEnd w:id="55"/>
      <w:bookmarkEnd w:id="56"/>
      <w:bookmarkEnd w:id="57"/>
      <w:bookmarkEnd w:id="58"/>
      <w:bookmarkEnd w:id="59"/>
      <w:bookmarkEnd w:id="60"/>
    </w:p>
    <w:p w:rsidR="003C0526" w:rsidRDefault="00173F80" w:rsidP="00AB6EDD">
      <w:pPr>
        <w:autoSpaceDE w:val="0"/>
        <w:autoSpaceDN w:val="0"/>
        <w:adjustRightInd w:val="0"/>
        <w:spacing w:line="480" w:lineRule="auto"/>
        <w:ind w:firstLine="720"/>
      </w:pPr>
      <w:r>
        <w:t>T</w:t>
      </w:r>
      <w:r w:rsidR="00FE55AB">
        <w:t xml:space="preserve">he </w:t>
      </w:r>
      <w:r w:rsidR="001A26D4">
        <w:t>PUCO</w:t>
      </w:r>
      <w:r w:rsidR="00FE55AB">
        <w:t xml:space="preserve"> should grant OCC</w:t>
      </w:r>
      <w:r w:rsidR="00182EB7">
        <w:t>’</w:t>
      </w:r>
      <w:r w:rsidR="003C0526">
        <w:t xml:space="preserve">s application for rehearing. The PUCO erred in its November 20, 2014 Finding and </w:t>
      </w:r>
      <w:r>
        <w:t>O</w:t>
      </w:r>
      <w:r w:rsidR="003C0526">
        <w:t xml:space="preserve">rder by authorizing FirstEnergy to charge customers for capacity shortfalls that may result from the Utility’s </w:t>
      </w:r>
      <w:r>
        <w:t xml:space="preserve">own </w:t>
      </w:r>
      <w:r w:rsidR="003C0526">
        <w:t xml:space="preserve">proposal to eliminate over </w:t>
      </w:r>
      <w:r w:rsidR="00634F51">
        <w:t xml:space="preserve">60 </w:t>
      </w:r>
      <w:r w:rsidR="003C0526">
        <w:t>percent of its energy efficiency programs.</w:t>
      </w:r>
      <w:r w:rsidR="003C0526">
        <w:rPr>
          <w:rStyle w:val="FootnoteReference"/>
        </w:rPr>
        <w:footnoteReference w:id="36"/>
      </w:r>
      <w:r w:rsidR="003C0526">
        <w:t xml:space="preserve"> The PUCO did not set</w:t>
      </w:r>
      <w:r>
        <w:t xml:space="preserve"> </w:t>
      </w:r>
      <w:r w:rsidR="003C0526">
        <w:t>forth the reasons explaining why</w:t>
      </w:r>
      <w:r w:rsidR="003C0526">
        <w:rPr>
          <w:rStyle w:val="FootnoteReference"/>
        </w:rPr>
        <w:footnoteReference w:id="37"/>
      </w:r>
      <w:r w:rsidR="003C0526">
        <w:t xml:space="preserve"> it found that customers</w:t>
      </w:r>
      <w:r w:rsidR="00AB6EDD">
        <w:t>, and not the Utility, should be at risk for any shortfalls that may result</w:t>
      </w:r>
      <w:r w:rsidR="00CE5A50">
        <w:t xml:space="preserve">. This violated R.C. 4903.09. Additionally the PUCO’s decision to require customers to bear the costs of the utility’s decision is </w:t>
      </w:r>
      <w:r>
        <w:t xml:space="preserve">an </w:t>
      </w:r>
      <w:r w:rsidR="00CE5A50">
        <w:t>unreasonable</w:t>
      </w:r>
      <w:r>
        <w:t xml:space="preserve"> result for FirstEnergy’s 1.9 million customers. Those customers are not, under the law,</w:t>
      </w:r>
      <w:r w:rsidR="005B656C">
        <w:t xml:space="preserve"> the guarantors of decision-making by FirstEnergy’s management</w:t>
      </w:r>
      <w:r w:rsidR="00CE5A50">
        <w:t xml:space="preserve">. The </w:t>
      </w:r>
      <w:r w:rsidR="003C0526">
        <w:t xml:space="preserve">Utility should be responsible for capacity shortfalls that could result from the changes </w:t>
      </w:r>
      <w:r w:rsidR="00CE5A50">
        <w:t>it</w:t>
      </w:r>
      <w:r w:rsidR="003C0526">
        <w:t xml:space="preserve"> elected to make to its energy efficiency portfolio for 2015 and 2016.</w:t>
      </w:r>
    </w:p>
    <w:p w:rsidR="009277B1" w:rsidRDefault="005B656C" w:rsidP="003C0526">
      <w:pPr>
        <w:spacing w:line="480" w:lineRule="auto"/>
        <w:ind w:firstLine="720"/>
      </w:pPr>
      <w:r>
        <w:t>Finally</w:t>
      </w:r>
      <w:r w:rsidR="003C0526">
        <w:t>, the PUCO should clarify that FirstEnergy’s modified energy efficiency/peak demand reduction portfolio, as a whole, must be cost effective</w:t>
      </w:r>
      <w:r>
        <w:t>. That result is</w:t>
      </w:r>
      <w:r w:rsidR="003C0526">
        <w:t xml:space="preserve"> consistent with Ohio Admin. Code 4901:1-39-04(B).</w:t>
      </w:r>
    </w:p>
    <w:p w:rsidR="00FE55AB" w:rsidRDefault="00FE55AB" w:rsidP="00BA7E68">
      <w:pPr>
        <w:spacing w:line="480" w:lineRule="auto"/>
        <w:ind w:firstLine="720"/>
        <w:rPr>
          <w:bCs/>
        </w:rPr>
      </w:pPr>
      <w:r>
        <w:rPr>
          <w:bCs/>
        </w:rPr>
        <w:tab/>
      </w:r>
      <w:r>
        <w:rPr>
          <w:bCs/>
        </w:rPr>
        <w:tab/>
      </w:r>
      <w:r>
        <w:rPr>
          <w:bCs/>
        </w:rPr>
        <w:tab/>
      </w:r>
      <w:r>
        <w:rPr>
          <w:bCs/>
        </w:rPr>
        <w:tab/>
      </w:r>
      <w:r w:rsidR="00A35F44">
        <w:rPr>
          <w:bCs/>
        </w:rPr>
        <w:tab/>
      </w:r>
      <w:r>
        <w:rPr>
          <w:bCs/>
        </w:rPr>
        <w:t>Respectfully submitted,</w:t>
      </w:r>
    </w:p>
    <w:p w:rsidR="00FE55AB" w:rsidRDefault="00FE55AB">
      <w:pPr>
        <w:ind w:left="4320"/>
        <w:rPr>
          <w:caps/>
        </w:rPr>
      </w:pPr>
      <w:r>
        <w:rPr>
          <w:caps/>
        </w:rPr>
        <w:t>BRUCE J. WESTON</w:t>
      </w:r>
    </w:p>
    <w:p w:rsidR="00FE55AB" w:rsidRDefault="00FE55AB">
      <w:pPr>
        <w:ind w:left="4320"/>
      </w:pPr>
      <w:r>
        <w:t>OHIO CONSUMERS</w:t>
      </w:r>
      <w:r w:rsidR="00182EB7">
        <w:t>’</w:t>
      </w:r>
      <w:r>
        <w:t xml:space="preserve"> COUNSEL</w:t>
      </w:r>
    </w:p>
    <w:p w:rsidR="00FE55AB" w:rsidRDefault="00FE55AB">
      <w:pPr>
        <w:ind w:left="4320"/>
      </w:pPr>
    </w:p>
    <w:p w:rsidR="00FE55AB" w:rsidRDefault="00FE55AB">
      <w:pPr>
        <w:ind w:left="4320"/>
      </w:pPr>
    </w:p>
    <w:p w:rsidR="00FE55AB" w:rsidRDefault="00FE55AB">
      <w:pPr>
        <w:ind w:left="4320"/>
      </w:pPr>
      <w:r>
        <w:rPr>
          <w:i/>
          <w:u w:val="single"/>
        </w:rPr>
        <w:t>/s/ Kyle L. Kern</w:t>
      </w:r>
      <w:r>
        <w:t>_______________</w:t>
      </w:r>
    </w:p>
    <w:p w:rsidR="00FE55AB" w:rsidRDefault="00FE55AB">
      <w:pPr>
        <w:ind w:left="4320"/>
      </w:pPr>
      <w:r>
        <w:t>Kyle L. Kern, Counsel of Record</w:t>
      </w:r>
    </w:p>
    <w:p w:rsidR="00A35F44" w:rsidRDefault="00A35F44" w:rsidP="00A35F44">
      <w:pPr>
        <w:ind w:left="4320"/>
      </w:pPr>
      <w:r>
        <w:t>(0084199)</w:t>
      </w:r>
    </w:p>
    <w:p w:rsidR="00FE55AB" w:rsidRDefault="00FE55AB">
      <w:pPr>
        <w:ind w:left="4320"/>
      </w:pPr>
      <w:r>
        <w:t>Assistant Consumers</w:t>
      </w:r>
      <w:r w:rsidR="00182EB7">
        <w:t>’</w:t>
      </w:r>
      <w:r>
        <w:t xml:space="preserve"> Counsel</w:t>
      </w:r>
    </w:p>
    <w:p w:rsidR="00FE55AB" w:rsidRDefault="00FE55AB">
      <w:pPr>
        <w:spacing w:before="120"/>
        <w:ind w:left="4320"/>
        <w:rPr>
          <w:b/>
          <w:caps/>
        </w:rPr>
      </w:pPr>
      <w:r>
        <w:rPr>
          <w:b/>
        </w:rPr>
        <w:t>Office of the Ohio Consumers</w:t>
      </w:r>
      <w:r w:rsidR="00182EB7">
        <w:rPr>
          <w:b/>
        </w:rPr>
        <w:t>’</w:t>
      </w:r>
      <w:r>
        <w:rPr>
          <w:b/>
        </w:rPr>
        <w:t xml:space="preserve"> Counsel</w:t>
      </w:r>
    </w:p>
    <w:p w:rsidR="00FE55AB" w:rsidRDefault="00FE55AB">
      <w:pPr>
        <w:ind w:left="4320"/>
      </w:pPr>
      <w:r>
        <w:t>10 West Broad Street, Suite 1800</w:t>
      </w:r>
    </w:p>
    <w:p w:rsidR="00FE55AB" w:rsidRDefault="00FE55AB">
      <w:pPr>
        <w:ind w:left="4320"/>
      </w:pPr>
      <w:r>
        <w:t>Columbus, Ohio 43215-3485</w:t>
      </w:r>
    </w:p>
    <w:p w:rsidR="00FE55AB" w:rsidRDefault="00FE55AB">
      <w:pPr>
        <w:ind w:left="4320"/>
      </w:pPr>
      <w:r>
        <w:t>614-466-9585 (Kern Telephone)</w:t>
      </w:r>
    </w:p>
    <w:p w:rsidR="002C2952" w:rsidRDefault="00B34379" w:rsidP="002C2952">
      <w:pPr>
        <w:ind w:left="4320"/>
        <w:rPr>
          <w:bCs/>
          <w:u w:val="single"/>
        </w:rPr>
      </w:pPr>
      <w:hyperlink r:id="rId24" w:history="1">
        <w:r w:rsidR="002C2952" w:rsidRPr="00D40BC7">
          <w:rPr>
            <w:rStyle w:val="Hyperlink"/>
            <w:bCs/>
          </w:rPr>
          <w:t>Kyle.kern@occ.ohio.gov</w:t>
        </w:r>
      </w:hyperlink>
    </w:p>
    <w:p w:rsidR="00FE55AB" w:rsidRDefault="00FE55AB" w:rsidP="00E92175">
      <w:pPr>
        <w:jc w:val="center"/>
        <w:rPr>
          <w:b/>
          <w:bCs/>
          <w:u w:val="single"/>
        </w:rPr>
      </w:pPr>
      <w:r>
        <w:rPr>
          <w:b/>
          <w:bCs/>
          <w:u w:val="single"/>
        </w:rPr>
        <w:br w:type="page"/>
        <w:t>CERTIFICATE OF SERVICE</w:t>
      </w:r>
    </w:p>
    <w:p w:rsidR="00E92175" w:rsidRDefault="00E92175" w:rsidP="00E92175">
      <w:pPr>
        <w:jc w:val="center"/>
        <w:rPr>
          <w:b/>
          <w:bCs/>
          <w:u w:val="single"/>
        </w:rPr>
      </w:pPr>
    </w:p>
    <w:p w:rsidR="00FE55AB" w:rsidRDefault="00FE55AB">
      <w:pPr>
        <w:spacing w:line="480" w:lineRule="atLeast"/>
      </w:pPr>
      <w:r>
        <w:tab/>
        <w:t xml:space="preserve">I hereby certify that a copy of this Application for Rehearing was served on the persons stated below via electronic service this </w:t>
      </w:r>
      <w:r w:rsidR="00E662D0">
        <w:t>22nd</w:t>
      </w:r>
      <w:r>
        <w:t xml:space="preserve"> day of </w:t>
      </w:r>
      <w:r w:rsidR="00E662D0">
        <w:t>December 2014</w:t>
      </w:r>
      <w:r>
        <w:t>.</w:t>
      </w:r>
    </w:p>
    <w:p w:rsidR="00FE55AB" w:rsidRDefault="00FE55AB">
      <w:pPr>
        <w:spacing w:line="480" w:lineRule="atLeast"/>
      </w:pPr>
    </w:p>
    <w:p w:rsidR="00FE55AB" w:rsidRDefault="00FE55AB">
      <w:pPr>
        <w:tabs>
          <w:tab w:val="left" w:pos="4320"/>
        </w:tabs>
      </w:pPr>
      <w:r>
        <w:tab/>
      </w:r>
      <w:r>
        <w:rPr>
          <w:i/>
          <w:u w:val="single"/>
        </w:rPr>
        <w:t>/s/ Kyle L. Kern</w:t>
      </w:r>
      <w:r>
        <w:t>____________________</w:t>
      </w:r>
    </w:p>
    <w:p w:rsidR="00FE55AB" w:rsidRDefault="00FE55AB">
      <w:pPr>
        <w:tabs>
          <w:tab w:val="left" w:pos="4320"/>
        </w:tabs>
      </w:pPr>
      <w:r>
        <w:tab/>
        <w:t>Kyle L. Kern</w:t>
      </w:r>
    </w:p>
    <w:p w:rsidR="00FE55AB" w:rsidRDefault="00FE55AB">
      <w:pPr>
        <w:tabs>
          <w:tab w:val="left" w:pos="4320"/>
        </w:tabs>
      </w:pPr>
      <w:r>
        <w:tab/>
        <w:t>Assistant Consumers</w:t>
      </w:r>
      <w:r w:rsidR="00182EB7">
        <w:t>’</w:t>
      </w:r>
      <w:r>
        <w:t xml:space="preserve"> Counsel</w:t>
      </w:r>
    </w:p>
    <w:p w:rsidR="00FE55AB" w:rsidRDefault="00FE55AB">
      <w:pPr>
        <w:rPr>
          <w:lang w:val="x-none" w:eastAsia="x-none"/>
        </w:rPr>
      </w:pPr>
    </w:p>
    <w:p w:rsidR="00E92175" w:rsidRDefault="00E92175">
      <w:pPr>
        <w:jc w:val="center"/>
        <w:rPr>
          <w:b/>
          <w:u w:val="single"/>
          <w:lang w:eastAsia="x-none"/>
        </w:rPr>
      </w:pPr>
    </w:p>
    <w:p w:rsidR="00FE55AB" w:rsidRDefault="00FE55AB">
      <w:pPr>
        <w:jc w:val="center"/>
        <w:rPr>
          <w:b/>
          <w:u w:val="single"/>
          <w:lang w:val="x-none" w:eastAsia="x-none"/>
        </w:rPr>
      </w:pPr>
      <w:r>
        <w:rPr>
          <w:b/>
          <w:u w:val="single"/>
          <w:lang w:val="x-none" w:eastAsia="x-none"/>
        </w:rPr>
        <w:t>SERVICE LIST</w:t>
      </w:r>
    </w:p>
    <w:p w:rsidR="00FE55AB" w:rsidRDefault="00FE55AB">
      <w:pPr>
        <w:jc w:val="center"/>
        <w:rPr>
          <w:b/>
          <w:u w:val="single"/>
          <w:lang w:val="x-none" w:eastAsia="x-none"/>
        </w:rPr>
      </w:pPr>
    </w:p>
    <w:p w:rsidR="00FE55AB" w:rsidRDefault="00FE55AB">
      <w:pPr>
        <w:autoSpaceDE w:val="0"/>
        <w:autoSpaceDN w:val="0"/>
        <w:adjustRightInd w:val="0"/>
        <w:rPr>
          <w:bCs/>
        </w:rPr>
      </w:pPr>
    </w:p>
    <w:tbl>
      <w:tblPr>
        <w:tblW w:w="0" w:type="auto"/>
        <w:tblLook w:val="04A0" w:firstRow="1" w:lastRow="0" w:firstColumn="1" w:lastColumn="0" w:noHBand="0" w:noVBand="1"/>
      </w:tblPr>
      <w:tblGrid>
        <w:gridCol w:w="4428"/>
        <w:gridCol w:w="4428"/>
      </w:tblGrid>
      <w:tr w:rsidR="00FE55AB">
        <w:tc>
          <w:tcPr>
            <w:tcW w:w="4428" w:type="dxa"/>
            <w:shd w:val="clear" w:color="auto" w:fill="auto"/>
          </w:tcPr>
          <w:p w:rsidR="000A01C5" w:rsidRDefault="00B34379">
            <w:pPr>
              <w:autoSpaceDE w:val="0"/>
              <w:autoSpaceDN w:val="0"/>
              <w:adjustRightInd w:val="0"/>
              <w:rPr>
                <w:bCs/>
                <w:color w:val="0000FF"/>
                <w:u w:val="single"/>
              </w:rPr>
            </w:pPr>
            <w:hyperlink r:id="rId25" w:history="1">
              <w:r w:rsidR="000A01C5" w:rsidRPr="001B277B">
                <w:rPr>
                  <w:rStyle w:val="Hyperlink"/>
                  <w:bCs/>
                </w:rPr>
                <w:t>Katie.johnson@puc.state.oh.us</w:t>
              </w:r>
            </w:hyperlink>
          </w:p>
          <w:p w:rsidR="00FE55AB" w:rsidRDefault="00FE55AB">
            <w:pPr>
              <w:autoSpaceDE w:val="0"/>
              <w:autoSpaceDN w:val="0"/>
              <w:adjustRightInd w:val="0"/>
              <w:rPr>
                <w:color w:val="0000FF"/>
              </w:rPr>
            </w:pPr>
            <w:r>
              <w:rPr>
                <w:color w:val="0000FF"/>
                <w:u w:val="single"/>
              </w:rPr>
              <w:t>kjkolich@firstenergycorp.com</w:t>
            </w:r>
          </w:p>
          <w:p w:rsidR="00FE55AB" w:rsidRDefault="00FE55AB">
            <w:pPr>
              <w:autoSpaceDE w:val="0"/>
              <w:autoSpaceDN w:val="0"/>
              <w:adjustRightInd w:val="0"/>
              <w:rPr>
                <w:color w:val="000000"/>
              </w:rPr>
            </w:pPr>
            <w:r>
              <w:rPr>
                <w:color w:val="0000FF"/>
                <w:u w:val="single"/>
              </w:rPr>
              <w:t>cdunn@firstenergycorp.com</w:t>
            </w:r>
          </w:p>
          <w:p w:rsidR="00FE55AB" w:rsidRDefault="00FE55AB">
            <w:pPr>
              <w:rPr>
                <w:color w:val="0000FF"/>
              </w:rPr>
            </w:pPr>
            <w:r>
              <w:rPr>
                <w:color w:val="0000FF"/>
                <w:u w:val="single"/>
              </w:rPr>
              <w:t>toddm@wamenergylaw.com</w:t>
            </w:r>
          </w:p>
          <w:p w:rsidR="00FE55AB" w:rsidRDefault="00FE55AB">
            <w:pPr>
              <w:rPr>
                <w:rFonts w:ascii="Arial" w:hAnsi="Arial" w:cs="Arial"/>
                <w:color w:val="0000FF"/>
              </w:rPr>
            </w:pPr>
            <w:r>
              <w:rPr>
                <w:color w:val="0000FF"/>
                <w:u w:val="single"/>
              </w:rPr>
              <w:t>cmooney2@columbus.rr.com</w:t>
            </w:r>
          </w:p>
          <w:p w:rsidR="00FE55AB" w:rsidRDefault="00FE55AB">
            <w:pPr>
              <w:autoSpaceDE w:val="0"/>
              <w:autoSpaceDN w:val="0"/>
              <w:adjustRightInd w:val="0"/>
              <w:rPr>
                <w:iCs/>
              </w:rPr>
            </w:pPr>
            <w:r>
              <w:rPr>
                <w:iCs/>
                <w:color w:val="0000FF"/>
                <w:u w:val="single"/>
              </w:rPr>
              <w:t>Cathy@theOEC.org</w:t>
            </w:r>
          </w:p>
          <w:p w:rsidR="00FE55AB" w:rsidRDefault="00FE55AB">
            <w:pPr>
              <w:autoSpaceDE w:val="0"/>
              <w:autoSpaceDN w:val="0"/>
              <w:adjustRightInd w:val="0"/>
              <w:rPr>
                <w:iCs/>
              </w:rPr>
            </w:pPr>
            <w:r>
              <w:rPr>
                <w:iCs/>
                <w:color w:val="0000FF"/>
                <w:u w:val="single"/>
              </w:rPr>
              <w:t>Trent@theOEC.org</w:t>
            </w:r>
          </w:p>
          <w:p w:rsidR="00FE55AB" w:rsidRDefault="00B34379">
            <w:pPr>
              <w:autoSpaceDE w:val="0"/>
              <w:autoSpaceDN w:val="0"/>
              <w:adjustRightInd w:val="0"/>
              <w:rPr>
                <w:color w:val="0000FF"/>
                <w:u w:val="single"/>
              </w:rPr>
            </w:pPr>
            <w:hyperlink r:id="rId26" w:history="1">
              <w:r w:rsidR="000A01C5" w:rsidRPr="001B277B">
                <w:rPr>
                  <w:rStyle w:val="Hyperlink"/>
                </w:rPr>
                <w:t>callwein@wamenergylaw.com</w:t>
              </w:r>
            </w:hyperlink>
          </w:p>
          <w:p w:rsidR="000A01C5" w:rsidRDefault="00B34379">
            <w:pPr>
              <w:autoSpaceDE w:val="0"/>
              <w:autoSpaceDN w:val="0"/>
              <w:adjustRightInd w:val="0"/>
            </w:pPr>
            <w:hyperlink r:id="rId27" w:history="1">
              <w:r w:rsidR="000A01C5" w:rsidRPr="001B277B">
                <w:rPr>
                  <w:rStyle w:val="Hyperlink"/>
                </w:rPr>
                <w:t>casey.roberts@sierraclub.org</w:t>
              </w:r>
            </w:hyperlink>
          </w:p>
          <w:p w:rsidR="00FE55AB" w:rsidRDefault="00FE55AB">
            <w:pPr>
              <w:autoSpaceDE w:val="0"/>
              <w:autoSpaceDN w:val="0"/>
              <w:adjustRightInd w:val="0"/>
            </w:pPr>
            <w:r>
              <w:rPr>
                <w:color w:val="0000FF"/>
                <w:u w:val="single"/>
              </w:rPr>
              <w:t>jvickers@elpc.org</w:t>
            </w:r>
          </w:p>
          <w:p w:rsidR="00FE55AB" w:rsidRDefault="00FE55AB">
            <w:pPr>
              <w:autoSpaceDE w:val="0"/>
              <w:autoSpaceDN w:val="0"/>
              <w:adjustRightInd w:val="0"/>
            </w:pPr>
            <w:r>
              <w:rPr>
                <w:color w:val="0000FF"/>
                <w:u w:val="single"/>
              </w:rPr>
              <w:t>rkelter@elpc.org</w:t>
            </w:r>
          </w:p>
          <w:p w:rsidR="00FE55AB" w:rsidRDefault="00FE55AB">
            <w:pPr>
              <w:autoSpaceDE w:val="0"/>
              <w:autoSpaceDN w:val="0"/>
              <w:adjustRightInd w:val="0"/>
            </w:pPr>
            <w:r>
              <w:rPr>
                <w:color w:val="0000FF"/>
                <w:u w:val="single"/>
              </w:rPr>
              <w:t>dboehm@BKLlawfirm.com</w:t>
            </w:r>
          </w:p>
          <w:p w:rsidR="00FE55AB" w:rsidRDefault="00FE55AB">
            <w:pPr>
              <w:autoSpaceDE w:val="0"/>
              <w:autoSpaceDN w:val="0"/>
              <w:adjustRightInd w:val="0"/>
            </w:pPr>
            <w:r>
              <w:rPr>
                <w:color w:val="0000FF"/>
                <w:u w:val="single"/>
              </w:rPr>
              <w:t>mkurtz@BKLlawfirm.com</w:t>
            </w:r>
          </w:p>
          <w:p w:rsidR="00FE55AB" w:rsidRDefault="00B34379">
            <w:pPr>
              <w:autoSpaceDE w:val="0"/>
              <w:autoSpaceDN w:val="0"/>
              <w:adjustRightInd w:val="0"/>
            </w:pPr>
            <w:hyperlink r:id="rId28" w:history="1">
              <w:r w:rsidR="00E92175" w:rsidRPr="009949A5">
                <w:rPr>
                  <w:rStyle w:val="Hyperlink"/>
                </w:rPr>
                <w:t>jkylercohn@BKLlawfirm.com</w:t>
              </w:r>
            </w:hyperlink>
          </w:p>
          <w:p w:rsidR="00E92175" w:rsidRDefault="00E92175">
            <w:pPr>
              <w:autoSpaceDE w:val="0"/>
              <w:autoSpaceDN w:val="0"/>
              <w:adjustRightInd w:val="0"/>
            </w:pPr>
          </w:p>
          <w:p w:rsidR="00FE55AB" w:rsidRDefault="00FE55AB">
            <w:pPr>
              <w:autoSpaceDE w:val="0"/>
              <w:autoSpaceDN w:val="0"/>
              <w:adjustRightInd w:val="0"/>
              <w:rPr>
                <w:bCs/>
              </w:rPr>
            </w:pPr>
          </w:p>
        </w:tc>
        <w:tc>
          <w:tcPr>
            <w:tcW w:w="4428" w:type="dxa"/>
            <w:shd w:val="clear" w:color="auto" w:fill="auto"/>
          </w:tcPr>
          <w:p w:rsidR="00FE55AB" w:rsidRDefault="00FE55AB">
            <w:pPr>
              <w:autoSpaceDE w:val="0"/>
              <w:autoSpaceDN w:val="0"/>
              <w:adjustRightInd w:val="0"/>
            </w:pPr>
            <w:r>
              <w:rPr>
                <w:color w:val="0000FF"/>
                <w:u w:val="single"/>
              </w:rPr>
              <w:t>ricks@ohanet.org</w:t>
            </w:r>
          </w:p>
          <w:p w:rsidR="00FE55AB" w:rsidRDefault="00FE55AB">
            <w:pPr>
              <w:autoSpaceDE w:val="0"/>
              <w:autoSpaceDN w:val="0"/>
              <w:adjustRightInd w:val="0"/>
            </w:pPr>
            <w:r>
              <w:rPr>
                <w:color w:val="0000FF"/>
                <w:u w:val="single"/>
              </w:rPr>
              <w:t>tobrien@bricker.com</w:t>
            </w:r>
          </w:p>
          <w:p w:rsidR="00FE55AB" w:rsidRDefault="00FE55AB">
            <w:pPr>
              <w:autoSpaceDE w:val="0"/>
              <w:autoSpaceDN w:val="0"/>
              <w:adjustRightInd w:val="0"/>
              <w:rPr>
                <w:color w:val="0000FF"/>
              </w:rPr>
            </w:pPr>
            <w:r>
              <w:rPr>
                <w:color w:val="0000FF"/>
                <w:u w:val="single"/>
              </w:rPr>
              <w:t>tsiwo@bricker.com</w:t>
            </w:r>
          </w:p>
          <w:p w:rsidR="00FE55AB" w:rsidRDefault="00FE55AB">
            <w:pPr>
              <w:autoSpaceDE w:val="0"/>
              <w:autoSpaceDN w:val="0"/>
              <w:adjustRightInd w:val="0"/>
              <w:rPr>
                <w:color w:val="0000FF"/>
              </w:rPr>
            </w:pPr>
            <w:r>
              <w:rPr>
                <w:color w:val="0000FF"/>
                <w:u w:val="single"/>
              </w:rPr>
              <w:t>gpoulos@enernoc.com</w:t>
            </w:r>
          </w:p>
          <w:p w:rsidR="00FE55AB" w:rsidRDefault="00FE55AB">
            <w:pPr>
              <w:autoSpaceDE w:val="0"/>
              <w:autoSpaceDN w:val="0"/>
              <w:adjustRightInd w:val="0"/>
            </w:pPr>
            <w:r>
              <w:rPr>
                <w:color w:val="0000FF"/>
                <w:u w:val="single"/>
              </w:rPr>
              <w:t>sam@mwncmh.com</w:t>
            </w:r>
          </w:p>
          <w:p w:rsidR="00FE55AB" w:rsidRDefault="00FE55AB">
            <w:pPr>
              <w:autoSpaceDE w:val="0"/>
              <w:autoSpaceDN w:val="0"/>
              <w:adjustRightInd w:val="0"/>
            </w:pPr>
            <w:r>
              <w:rPr>
                <w:color w:val="0000FF"/>
                <w:u w:val="single"/>
              </w:rPr>
              <w:t>fdarr@mwncmh.com</w:t>
            </w:r>
          </w:p>
          <w:p w:rsidR="00FE55AB" w:rsidRDefault="00FE55AB">
            <w:pPr>
              <w:autoSpaceDE w:val="0"/>
              <w:autoSpaceDN w:val="0"/>
              <w:adjustRightInd w:val="0"/>
            </w:pPr>
            <w:r>
              <w:rPr>
                <w:color w:val="0000FF"/>
                <w:u w:val="single"/>
              </w:rPr>
              <w:t>joliker@mwncmh.com</w:t>
            </w:r>
          </w:p>
          <w:p w:rsidR="00FE55AB" w:rsidRDefault="00FE55AB">
            <w:pPr>
              <w:autoSpaceDE w:val="0"/>
              <w:autoSpaceDN w:val="0"/>
              <w:adjustRightInd w:val="0"/>
            </w:pPr>
            <w:r>
              <w:rPr>
                <w:color w:val="0000FF"/>
                <w:u w:val="single"/>
              </w:rPr>
              <w:t>mpritchard@mwncmh.com</w:t>
            </w:r>
          </w:p>
          <w:p w:rsidR="00FE55AB" w:rsidRDefault="00FE55AB">
            <w:pPr>
              <w:autoSpaceDE w:val="0"/>
              <w:autoSpaceDN w:val="0"/>
              <w:adjustRightInd w:val="0"/>
            </w:pPr>
            <w:r>
              <w:rPr>
                <w:color w:val="0000FF"/>
                <w:u w:val="single"/>
              </w:rPr>
              <w:t>mlavanga@bbrslaw.com</w:t>
            </w:r>
          </w:p>
          <w:p w:rsidR="00FE55AB" w:rsidRDefault="00FE55AB">
            <w:pPr>
              <w:autoSpaceDE w:val="0"/>
              <w:autoSpaceDN w:val="0"/>
              <w:adjustRightInd w:val="0"/>
            </w:pPr>
            <w:r>
              <w:rPr>
                <w:color w:val="0000FF"/>
                <w:u w:val="single"/>
              </w:rPr>
              <w:t>NMcDaniel@elpc.org</w:t>
            </w:r>
          </w:p>
          <w:p w:rsidR="00FE55AB" w:rsidRDefault="00FE55AB">
            <w:pPr>
              <w:autoSpaceDE w:val="0"/>
              <w:autoSpaceDN w:val="0"/>
              <w:adjustRightInd w:val="0"/>
            </w:pPr>
            <w:r>
              <w:rPr>
                <w:color w:val="0000FF"/>
                <w:u w:val="single"/>
              </w:rPr>
              <w:t>robinson@citizenpower.com</w:t>
            </w:r>
          </w:p>
          <w:p w:rsidR="00FE55AB" w:rsidRDefault="00FE55AB">
            <w:pPr>
              <w:autoSpaceDE w:val="0"/>
              <w:autoSpaceDN w:val="0"/>
              <w:adjustRightInd w:val="0"/>
            </w:pPr>
            <w:r>
              <w:rPr>
                <w:color w:val="0000FF"/>
                <w:u w:val="single"/>
              </w:rPr>
              <w:t>mandy.willey@puc.state.oh.us</w:t>
            </w:r>
          </w:p>
          <w:p w:rsidR="00FE55AB" w:rsidRDefault="00FE55AB">
            <w:pPr>
              <w:autoSpaceDE w:val="0"/>
              <w:autoSpaceDN w:val="0"/>
              <w:adjustRightInd w:val="0"/>
              <w:rPr>
                <w:bCs/>
              </w:rPr>
            </w:pPr>
            <w:r>
              <w:rPr>
                <w:color w:val="0000FF"/>
                <w:u w:val="single"/>
              </w:rPr>
              <w:t>Gregory.price@puc.state.oh.us</w:t>
            </w:r>
          </w:p>
        </w:tc>
      </w:tr>
    </w:tbl>
    <w:p w:rsidR="00FE55AB" w:rsidRDefault="00FE55AB">
      <w:pPr>
        <w:autoSpaceDE w:val="0"/>
        <w:autoSpaceDN w:val="0"/>
        <w:adjustRightInd w:val="0"/>
        <w:rPr>
          <w:bCs/>
        </w:rPr>
      </w:pPr>
    </w:p>
    <w:p w:rsidR="00FE55AB" w:rsidRDefault="00FE55AB">
      <w:pPr>
        <w:spacing w:line="480" w:lineRule="atLeast"/>
      </w:pPr>
    </w:p>
    <w:sectPr w:rsidR="00FE55AB">
      <w:headerReference w:type="even" r:id="rId29"/>
      <w:headerReference w:type="default" r:id="rId30"/>
      <w:headerReference w:type="first" r:id="rId31"/>
      <w:footerReference w:type="first" r:id="rId3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38" w:rsidRDefault="00430F38">
      <w:r>
        <w:separator/>
      </w:r>
    </w:p>
  </w:endnote>
  <w:endnote w:type="continuationSeparator" w:id="0">
    <w:p w:rsidR="00430F38" w:rsidRDefault="00430F38">
      <w:r>
        <w:continuationSeparator/>
      </w:r>
    </w:p>
  </w:endnote>
  <w:endnote w:type="continuationNotice" w:id="1">
    <w:p w:rsidR="00430F38" w:rsidRDefault="00430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F" w:rsidRDefault="00496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71F">
      <w:rPr>
        <w:rStyle w:val="PageNumber"/>
        <w:noProof/>
      </w:rPr>
      <w:t>13</w:t>
    </w:r>
    <w:r>
      <w:rPr>
        <w:rStyle w:val="PageNumber"/>
      </w:rPr>
      <w:fldChar w:fldCharType="end"/>
    </w:r>
  </w:p>
  <w:p w:rsidR="00173F80" w:rsidRDefault="00173F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F" w:rsidRDefault="004967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Footer"/>
      <w:jc w:val="center"/>
    </w:pPr>
    <w:r>
      <w:fldChar w:fldCharType="begin"/>
    </w:r>
    <w:r>
      <w:instrText xml:space="preserve"> PAGE   \* MERGEFORMAT </w:instrText>
    </w:r>
    <w:r>
      <w:fldChar w:fldCharType="separate"/>
    </w:r>
    <w:r w:rsidR="0049671F">
      <w:rPr>
        <w:noProof/>
      </w:rPr>
      <w:t>i</w:t>
    </w:r>
    <w:r>
      <w:rPr>
        <w:noProof/>
      </w:rPr>
      <w:fldChar w:fldCharType="end"/>
    </w:r>
  </w:p>
  <w:p w:rsidR="00173F80" w:rsidRDefault="00173F8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671F">
      <w:rPr>
        <w:rStyle w:val="PageNumber"/>
        <w:noProof/>
      </w:rPr>
      <w:t>1</w:t>
    </w:r>
    <w:r>
      <w:rPr>
        <w:rStyle w:val="PageNumber"/>
      </w:rPr>
      <w:fldChar w:fldCharType="end"/>
    </w:r>
  </w:p>
  <w:p w:rsidR="00173F80" w:rsidRDefault="00173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38" w:rsidRDefault="00430F38">
      <w:r>
        <w:separator/>
      </w:r>
    </w:p>
  </w:footnote>
  <w:footnote w:type="continuationSeparator" w:id="0">
    <w:p w:rsidR="00430F38" w:rsidRDefault="00430F38">
      <w:r>
        <w:continuationSeparator/>
      </w:r>
    </w:p>
  </w:footnote>
  <w:footnote w:type="continuationNotice" w:id="1">
    <w:p w:rsidR="00430F38" w:rsidRDefault="00430F38"/>
  </w:footnote>
  <w:footnote w:id="2">
    <w:p w:rsidR="00173F80" w:rsidRPr="00425D1F" w:rsidRDefault="00173F80" w:rsidP="00B40B46">
      <w:pPr>
        <w:pStyle w:val="FootnoteText"/>
        <w:spacing w:after="120"/>
      </w:pPr>
      <w:r w:rsidRPr="00425D1F">
        <w:rPr>
          <w:rStyle w:val="FootnoteReference"/>
        </w:rPr>
        <w:footnoteRef/>
      </w:r>
      <w:r w:rsidRPr="00425D1F">
        <w:t xml:space="preserve"> </w:t>
      </w:r>
      <w:r>
        <w:t xml:space="preserve">The FirstEnergy utilities are </w:t>
      </w:r>
      <w:r w:rsidRPr="00425D1F">
        <w:t>Ohio Edison Company (</w:t>
      </w:r>
      <w:r>
        <w:t>“</w:t>
      </w:r>
      <w:r w:rsidRPr="00425D1F">
        <w:t>Ohio Edison</w:t>
      </w:r>
      <w:r>
        <w:t>”</w:t>
      </w:r>
      <w:r w:rsidRPr="00425D1F">
        <w:t>), the Cleveland Electric Illuminating Company (</w:t>
      </w:r>
      <w:r>
        <w:t>“</w:t>
      </w:r>
      <w:r w:rsidRPr="00425D1F">
        <w:t>CEI</w:t>
      </w:r>
      <w:r>
        <w:t>”</w:t>
      </w:r>
      <w:r w:rsidRPr="00425D1F">
        <w:t>), and the Toledo Edison Company (</w:t>
      </w:r>
      <w:r>
        <w:t>“</w:t>
      </w:r>
      <w:r w:rsidRPr="00425D1F">
        <w:t>Toledo Edison</w:t>
      </w:r>
      <w:r>
        <w:t>”</w:t>
      </w:r>
      <w:r w:rsidRPr="00425D1F">
        <w:t xml:space="preserve">) (collectively, </w:t>
      </w:r>
      <w:r>
        <w:t>“</w:t>
      </w:r>
      <w:r w:rsidRPr="00425D1F">
        <w:t>FirstEnergy</w:t>
      </w:r>
      <w:r>
        <w:t>”</w:t>
      </w:r>
      <w:r w:rsidRPr="00425D1F">
        <w:t xml:space="preserve"> or the </w:t>
      </w:r>
      <w:r>
        <w:t>“</w:t>
      </w:r>
      <w:r w:rsidRPr="00425D1F">
        <w:t>Utilit</w:t>
      </w:r>
      <w:r>
        <w:t>y”</w:t>
      </w:r>
      <w:r w:rsidRPr="00425D1F">
        <w:t>).</w:t>
      </w:r>
    </w:p>
  </w:footnote>
  <w:footnote w:id="3">
    <w:p w:rsidR="00173F80" w:rsidRDefault="00173F80">
      <w:pPr>
        <w:pStyle w:val="FootnoteText"/>
      </w:pPr>
      <w:r>
        <w:rPr>
          <w:rStyle w:val="FootnoteReference"/>
        </w:rPr>
        <w:footnoteRef/>
      </w:r>
      <w:r>
        <w:t xml:space="preserve"> R.C. 4928.66(A)(1)(a).</w:t>
      </w:r>
    </w:p>
  </w:footnote>
  <w:footnote w:id="4">
    <w:p w:rsidR="00173F80" w:rsidRDefault="00173F80" w:rsidP="00153D51">
      <w:pPr>
        <w:pStyle w:val="FootnoteText"/>
        <w:spacing w:after="120"/>
      </w:pPr>
      <w:r>
        <w:rPr>
          <w:rStyle w:val="FootnoteReference"/>
        </w:rPr>
        <w:footnoteRef/>
      </w:r>
      <w:r>
        <w:t xml:space="preserve"> Case No. 12-2190-EL-POR, Application at 2.</w:t>
      </w:r>
    </w:p>
  </w:footnote>
  <w:footnote w:id="5">
    <w:p w:rsidR="00173F80" w:rsidRDefault="00173F80" w:rsidP="00153D51">
      <w:pPr>
        <w:pStyle w:val="FootnoteText"/>
        <w:spacing w:after="120"/>
      </w:pPr>
      <w:r>
        <w:rPr>
          <w:rStyle w:val="FootnoteReference"/>
        </w:rPr>
        <w:footnoteRef/>
      </w:r>
      <w:r>
        <w:t xml:space="preserve"> </w:t>
      </w:r>
      <w:r>
        <w:rPr>
          <w:i/>
        </w:rPr>
        <w:t xml:space="preserve">See </w:t>
      </w:r>
      <w:r w:rsidRPr="00153D51">
        <w:t>Case No. 12-2190-EL-POR</w:t>
      </w:r>
      <w:r>
        <w:rPr>
          <w:i/>
        </w:rPr>
        <w:t xml:space="preserve">, </w:t>
      </w:r>
      <w:r>
        <w:t xml:space="preserve">OCC Comments at 14-16, Ohio Manufacturers’’ Association Energy Group (“OMAEG”) Comments at 7-9, Environmental Advocates at 9-20, Ohio Partners for Affordable Energy Reply </w:t>
      </w:r>
      <w:r w:rsidRPr="00AA1506">
        <w:t xml:space="preserve">Comments at </w:t>
      </w:r>
      <w:r>
        <w:t>5-6</w:t>
      </w:r>
      <w:r w:rsidRPr="00AA1506">
        <w:t>.</w:t>
      </w:r>
    </w:p>
  </w:footnote>
  <w:footnote w:id="6">
    <w:p w:rsidR="00173F80" w:rsidRDefault="00173F80">
      <w:pPr>
        <w:pStyle w:val="FootnoteText"/>
      </w:pPr>
      <w:r>
        <w:rPr>
          <w:rStyle w:val="FootnoteReference"/>
        </w:rPr>
        <w:footnoteRef/>
      </w:r>
      <w:r>
        <w:t xml:space="preserve"> Case No. 12-2190-EL-POR, Opinion and Order at March 20, 2013 at 20-21 (March 20, 2013).</w:t>
      </w:r>
    </w:p>
  </w:footnote>
  <w:footnote w:id="7">
    <w:p w:rsidR="00173F80" w:rsidRDefault="00173F80" w:rsidP="00153D51">
      <w:pPr>
        <w:pStyle w:val="FootnoteText"/>
        <w:spacing w:after="120"/>
      </w:pPr>
      <w:r>
        <w:rPr>
          <w:rStyle w:val="FootnoteReference"/>
        </w:rPr>
        <w:footnoteRef/>
      </w:r>
      <w:r>
        <w:t xml:space="preserve"> Case No. 12-2190-EL-POR, Opinion and Order at 20 (March 20, 2013).</w:t>
      </w:r>
    </w:p>
  </w:footnote>
  <w:footnote w:id="8">
    <w:p w:rsidR="00173F80" w:rsidRDefault="00173F80" w:rsidP="00B46465">
      <w:pPr>
        <w:pStyle w:val="FootnoteText"/>
        <w:spacing w:after="120"/>
      </w:pPr>
      <w:r>
        <w:rPr>
          <w:rStyle w:val="FootnoteReference"/>
        </w:rPr>
        <w:footnoteRef/>
      </w:r>
      <w:r>
        <w:t xml:space="preserve"> Application at 8.</w:t>
      </w:r>
    </w:p>
  </w:footnote>
  <w:footnote w:id="9">
    <w:p w:rsidR="00173F80" w:rsidRDefault="00173F80" w:rsidP="00B46465">
      <w:pPr>
        <w:pStyle w:val="FootnoteText"/>
        <w:spacing w:after="120"/>
      </w:pPr>
      <w:r>
        <w:rPr>
          <w:rStyle w:val="FootnoteReference"/>
        </w:rPr>
        <w:footnoteRef/>
      </w:r>
      <w:r>
        <w:t xml:space="preserve"> Finding and Order at 9 (November 20, 2014).</w:t>
      </w:r>
    </w:p>
  </w:footnote>
  <w:footnote w:id="10">
    <w:p w:rsidR="00173F80" w:rsidRDefault="00173F80" w:rsidP="00B46465">
      <w:pPr>
        <w:pStyle w:val="FootnoteText"/>
        <w:spacing w:after="120"/>
      </w:pPr>
      <w:r>
        <w:rPr>
          <w:rStyle w:val="FootnoteReference"/>
        </w:rPr>
        <w:footnoteRef/>
      </w:r>
      <w:r>
        <w:t xml:space="preserve"> Id.</w:t>
      </w:r>
    </w:p>
  </w:footnote>
  <w:footnote w:id="11">
    <w:p w:rsidR="00173F80" w:rsidRDefault="00173F80" w:rsidP="00B46465">
      <w:pPr>
        <w:pStyle w:val="FootnoteText"/>
        <w:spacing w:after="120"/>
      </w:pPr>
      <w:r>
        <w:rPr>
          <w:rStyle w:val="FootnoteReference"/>
        </w:rPr>
        <w:footnoteRef/>
      </w:r>
      <w:r>
        <w:t xml:space="preserve"> Id. at 13.</w:t>
      </w:r>
    </w:p>
  </w:footnote>
  <w:footnote w:id="12">
    <w:p w:rsidR="00173F80" w:rsidRPr="00425D1F" w:rsidRDefault="00173F80" w:rsidP="00182EB7">
      <w:pPr>
        <w:pStyle w:val="FootnoteText"/>
        <w:spacing w:after="120"/>
      </w:pPr>
      <w:r w:rsidRPr="00425D1F">
        <w:rPr>
          <w:rStyle w:val="FootnoteReference"/>
        </w:rPr>
        <w:footnoteRef/>
      </w:r>
      <w:r w:rsidRPr="00425D1F">
        <w:t xml:space="preserve"> R.C. 4903.10.  </w:t>
      </w:r>
    </w:p>
  </w:footnote>
  <w:footnote w:id="13">
    <w:p w:rsidR="00173F80" w:rsidRPr="00425D1F" w:rsidRDefault="00173F80" w:rsidP="00182EB7">
      <w:pPr>
        <w:pStyle w:val="FootnoteText"/>
        <w:spacing w:after="120"/>
      </w:pPr>
      <w:r w:rsidRPr="00425D1F">
        <w:rPr>
          <w:rStyle w:val="FootnoteReference"/>
        </w:rPr>
        <w:footnoteRef/>
      </w:r>
      <w:r w:rsidRPr="00425D1F">
        <w:t xml:space="preserve"> Id</w:t>
      </w:r>
      <w:r w:rsidRPr="00425D1F">
        <w:rPr>
          <w:i/>
        </w:rPr>
        <w:t>.</w:t>
      </w:r>
    </w:p>
  </w:footnote>
  <w:footnote w:id="14">
    <w:p w:rsidR="00173F80" w:rsidRPr="00425D1F" w:rsidRDefault="00173F80" w:rsidP="00182EB7">
      <w:pPr>
        <w:pStyle w:val="FootnoteText"/>
        <w:spacing w:after="120"/>
      </w:pPr>
      <w:r w:rsidRPr="00425D1F">
        <w:rPr>
          <w:rStyle w:val="FootnoteReference"/>
        </w:rPr>
        <w:footnoteRef/>
      </w:r>
      <w:r w:rsidRPr="00425D1F">
        <w:t xml:space="preserve"> Id.</w:t>
      </w:r>
    </w:p>
  </w:footnote>
  <w:footnote w:id="15">
    <w:p w:rsidR="00173F80" w:rsidRPr="00425D1F" w:rsidRDefault="00173F80" w:rsidP="00182EB7">
      <w:pPr>
        <w:pStyle w:val="FootnoteText"/>
        <w:spacing w:after="120"/>
      </w:pPr>
      <w:r w:rsidRPr="00425D1F">
        <w:rPr>
          <w:rStyle w:val="FootnoteReference"/>
        </w:rPr>
        <w:footnoteRef/>
      </w:r>
      <w:r w:rsidRPr="00425D1F">
        <w:t xml:space="preserve"> Id.</w:t>
      </w:r>
    </w:p>
  </w:footnote>
  <w:footnote w:id="16">
    <w:p w:rsidR="00173F80" w:rsidRPr="00425D1F" w:rsidRDefault="00173F80" w:rsidP="00E62833">
      <w:pPr>
        <w:pStyle w:val="FootnoteText"/>
        <w:spacing w:after="120"/>
      </w:pPr>
      <w:r w:rsidRPr="00425D1F">
        <w:rPr>
          <w:rStyle w:val="FootnoteReference"/>
        </w:rPr>
        <w:footnoteRef/>
      </w:r>
      <w:r w:rsidRPr="00425D1F">
        <w:t xml:space="preserve"> </w:t>
      </w:r>
      <w:r w:rsidRPr="00E62833">
        <w:rPr>
          <w:i/>
        </w:rPr>
        <w:t>See</w:t>
      </w:r>
      <w:r w:rsidRPr="00425D1F">
        <w:t xml:space="preserve"> Ohio Adm. Code 4901-1-35.</w:t>
      </w:r>
    </w:p>
  </w:footnote>
  <w:footnote w:id="17">
    <w:p w:rsidR="00173F80" w:rsidRDefault="00173F80" w:rsidP="00E62833">
      <w:pPr>
        <w:pStyle w:val="FootnoteText"/>
        <w:spacing w:after="120"/>
      </w:pPr>
      <w:r>
        <w:rPr>
          <w:rStyle w:val="FootnoteReference"/>
        </w:rPr>
        <w:footnoteRef/>
      </w:r>
      <w:r>
        <w:t xml:space="preserve"> </w:t>
      </w:r>
      <w:r>
        <w:rPr>
          <w:i/>
        </w:rPr>
        <w:t xml:space="preserve">See </w:t>
      </w:r>
      <w:r w:rsidRPr="00153D51">
        <w:t>Case No. 12-2190-EL-POR</w:t>
      </w:r>
      <w:r>
        <w:rPr>
          <w:i/>
        </w:rPr>
        <w:t xml:space="preserve">, </w:t>
      </w:r>
      <w:r>
        <w:t xml:space="preserve">OCC Comments at 14-16, Ohio Manufacturers’’ Association Energy Group (“OMAEG”) Comments at 7-9, Environmental Advocates at 9-20, Ohio Partners for Affordable Energy Reply </w:t>
      </w:r>
      <w:r w:rsidRPr="00AA1506">
        <w:t xml:space="preserve">Comments at </w:t>
      </w:r>
      <w:r>
        <w:t>5-6</w:t>
      </w:r>
      <w:r w:rsidRPr="00AA1506">
        <w:t>.</w:t>
      </w:r>
    </w:p>
  </w:footnote>
  <w:footnote w:id="18">
    <w:p w:rsidR="00173F80" w:rsidRDefault="00173F80" w:rsidP="00E62833">
      <w:pPr>
        <w:pStyle w:val="FootnoteText"/>
        <w:spacing w:after="120"/>
      </w:pPr>
      <w:r>
        <w:rPr>
          <w:rStyle w:val="FootnoteReference"/>
        </w:rPr>
        <w:footnoteRef/>
      </w:r>
      <w:r>
        <w:t xml:space="preserve"> Case No. 12-2190-EL-POR, Opinion and Order at 20 (March 20, 2013).</w:t>
      </w:r>
    </w:p>
  </w:footnote>
  <w:footnote w:id="19">
    <w:p w:rsidR="00173F80" w:rsidRDefault="00173F80" w:rsidP="002628D7">
      <w:pPr>
        <w:pStyle w:val="FootnoteText"/>
        <w:spacing w:after="120"/>
      </w:pPr>
      <w:r>
        <w:rPr>
          <w:rStyle w:val="FootnoteReference"/>
        </w:rPr>
        <w:footnoteRef/>
      </w:r>
      <w:r>
        <w:t xml:space="preserve"> Case No. 12-2190-EL-POR, Finding and </w:t>
      </w:r>
      <w:r w:rsidRPr="00AA1506">
        <w:t>Order at 22</w:t>
      </w:r>
      <w:r>
        <w:t xml:space="preserve"> (November 20, 2014)</w:t>
      </w:r>
      <w:r w:rsidRPr="00AA1506">
        <w:t>.</w:t>
      </w:r>
    </w:p>
  </w:footnote>
  <w:footnote w:id="20">
    <w:p w:rsidR="00173F80" w:rsidRPr="00425D1F" w:rsidRDefault="00173F80" w:rsidP="00E62833">
      <w:pPr>
        <w:autoSpaceDE w:val="0"/>
        <w:autoSpaceDN w:val="0"/>
        <w:adjustRightInd w:val="0"/>
        <w:spacing w:after="120"/>
        <w:rPr>
          <w:i/>
          <w:iCs/>
          <w:sz w:val="20"/>
          <w:szCs w:val="20"/>
        </w:rPr>
      </w:pPr>
      <w:r w:rsidRPr="00425D1F">
        <w:rPr>
          <w:rStyle w:val="FootnoteReference"/>
          <w:sz w:val="20"/>
          <w:szCs w:val="20"/>
        </w:rPr>
        <w:footnoteRef/>
      </w:r>
      <w:r w:rsidRPr="00E62833">
        <w:rPr>
          <w:i/>
          <w:sz w:val="20"/>
          <w:szCs w:val="20"/>
        </w:rPr>
        <w:t xml:space="preserve"> See</w:t>
      </w:r>
      <w:r w:rsidRPr="00425D1F">
        <w:rPr>
          <w:sz w:val="20"/>
          <w:szCs w:val="20"/>
        </w:rPr>
        <w:t xml:space="preserve"> </w:t>
      </w:r>
      <w:r w:rsidRPr="00425D1F">
        <w:rPr>
          <w:i/>
          <w:iCs/>
          <w:sz w:val="20"/>
          <w:szCs w:val="20"/>
        </w:rPr>
        <w:t>Cleveland Elec. Illuminating Co. v. PUC</w:t>
      </w:r>
      <w:r w:rsidRPr="00425D1F">
        <w:rPr>
          <w:sz w:val="20"/>
          <w:szCs w:val="20"/>
        </w:rPr>
        <w:t xml:space="preserve">, 4 Ohio St. 3d 107, 110 (Ohio 1983), citing to, </w:t>
      </w:r>
      <w:r w:rsidRPr="00425D1F">
        <w:rPr>
          <w:i/>
          <w:iCs/>
          <w:sz w:val="20"/>
          <w:szCs w:val="20"/>
        </w:rPr>
        <w:t>General Tel. Co. v. Pub. Util. Comm</w:t>
      </w:r>
      <w:r w:rsidRPr="00425D1F">
        <w:rPr>
          <w:sz w:val="20"/>
          <w:szCs w:val="20"/>
        </w:rPr>
        <w:t>. (1972), 30 Ohio St. 2d 271.</w:t>
      </w:r>
    </w:p>
  </w:footnote>
  <w:footnote w:id="21">
    <w:p w:rsidR="00173F80" w:rsidRPr="00425D1F" w:rsidRDefault="00173F80" w:rsidP="00E62833">
      <w:pPr>
        <w:pStyle w:val="FootnoteText"/>
        <w:spacing w:after="120"/>
      </w:pPr>
      <w:r w:rsidRPr="00425D1F">
        <w:rPr>
          <w:rStyle w:val="FootnoteReference"/>
        </w:rPr>
        <w:footnoteRef/>
      </w:r>
      <w:r w:rsidRPr="00425D1F">
        <w:t xml:space="preserve"> </w:t>
      </w:r>
      <w:r w:rsidRPr="00425D1F">
        <w:rPr>
          <w:i/>
          <w:iCs/>
        </w:rPr>
        <w:t>MCI Telecommunications Corp. v. Public Utilities Com.</w:t>
      </w:r>
      <w:r w:rsidRPr="00425D1F">
        <w:t>, 32 Ohio St. 3d 306, 312 (Ohio 1987).</w:t>
      </w:r>
    </w:p>
  </w:footnote>
  <w:footnote w:id="22">
    <w:p w:rsidR="00173F80" w:rsidRPr="00425D1F" w:rsidRDefault="00173F80" w:rsidP="00A37E5D">
      <w:pPr>
        <w:pStyle w:val="FootnoteText"/>
        <w:spacing w:after="120"/>
      </w:pPr>
      <w:r w:rsidRPr="00425D1F">
        <w:rPr>
          <w:rStyle w:val="FootnoteReference"/>
        </w:rPr>
        <w:footnoteRef/>
      </w:r>
      <w:r w:rsidRPr="00425D1F">
        <w:t xml:space="preserve"> </w:t>
      </w:r>
      <w:r w:rsidRPr="00425D1F">
        <w:rPr>
          <w:i/>
        </w:rPr>
        <w:t>Cleveland Elec. Illum. Co. v. Pub. Util. Comm</w:t>
      </w:r>
      <w:r w:rsidRPr="00425D1F">
        <w:t>. (1996), 76 Ohio St.3d 163, 166.</w:t>
      </w:r>
    </w:p>
  </w:footnote>
  <w:footnote w:id="23">
    <w:p w:rsidR="00173F80" w:rsidRPr="00425D1F" w:rsidRDefault="00173F80" w:rsidP="00A37E5D">
      <w:pPr>
        <w:pStyle w:val="FootnoteText"/>
        <w:spacing w:after="120"/>
      </w:pPr>
      <w:r w:rsidRPr="00425D1F">
        <w:rPr>
          <w:rStyle w:val="FootnoteReference"/>
        </w:rPr>
        <w:footnoteRef/>
      </w:r>
      <w:r w:rsidRPr="00425D1F">
        <w:t xml:space="preserve"> See, e.g., In re Petition of Studer &amp; Numerous Other Subscribers of Neapolis Exchange of ALLTEL Ohio, Case No. 88-481-TP-PEX. Entry on Rehearing (Sept. 6 1990).</w:t>
      </w:r>
    </w:p>
  </w:footnote>
  <w:footnote w:id="24">
    <w:p w:rsidR="00173F80" w:rsidRPr="00425D1F" w:rsidRDefault="00173F80" w:rsidP="00A37E5D">
      <w:pPr>
        <w:pStyle w:val="FootnoteText"/>
        <w:spacing w:after="120"/>
      </w:pPr>
      <w:r w:rsidRPr="00425D1F">
        <w:rPr>
          <w:rStyle w:val="FootnoteReference"/>
        </w:rPr>
        <w:footnoteRef/>
      </w:r>
      <w:r w:rsidRPr="00425D1F">
        <w:t xml:space="preserve"> See </w:t>
      </w:r>
      <w:r w:rsidRPr="00425D1F">
        <w:rPr>
          <w:i/>
        </w:rPr>
        <w:t>Tongren v. Pub. Util. Comm.</w:t>
      </w:r>
      <w:r w:rsidRPr="00425D1F">
        <w:t xml:space="preserve"> (1999), 85 Ohio St.3d 87, 92-93.</w:t>
      </w:r>
    </w:p>
  </w:footnote>
  <w:footnote w:id="25">
    <w:p w:rsidR="00173F80" w:rsidRPr="00425D1F" w:rsidRDefault="00173F80" w:rsidP="00A37E5D">
      <w:pPr>
        <w:pStyle w:val="FootnoteText"/>
        <w:spacing w:after="120"/>
      </w:pPr>
      <w:r w:rsidRPr="00425D1F">
        <w:rPr>
          <w:rStyle w:val="FootnoteReference"/>
        </w:rPr>
        <w:footnoteRef/>
      </w:r>
      <w:r w:rsidRPr="00425D1F">
        <w:t xml:space="preserve"> Id., citing </w:t>
      </w:r>
      <w:r w:rsidRPr="00425D1F">
        <w:rPr>
          <w:i/>
        </w:rPr>
        <w:t>Holliday Corp. v. Pub. Util. Comm.</w:t>
      </w:r>
      <w:r w:rsidRPr="00425D1F">
        <w:t>, (1980, 61 Ohio St.2d 335, syllabus.</w:t>
      </w:r>
    </w:p>
  </w:footnote>
  <w:footnote w:id="26">
    <w:p w:rsidR="00173F80" w:rsidRDefault="00173F80" w:rsidP="002628D7">
      <w:pPr>
        <w:pStyle w:val="FootnoteText"/>
        <w:spacing w:after="120"/>
      </w:pPr>
      <w:r>
        <w:rPr>
          <w:rStyle w:val="FootnoteReference"/>
        </w:rPr>
        <w:footnoteRef/>
      </w:r>
      <w:r>
        <w:t xml:space="preserve"> Case No. 12-2190-EL-POR, Opinion and Order at 21 (March 20, 2013).</w:t>
      </w:r>
    </w:p>
  </w:footnote>
  <w:footnote w:id="27">
    <w:p w:rsidR="00927772" w:rsidRDefault="00927772" w:rsidP="00CD1B49">
      <w:pPr>
        <w:pStyle w:val="FootnoteText"/>
        <w:spacing w:after="120"/>
      </w:pPr>
      <w:r>
        <w:rPr>
          <w:rStyle w:val="FootnoteReference"/>
        </w:rPr>
        <w:footnoteRef/>
      </w:r>
      <w:r>
        <w:t xml:space="preserve"> Environmental Advocates at 15-16 (October 20, 2014).</w:t>
      </w:r>
    </w:p>
  </w:footnote>
  <w:footnote w:id="28">
    <w:p w:rsidR="00927772" w:rsidRDefault="00927772" w:rsidP="00CD1B49">
      <w:pPr>
        <w:pStyle w:val="FootnoteText"/>
        <w:spacing w:after="120"/>
      </w:pPr>
      <w:r>
        <w:rPr>
          <w:rStyle w:val="FootnoteReference"/>
        </w:rPr>
        <w:footnoteRef/>
      </w:r>
      <w:r>
        <w:t xml:space="preserve"> Id.</w:t>
      </w:r>
    </w:p>
  </w:footnote>
  <w:footnote w:id="29">
    <w:p w:rsidR="00173F80" w:rsidRDefault="00173F80" w:rsidP="00CD1B49">
      <w:pPr>
        <w:pStyle w:val="FootnoteText"/>
        <w:spacing w:after="120"/>
      </w:pPr>
      <w:r>
        <w:rPr>
          <w:rStyle w:val="FootnoteReference"/>
        </w:rPr>
        <w:footnoteRef/>
      </w:r>
      <w:r>
        <w:t xml:space="preserve"> </w:t>
      </w:r>
      <w:r w:rsidR="00927772">
        <w:t>Id.</w:t>
      </w:r>
    </w:p>
  </w:footnote>
  <w:footnote w:id="30">
    <w:p w:rsidR="00173F80" w:rsidRDefault="00173F80" w:rsidP="00C72E33">
      <w:pPr>
        <w:pStyle w:val="FootnoteText"/>
        <w:spacing w:after="120"/>
      </w:pPr>
      <w:r>
        <w:rPr>
          <w:rStyle w:val="FootnoteReference"/>
        </w:rPr>
        <w:footnoteRef/>
      </w:r>
      <w:r>
        <w:t xml:space="preserve"> Case No. 12-2190-EL-POR, Environmental Advocates Comments at 19 </w:t>
      </w:r>
      <w:r w:rsidRPr="007E6BDC">
        <w:t>(October 20, 2014).</w:t>
      </w:r>
    </w:p>
  </w:footnote>
  <w:footnote w:id="31">
    <w:p w:rsidR="00173F80" w:rsidRPr="007E6BDC" w:rsidRDefault="00173F80" w:rsidP="00E662D0">
      <w:pPr>
        <w:pStyle w:val="FootnoteText"/>
        <w:spacing w:after="120"/>
      </w:pPr>
      <w:r w:rsidRPr="007E6BDC">
        <w:rPr>
          <w:rStyle w:val="FootnoteReference"/>
        </w:rPr>
        <w:footnoteRef/>
      </w:r>
      <w:r w:rsidRPr="007E6BDC">
        <w:t xml:space="preserve"> OCC at 17-18; OMAEG at 8-9; Environmental Advocates at 6; OPAE at 1-3.</w:t>
      </w:r>
    </w:p>
  </w:footnote>
  <w:footnote w:id="32">
    <w:p w:rsidR="00173F80" w:rsidRDefault="00173F80" w:rsidP="00A35F44">
      <w:pPr>
        <w:pStyle w:val="FootnoteText"/>
        <w:spacing w:after="120"/>
      </w:pPr>
      <w:r w:rsidRPr="007E6BDC">
        <w:rPr>
          <w:rStyle w:val="FootnoteReference"/>
        </w:rPr>
        <w:footnoteRef/>
      </w:r>
      <w:r w:rsidRPr="007E6BDC">
        <w:t xml:space="preserve"> FirstEnergy</w:t>
      </w:r>
      <w:r>
        <w:t xml:space="preserve"> </w:t>
      </w:r>
      <w:r w:rsidRPr="007E6BDC">
        <w:t>Reply Comments at 19.</w:t>
      </w:r>
    </w:p>
  </w:footnote>
  <w:footnote w:id="33">
    <w:p w:rsidR="00173F80" w:rsidRDefault="00173F80" w:rsidP="00A35F44">
      <w:pPr>
        <w:pStyle w:val="FootnoteText"/>
        <w:spacing w:after="120"/>
      </w:pPr>
      <w:r>
        <w:rPr>
          <w:rStyle w:val="FootnoteReference"/>
        </w:rPr>
        <w:footnoteRef/>
      </w:r>
      <w:r>
        <w:t xml:space="preserve"> Case No. 12-2190-EL-POR, Finding at Order at 12-13 (November 20, 2014).</w:t>
      </w:r>
    </w:p>
  </w:footnote>
  <w:footnote w:id="34">
    <w:p w:rsidR="00173F80" w:rsidRDefault="00173F80" w:rsidP="00A35F44">
      <w:pPr>
        <w:pStyle w:val="FootnoteText"/>
        <w:spacing w:after="120"/>
      </w:pPr>
      <w:r w:rsidRPr="007E6BDC">
        <w:rPr>
          <w:rStyle w:val="FootnoteReference"/>
        </w:rPr>
        <w:footnoteRef/>
      </w:r>
      <w:r>
        <w:t xml:space="preserve"> </w:t>
      </w:r>
      <w:r w:rsidRPr="007E6BDC">
        <w:t>Id. at 9.</w:t>
      </w:r>
    </w:p>
  </w:footnote>
  <w:footnote w:id="35">
    <w:p w:rsidR="00173F80" w:rsidRDefault="00173F80" w:rsidP="00A35F44">
      <w:pPr>
        <w:pStyle w:val="FootnoteText"/>
        <w:spacing w:after="120"/>
      </w:pPr>
      <w:r>
        <w:rPr>
          <w:rStyle w:val="FootnoteReference"/>
        </w:rPr>
        <w:footnoteRef/>
      </w:r>
      <w:r>
        <w:t xml:space="preserve"> Id. at 13.</w:t>
      </w:r>
    </w:p>
  </w:footnote>
  <w:footnote w:id="36">
    <w:p w:rsidR="00173F80" w:rsidRDefault="00173F80" w:rsidP="00A35F44">
      <w:pPr>
        <w:pStyle w:val="FootnoteText"/>
        <w:spacing w:after="120"/>
      </w:pPr>
      <w:r>
        <w:rPr>
          <w:rStyle w:val="FootnoteReference"/>
        </w:rPr>
        <w:footnoteRef/>
      </w:r>
      <w:r>
        <w:t xml:space="preserve"> Case No. 12-2190-El-POR, Finding and Order at 22 (November 20, 2014).</w:t>
      </w:r>
    </w:p>
  </w:footnote>
  <w:footnote w:id="37">
    <w:p w:rsidR="00173F80" w:rsidRDefault="00173F80" w:rsidP="003C0526">
      <w:pPr>
        <w:pStyle w:val="FootnoteText"/>
        <w:spacing w:after="120"/>
      </w:pPr>
      <w:r>
        <w:rPr>
          <w:rStyle w:val="FootnoteReference"/>
        </w:rPr>
        <w:footnoteRef/>
      </w:r>
      <w:r>
        <w:t xml:space="preserve"> As required by R.C. 4903.09.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F" w:rsidRDefault="004967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F" w:rsidRDefault="00496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F" w:rsidRDefault="004967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80" w:rsidRDefault="00173F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E7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6CA0B34"/>
    <w:lvl w:ilvl="0">
      <w:start w:val="1"/>
      <w:numFmt w:val="decimal"/>
      <w:lvlText w:val="%1."/>
      <w:lvlJc w:val="left"/>
      <w:pPr>
        <w:tabs>
          <w:tab w:val="num" w:pos="1800"/>
        </w:tabs>
        <w:ind w:left="1800" w:hanging="360"/>
      </w:pPr>
    </w:lvl>
  </w:abstractNum>
  <w:abstractNum w:abstractNumId="2">
    <w:nsid w:val="FFFFFF7D"/>
    <w:multiLevelType w:val="singleLevel"/>
    <w:tmpl w:val="DFA0BDCC"/>
    <w:lvl w:ilvl="0">
      <w:start w:val="1"/>
      <w:numFmt w:val="decimal"/>
      <w:lvlText w:val="%1."/>
      <w:lvlJc w:val="left"/>
      <w:pPr>
        <w:tabs>
          <w:tab w:val="num" w:pos="1440"/>
        </w:tabs>
        <w:ind w:left="1440" w:hanging="360"/>
      </w:pPr>
    </w:lvl>
  </w:abstractNum>
  <w:abstractNum w:abstractNumId="3">
    <w:nsid w:val="FFFFFF7E"/>
    <w:multiLevelType w:val="singleLevel"/>
    <w:tmpl w:val="85A81B20"/>
    <w:lvl w:ilvl="0">
      <w:start w:val="1"/>
      <w:numFmt w:val="decimal"/>
      <w:lvlText w:val="%1."/>
      <w:lvlJc w:val="left"/>
      <w:pPr>
        <w:tabs>
          <w:tab w:val="num" w:pos="1080"/>
        </w:tabs>
        <w:ind w:left="1080" w:hanging="360"/>
      </w:pPr>
    </w:lvl>
  </w:abstractNum>
  <w:abstractNum w:abstractNumId="4">
    <w:nsid w:val="FFFFFF7F"/>
    <w:multiLevelType w:val="singleLevel"/>
    <w:tmpl w:val="96B4F3A0"/>
    <w:lvl w:ilvl="0">
      <w:start w:val="1"/>
      <w:numFmt w:val="decimal"/>
      <w:lvlText w:val="%1."/>
      <w:lvlJc w:val="left"/>
      <w:pPr>
        <w:tabs>
          <w:tab w:val="num" w:pos="720"/>
        </w:tabs>
        <w:ind w:left="720" w:hanging="360"/>
      </w:pPr>
    </w:lvl>
  </w:abstractNum>
  <w:abstractNum w:abstractNumId="5">
    <w:nsid w:val="FFFFFF80"/>
    <w:multiLevelType w:val="singleLevel"/>
    <w:tmpl w:val="4F1410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522AB6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1067C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600390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D349066"/>
    <w:lvl w:ilvl="0">
      <w:start w:val="1"/>
      <w:numFmt w:val="decimal"/>
      <w:lvlText w:val="%1."/>
      <w:lvlJc w:val="left"/>
      <w:pPr>
        <w:tabs>
          <w:tab w:val="num" w:pos="360"/>
        </w:tabs>
        <w:ind w:left="360" w:hanging="360"/>
      </w:pPr>
    </w:lvl>
  </w:abstractNum>
  <w:abstractNum w:abstractNumId="10">
    <w:nsid w:val="FFFFFF89"/>
    <w:multiLevelType w:val="singleLevel"/>
    <w:tmpl w:val="2D989C76"/>
    <w:lvl w:ilvl="0">
      <w:start w:val="1"/>
      <w:numFmt w:val="bullet"/>
      <w:lvlText w:val=""/>
      <w:lvlJc w:val="left"/>
      <w:pPr>
        <w:tabs>
          <w:tab w:val="num" w:pos="360"/>
        </w:tabs>
        <w:ind w:left="360" w:hanging="360"/>
      </w:pPr>
      <w:rPr>
        <w:rFonts w:ascii="Symbol" w:hAnsi="Symbol" w:hint="default"/>
      </w:rPr>
    </w:lvl>
  </w:abstractNum>
  <w:abstractNum w:abstractNumId="11">
    <w:nsid w:val="016A5DB7"/>
    <w:multiLevelType w:val="hybridMultilevel"/>
    <w:tmpl w:val="64BC00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908253A"/>
    <w:multiLevelType w:val="hybridMultilevel"/>
    <w:tmpl w:val="A95487C4"/>
    <w:lvl w:ilvl="0" w:tplc="30FCAF1E">
      <w:start w:val="1"/>
      <w:numFmt w:val="upperLetter"/>
      <w:lvlText w:val="%1."/>
      <w:lvlJc w:val="left"/>
      <w:pPr>
        <w:ind w:left="1350" w:hanging="360"/>
      </w:pPr>
      <w:rPr>
        <w:rFonts w:ascii="Times New Roman" w:hAnsi="Times New Roman"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0B641A3D"/>
    <w:multiLevelType w:val="hybridMultilevel"/>
    <w:tmpl w:val="912E2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EBD28CA"/>
    <w:multiLevelType w:val="hybridMultilevel"/>
    <w:tmpl w:val="36085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6904E6"/>
    <w:multiLevelType w:val="hybridMultilevel"/>
    <w:tmpl w:val="4648BE4E"/>
    <w:lvl w:ilvl="0" w:tplc="6DC204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6F3764A"/>
    <w:multiLevelType w:val="hybridMultilevel"/>
    <w:tmpl w:val="23E6B006"/>
    <w:lvl w:ilvl="0" w:tplc="66765B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EE5475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285F3C"/>
    <w:multiLevelType w:val="hybridMultilevel"/>
    <w:tmpl w:val="8B5E1CB6"/>
    <w:lvl w:ilvl="0" w:tplc="9F74D52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FD4C76"/>
    <w:multiLevelType w:val="hybridMultilevel"/>
    <w:tmpl w:val="285A4DDC"/>
    <w:lvl w:ilvl="0" w:tplc="7278D43C">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6E4674"/>
    <w:multiLevelType w:val="hybridMultilevel"/>
    <w:tmpl w:val="285A4DDC"/>
    <w:lvl w:ilvl="0" w:tplc="7278D43C">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9375F8"/>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437597"/>
    <w:multiLevelType w:val="hybridMultilevel"/>
    <w:tmpl w:val="18FA71A4"/>
    <w:lvl w:ilvl="0" w:tplc="F43C341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AF9346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C73514"/>
    <w:multiLevelType w:val="hybridMultilevel"/>
    <w:tmpl w:val="F0B63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13EDB"/>
    <w:multiLevelType w:val="hybridMultilevel"/>
    <w:tmpl w:val="9D9CF59C"/>
    <w:lvl w:ilvl="0" w:tplc="C40816C4">
      <w:start w:val="1"/>
      <w:numFmt w:val="upperLetter"/>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5C402EB"/>
    <w:multiLevelType w:val="hybridMultilevel"/>
    <w:tmpl w:val="3F1EB32E"/>
    <w:lvl w:ilvl="0" w:tplc="51A6A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F163D"/>
    <w:multiLevelType w:val="hybridMultilevel"/>
    <w:tmpl w:val="7148722A"/>
    <w:lvl w:ilvl="0" w:tplc="B5E49A2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06612F"/>
    <w:multiLevelType w:val="hybridMultilevel"/>
    <w:tmpl w:val="EC26EBF8"/>
    <w:lvl w:ilvl="0" w:tplc="723E3B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CDE540B"/>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EC6F4A"/>
    <w:multiLevelType w:val="hybridMultilevel"/>
    <w:tmpl w:val="EF2E46B8"/>
    <w:lvl w:ilvl="0" w:tplc="4ED480FA">
      <w:start w:val="1"/>
      <w:numFmt w:val="upperLetter"/>
      <w:lvlText w:val="%1."/>
      <w:lvlJc w:val="left"/>
      <w:pPr>
        <w:ind w:left="1080" w:hanging="360"/>
      </w:pPr>
      <w:rPr>
        <w:rFonts w:ascii="Times New Roman Bold" w:hAnsi="Times New Roman Bold"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332E89"/>
    <w:multiLevelType w:val="hybridMultilevel"/>
    <w:tmpl w:val="89A4E7B0"/>
    <w:lvl w:ilvl="0" w:tplc="E5908852">
      <w:start w:val="1"/>
      <w:numFmt w:val="upperLetter"/>
      <w:lvlText w:val="%1."/>
      <w:lvlJc w:val="left"/>
      <w:pPr>
        <w:ind w:left="126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7"/>
  </w:num>
  <w:num w:numId="17">
    <w:abstractNumId w:val="14"/>
  </w:num>
  <w:num w:numId="18">
    <w:abstractNumId w:val="17"/>
    <w:lvlOverride w:ilvl="0">
      <w:startOverride w:val="2"/>
    </w:lvlOverride>
  </w:num>
  <w:num w:numId="19">
    <w:abstractNumId w:val="17"/>
    <w:lvlOverride w:ilvl="0">
      <w:startOverride w:val="1"/>
    </w:lvlOverride>
  </w:num>
  <w:num w:numId="20">
    <w:abstractNumId w:val="17"/>
    <w:lvlOverride w:ilvl="0">
      <w:startOverride w:val="1"/>
    </w:lvlOverride>
  </w:num>
  <w:num w:numId="21">
    <w:abstractNumId w:val="25"/>
  </w:num>
  <w:num w:numId="22">
    <w:abstractNumId w:val="12"/>
  </w:num>
  <w:num w:numId="23">
    <w:abstractNumId w:val="21"/>
  </w:num>
  <w:num w:numId="24">
    <w:abstractNumId w:val="16"/>
  </w:num>
  <w:num w:numId="25">
    <w:abstractNumId w:val="24"/>
  </w:num>
  <w:num w:numId="26">
    <w:abstractNumId w:val="31"/>
  </w:num>
  <w:num w:numId="27">
    <w:abstractNumId w:val="29"/>
  </w:num>
  <w:num w:numId="28">
    <w:abstractNumId w:val="23"/>
  </w:num>
  <w:num w:numId="29">
    <w:abstractNumId w:val="30"/>
  </w:num>
  <w:num w:numId="30">
    <w:abstractNumId w:val="26"/>
  </w:num>
  <w:num w:numId="31">
    <w:abstractNumId w:val="27"/>
  </w:num>
  <w:num w:numId="32">
    <w:abstractNumId w:val="15"/>
  </w:num>
  <w:num w:numId="33">
    <w:abstractNumId w:val="28"/>
  </w:num>
  <w:num w:numId="34">
    <w:abstractNumId w:val="1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CE6"/>
    <w:rsid w:val="00004BDE"/>
    <w:rsid w:val="00006368"/>
    <w:rsid w:val="00010A41"/>
    <w:rsid w:val="00027E09"/>
    <w:rsid w:val="00030191"/>
    <w:rsid w:val="00031587"/>
    <w:rsid w:val="000338E1"/>
    <w:rsid w:val="0004097A"/>
    <w:rsid w:val="0005594C"/>
    <w:rsid w:val="00061CDE"/>
    <w:rsid w:val="00063FFB"/>
    <w:rsid w:val="00067F37"/>
    <w:rsid w:val="00070669"/>
    <w:rsid w:val="00073181"/>
    <w:rsid w:val="00083282"/>
    <w:rsid w:val="000834C2"/>
    <w:rsid w:val="00083B13"/>
    <w:rsid w:val="0008675B"/>
    <w:rsid w:val="0008762F"/>
    <w:rsid w:val="00091CCE"/>
    <w:rsid w:val="00092D1B"/>
    <w:rsid w:val="00095AB5"/>
    <w:rsid w:val="000A0120"/>
    <w:rsid w:val="000A01C5"/>
    <w:rsid w:val="000A1590"/>
    <w:rsid w:val="000A327B"/>
    <w:rsid w:val="000B0B15"/>
    <w:rsid w:val="000C2B65"/>
    <w:rsid w:val="000C3290"/>
    <w:rsid w:val="000C6406"/>
    <w:rsid w:val="000D223A"/>
    <w:rsid w:val="000E4F11"/>
    <w:rsid w:val="000F2CE6"/>
    <w:rsid w:val="0010619A"/>
    <w:rsid w:val="0010688C"/>
    <w:rsid w:val="00113D41"/>
    <w:rsid w:val="001153ED"/>
    <w:rsid w:val="00115F4F"/>
    <w:rsid w:val="001213CB"/>
    <w:rsid w:val="0012572D"/>
    <w:rsid w:val="00131AFC"/>
    <w:rsid w:val="00136CCD"/>
    <w:rsid w:val="00142550"/>
    <w:rsid w:val="0014445B"/>
    <w:rsid w:val="00153D51"/>
    <w:rsid w:val="001555E2"/>
    <w:rsid w:val="00156287"/>
    <w:rsid w:val="00161183"/>
    <w:rsid w:val="00161D02"/>
    <w:rsid w:val="00164541"/>
    <w:rsid w:val="00166177"/>
    <w:rsid w:val="00173F80"/>
    <w:rsid w:val="001751C1"/>
    <w:rsid w:val="00175844"/>
    <w:rsid w:val="00180ED5"/>
    <w:rsid w:val="00181EB3"/>
    <w:rsid w:val="00182EB7"/>
    <w:rsid w:val="001834D7"/>
    <w:rsid w:val="00183C19"/>
    <w:rsid w:val="00186951"/>
    <w:rsid w:val="00186967"/>
    <w:rsid w:val="00190D14"/>
    <w:rsid w:val="00193BCC"/>
    <w:rsid w:val="00193D10"/>
    <w:rsid w:val="00194E70"/>
    <w:rsid w:val="001A26D4"/>
    <w:rsid w:val="001A3404"/>
    <w:rsid w:val="001A364B"/>
    <w:rsid w:val="001A3DD2"/>
    <w:rsid w:val="001C62A2"/>
    <w:rsid w:val="001C7CB0"/>
    <w:rsid w:val="001E45A8"/>
    <w:rsid w:val="001E53DC"/>
    <w:rsid w:val="001F2B68"/>
    <w:rsid w:val="001F2F56"/>
    <w:rsid w:val="001F5F66"/>
    <w:rsid w:val="001F777A"/>
    <w:rsid w:val="00200EA5"/>
    <w:rsid w:val="00226180"/>
    <w:rsid w:val="00230138"/>
    <w:rsid w:val="00231E60"/>
    <w:rsid w:val="0023598C"/>
    <w:rsid w:val="00236E82"/>
    <w:rsid w:val="00237E2A"/>
    <w:rsid w:val="00243749"/>
    <w:rsid w:val="00245552"/>
    <w:rsid w:val="00251B8F"/>
    <w:rsid w:val="00253F98"/>
    <w:rsid w:val="0025506A"/>
    <w:rsid w:val="002628D7"/>
    <w:rsid w:val="002676F8"/>
    <w:rsid w:val="00270F89"/>
    <w:rsid w:val="00284678"/>
    <w:rsid w:val="00285046"/>
    <w:rsid w:val="00290F35"/>
    <w:rsid w:val="00291060"/>
    <w:rsid w:val="00292AEA"/>
    <w:rsid w:val="0029312A"/>
    <w:rsid w:val="002A10FB"/>
    <w:rsid w:val="002A4167"/>
    <w:rsid w:val="002B3D31"/>
    <w:rsid w:val="002C1A40"/>
    <w:rsid w:val="002C2952"/>
    <w:rsid w:val="002C3117"/>
    <w:rsid w:val="002C6819"/>
    <w:rsid w:val="002E48C2"/>
    <w:rsid w:val="002E6E34"/>
    <w:rsid w:val="00300B28"/>
    <w:rsid w:val="00314884"/>
    <w:rsid w:val="00323943"/>
    <w:rsid w:val="0033140D"/>
    <w:rsid w:val="0033306F"/>
    <w:rsid w:val="003428F8"/>
    <w:rsid w:val="00343F73"/>
    <w:rsid w:val="00347C4E"/>
    <w:rsid w:val="003706C1"/>
    <w:rsid w:val="00380473"/>
    <w:rsid w:val="003820A9"/>
    <w:rsid w:val="00383AEB"/>
    <w:rsid w:val="00390A01"/>
    <w:rsid w:val="003A40BB"/>
    <w:rsid w:val="003B693A"/>
    <w:rsid w:val="003C0526"/>
    <w:rsid w:val="003D252F"/>
    <w:rsid w:val="003D39E6"/>
    <w:rsid w:val="003D6E0E"/>
    <w:rsid w:val="003E7150"/>
    <w:rsid w:val="003F7FEC"/>
    <w:rsid w:val="00402945"/>
    <w:rsid w:val="00404E27"/>
    <w:rsid w:val="00410D91"/>
    <w:rsid w:val="004205BD"/>
    <w:rsid w:val="00420A8D"/>
    <w:rsid w:val="00425D1F"/>
    <w:rsid w:val="00430F38"/>
    <w:rsid w:val="00430F74"/>
    <w:rsid w:val="004316EF"/>
    <w:rsid w:val="00432EF3"/>
    <w:rsid w:val="0043651E"/>
    <w:rsid w:val="00440C7A"/>
    <w:rsid w:val="00443D07"/>
    <w:rsid w:val="00443FBC"/>
    <w:rsid w:val="0044421A"/>
    <w:rsid w:val="00444AA0"/>
    <w:rsid w:val="0045298F"/>
    <w:rsid w:val="00464449"/>
    <w:rsid w:val="00465FBA"/>
    <w:rsid w:val="004944A0"/>
    <w:rsid w:val="00495FCA"/>
    <w:rsid w:val="0049671F"/>
    <w:rsid w:val="004A17F0"/>
    <w:rsid w:val="004A360D"/>
    <w:rsid w:val="004A4FD9"/>
    <w:rsid w:val="004B11D7"/>
    <w:rsid w:val="004B5716"/>
    <w:rsid w:val="004C05EF"/>
    <w:rsid w:val="004C1C0A"/>
    <w:rsid w:val="004C60AF"/>
    <w:rsid w:val="004D0193"/>
    <w:rsid w:val="004D12FC"/>
    <w:rsid w:val="004D1977"/>
    <w:rsid w:val="004D7F56"/>
    <w:rsid w:val="004E0127"/>
    <w:rsid w:val="004E1546"/>
    <w:rsid w:val="004E1C39"/>
    <w:rsid w:val="004E2E6B"/>
    <w:rsid w:val="004E4C78"/>
    <w:rsid w:val="004E73AF"/>
    <w:rsid w:val="004E7C6C"/>
    <w:rsid w:val="004F0513"/>
    <w:rsid w:val="004F3C78"/>
    <w:rsid w:val="004F5014"/>
    <w:rsid w:val="005072F0"/>
    <w:rsid w:val="005108CF"/>
    <w:rsid w:val="005127F0"/>
    <w:rsid w:val="0052283B"/>
    <w:rsid w:val="0052472E"/>
    <w:rsid w:val="00526AAC"/>
    <w:rsid w:val="00526F11"/>
    <w:rsid w:val="005275F5"/>
    <w:rsid w:val="00531474"/>
    <w:rsid w:val="00531F1E"/>
    <w:rsid w:val="00533BEA"/>
    <w:rsid w:val="005357F9"/>
    <w:rsid w:val="00541931"/>
    <w:rsid w:val="0055180A"/>
    <w:rsid w:val="00564391"/>
    <w:rsid w:val="00570E57"/>
    <w:rsid w:val="0057609C"/>
    <w:rsid w:val="00576351"/>
    <w:rsid w:val="00581BEA"/>
    <w:rsid w:val="00582740"/>
    <w:rsid w:val="005835FB"/>
    <w:rsid w:val="0058582B"/>
    <w:rsid w:val="005945F3"/>
    <w:rsid w:val="00595E53"/>
    <w:rsid w:val="005A4C3A"/>
    <w:rsid w:val="005A4FC5"/>
    <w:rsid w:val="005A533C"/>
    <w:rsid w:val="005A691C"/>
    <w:rsid w:val="005B21C4"/>
    <w:rsid w:val="005B656C"/>
    <w:rsid w:val="005D379F"/>
    <w:rsid w:val="005F5A89"/>
    <w:rsid w:val="005F67A3"/>
    <w:rsid w:val="006076ED"/>
    <w:rsid w:val="0061393B"/>
    <w:rsid w:val="00613C9D"/>
    <w:rsid w:val="00615B9B"/>
    <w:rsid w:val="006241A1"/>
    <w:rsid w:val="006241C3"/>
    <w:rsid w:val="006302F3"/>
    <w:rsid w:val="00632CEB"/>
    <w:rsid w:val="0063489D"/>
    <w:rsid w:val="00634F51"/>
    <w:rsid w:val="0064098F"/>
    <w:rsid w:val="00640B42"/>
    <w:rsid w:val="00653FF4"/>
    <w:rsid w:val="00654813"/>
    <w:rsid w:val="00657AD5"/>
    <w:rsid w:val="00662BB4"/>
    <w:rsid w:val="00670F05"/>
    <w:rsid w:val="006711BC"/>
    <w:rsid w:val="006719B8"/>
    <w:rsid w:val="00680A3F"/>
    <w:rsid w:val="00682470"/>
    <w:rsid w:val="00686BC2"/>
    <w:rsid w:val="00693C72"/>
    <w:rsid w:val="00695D0A"/>
    <w:rsid w:val="006A62FF"/>
    <w:rsid w:val="006A6CFF"/>
    <w:rsid w:val="006A7EF5"/>
    <w:rsid w:val="006B0993"/>
    <w:rsid w:val="006B71EF"/>
    <w:rsid w:val="006C050C"/>
    <w:rsid w:val="006C053A"/>
    <w:rsid w:val="006C0A25"/>
    <w:rsid w:val="006C2F4E"/>
    <w:rsid w:val="006C639F"/>
    <w:rsid w:val="006D2827"/>
    <w:rsid w:val="006F4961"/>
    <w:rsid w:val="006F560A"/>
    <w:rsid w:val="007055DD"/>
    <w:rsid w:val="00711BD5"/>
    <w:rsid w:val="00712539"/>
    <w:rsid w:val="00712A58"/>
    <w:rsid w:val="007263E3"/>
    <w:rsid w:val="00726615"/>
    <w:rsid w:val="007302D4"/>
    <w:rsid w:val="00730953"/>
    <w:rsid w:val="007317A9"/>
    <w:rsid w:val="007318A2"/>
    <w:rsid w:val="00734102"/>
    <w:rsid w:val="00735503"/>
    <w:rsid w:val="00736F4C"/>
    <w:rsid w:val="0074007D"/>
    <w:rsid w:val="00742751"/>
    <w:rsid w:val="00743F34"/>
    <w:rsid w:val="00754070"/>
    <w:rsid w:val="00754E29"/>
    <w:rsid w:val="0076291D"/>
    <w:rsid w:val="00773142"/>
    <w:rsid w:val="007743F0"/>
    <w:rsid w:val="00782798"/>
    <w:rsid w:val="007A1EFD"/>
    <w:rsid w:val="007A2A69"/>
    <w:rsid w:val="007A6885"/>
    <w:rsid w:val="007C01CE"/>
    <w:rsid w:val="007C70C4"/>
    <w:rsid w:val="007D6DAA"/>
    <w:rsid w:val="007E4E05"/>
    <w:rsid w:val="007E6BDC"/>
    <w:rsid w:val="007F0BA1"/>
    <w:rsid w:val="008000B5"/>
    <w:rsid w:val="008027E9"/>
    <w:rsid w:val="00807F06"/>
    <w:rsid w:val="008105F0"/>
    <w:rsid w:val="00810CBA"/>
    <w:rsid w:val="008271D6"/>
    <w:rsid w:val="00833819"/>
    <w:rsid w:val="00843848"/>
    <w:rsid w:val="00852C7D"/>
    <w:rsid w:val="00856940"/>
    <w:rsid w:val="00857F03"/>
    <w:rsid w:val="00866361"/>
    <w:rsid w:val="0086772D"/>
    <w:rsid w:val="00871CA2"/>
    <w:rsid w:val="00892A5C"/>
    <w:rsid w:val="0089632F"/>
    <w:rsid w:val="008A2C7C"/>
    <w:rsid w:val="008A6186"/>
    <w:rsid w:val="008B5FB0"/>
    <w:rsid w:val="008B76D9"/>
    <w:rsid w:val="008D2BDB"/>
    <w:rsid w:val="008E1DF5"/>
    <w:rsid w:val="008E465E"/>
    <w:rsid w:val="008E690C"/>
    <w:rsid w:val="008F0CBC"/>
    <w:rsid w:val="008F4A39"/>
    <w:rsid w:val="00910A8A"/>
    <w:rsid w:val="009126F6"/>
    <w:rsid w:val="00914269"/>
    <w:rsid w:val="00915A1D"/>
    <w:rsid w:val="009177AB"/>
    <w:rsid w:val="00917C7B"/>
    <w:rsid w:val="00920DA6"/>
    <w:rsid w:val="00922D9D"/>
    <w:rsid w:val="00926EE4"/>
    <w:rsid w:val="00927772"/>
    <w:rsid w:val="009277B1"/>
    <w:rsid w:val="00930CBA"/>
    <w:rsid w:val="00932CFF"/>
    <w:rsid w:val="009333D6"/>
    <w:rsid w:val="009350F6"/>
    <w:rsid w:val="009437DD"/>
    <w:rsid w:val="00944212"/>
    <w:rsid w:val="00945AFE"/>
    <w:rsid w:val="00952C5A"/>
    <w:rsid w:val="00953A94"/>
    <w:rsid w:val="00957AA5"/>
    <w:rsid w:val="00964633"/>
    <w:rsid w:val="00965719"/>
    <w:rsid w:val="009739F6"/>
    <w:rsid w:val="00974E16"/>
    <w:rsid w:val="00977A3B"/>
    <w:rsid w:val="00981442"/>
    <w:rsid w:val="0099089F"/>
    <w:rsid w:val="00990ECC"/>
    <w:rsid w:val="00996712"/>
    <w:rsid w:val="009A1383"/>
    <w:rsid w:val="009A7560"/>
    <w:rsid w:val="009B299A"/>
    <w:rsid w:val="009B6E7E"/>
    <w:rsid w:val="009D1160"/>
    <w:rsid w:val="009D3F4A"/>
    <w:rsid w:val="009E0E14"/>
    <w:rsid w:val="009E1F70"/>
    <w:rsid w:val="009E20B6"/>
    <w:rsid w:val="009E3B54"/>
    <w:rsid w:val="009F6EB6"/>
    <w:rsid w:val="009F79AB"/>
    <w:rsid w:val="00A07007"/>
    <w:rsid w:val="00A072F3"/>
    <w:rsid w:val="00A14748"/>
    <w:rsid w:val="00A16E33"/>
    <w:rsid w:val="00A262C8"/>
    <w:rsid w:val="00A3141F"/>
    <w:rsid w:val="00A35CD0"/>
    <w:rsid w:val="00A35F44"/>
    <w:rsid w:val="00A3792B"/>
    <w:rsid w:val="00A37E5D"/>
    <w:rsid w:val="00A44E31"/>
    <w:rsid w:val="00A51A60"/>
    <w:rsid w:val="00A649D9"/>
    <w:rsid w:val="00A64C8A"/>
    <w:rsid w:val="00A67979"/>
    <w:rsid w:val="00A7194F"/>
    <w:rsid w:val="00A7246F"/>
    <w:rsid w:val="00A7626B"/>
    <w:rsid w:val="00A86504"/>
    <w:rsid w:val="00AA1506"/>
    <w:rsid w:val="00AA3F28"/>
    <w:rsid w:val="00AB5CFF"/>
    <w:rsid w:val="00AB6EDD"/>
    <w:rsid w:val="00AC0675"/>
    <w:rsid w:val="00AC27C2"/>
    <w:rsid w:val="00AC52EF"/>
    <w:rsid w:val="00AC7723"/>
    <w:rsid w:val="00AD5719"/>
    <w:rsid w:val="00AF362A"/>
    <w:rsid w:val="00B011C1"/>
    <w:rsid w:val="00B02928"/>
    <w:rsid w:val="00B20A17"/>
    <w:rsid w:val="00B2210D"/>
    <w:rsid w:val="00B24843"/>
    <w:rsid w:val="00B34379"/>
    <w:rsid w:val="00B40B46"/>
    <w:rsid w:val="00B41B65"/>
    <w:rsid w:val="00B434B2"/>
    <w:rsid w:val="00B44839"/>
    <w:rsid w:val="00B46465"/>
    <w:rsid w:val="00B54531"/>
    <w:rsid w:val="00B64E66"/>
    <w:rsid w:val="00B721BB"/>
    <w:rsid w:val="00B868F4"/>
    <w:rsid w:val="00B92954"/>
    <w:rsid w:val="00B97407"/>
    <w:rsid w:val="00BA0C1F"/>
    <w:rsid w:val="00BA2B51"/>
    <w:rsid w:val="00BA4571"/>
    <w:rsid w:val="00BA6313"/>
    <w:rsid w:val="00BA7201"/>
    <w:rsid w:val="00BA7E68"/>
    <w:rsid w:val="00BC4875"/>
    <w:rsid w:val="00BD40C2"/>
    <w:rsid w:val="00BF6DC8"/>
    <w:rsid w:val="00C03138"/>
    <w:rsid w:val="00C04A6A"/>
    <w:rsid w:val="00C07971"/>
    <w:rsid w:val="00C122E0"/>
    <w:rsid w:val="00C14BD5"/>
    <w:rsid w:val="00C20412"/>
    <w:rsid w:val="00C30547"/>
    <w:rsid w:val="00C32AFF"/>
    <w:rsid w:val="00C500CF"/>
    <w:rsid w:val="00C72E33"/>
    <w:rsid w:val="00C874C2"/>
    <w:rsid w:val="00C906F6"/>
    <w:rsid w:val="00C907FE"/>
    <w:rsid w:val="00CA1E95"/>
    <w:rsid w:val="00CB20E9"/>
    <w:rsid w:val="00CB5716"/>
    <w:rsid w:val="00CB7777"/>
    <w:rsid w:val="00CC119D"/>
    <w:rsid w:val="00CC1F0D"/>
    <w:rsid w:val="00CC2517"/>
    <w:rsid w:val="00CD1B49"/>
    <w:rsid w:val="00CE529B"/>
    <w:rsid w:val="00CE5A50"/>
    <w:rsid w:val="00CF3262"/>
    <w:rsid w:val="00CF3368"/>
    <w:rsid w:val="00CF534A"/>
    <w:rsid w:val="00CF563B"/>
    <w:rsid w:val="00CF568A"/>
    <w:rsid w:val="00D037CA"/>
    <w:rsid w:val="00D14331"/>
    <w:rsid w:val="00D22C8B"/>
    <w:rsid w:val="00D23F27"/>
    <w:rsid w:val="00D26C96"/>
    <w:rsid w:val="00D2723B"/>
    <w:rsid w:val="00D42521"/>
    <w:rsid w:val="00D42D33"/>
    <w:rsid w:val="00D430C6"/>
    <w:rsid w:val="00D61EE0"/>
    <w:rsid w:val="00D73F38"/>
    <w:rsid w:val="00D75FD6"/>
    <w:rsid w:val="00D8030E"/>
    <w:rsid w:val="00D92C64"/>
    <w:rsid w:val="00DA1254"/>
    <w:rsid w:val="00DA4CA7"/>
    <w:rsid w:val="00DB29E1"/>
    <w:rsid w:val="00DB56E9"/>
    <w:rsid w:val="00DC0B86"/>
    <w:rsid w:val="00DC2849"/>
    <w:rsid w:val="00DE1743"/>
    <w:rsid w:val="00DE563A"/>
    <w:rsid w:val="00DE5734"/>
    <w:rsid w:val="00DF1C1E"/>
    <w:rsid w:val="00DF1F8C"/>
    <w:rsid w:val="00DF2376"/>
    <w:rsid w:val="00DF3C48"/>
    <w:rsid w:val="00DF5702"/>
    <w:rsid w:val="00E04445"/>
    <w:rsid w:val="00E0787C"/>
    <w:rsid w:val="00E110D5"/>
    <w:rsid w:val="00E21323"/>
    <w:rsid w:val="00E24961"/>
    <w:rsid w:val="00E25206"/>
    <w:rsid w:val="00E26A94"/>
    <w:rsid w:val="00E36315"/>
    <w:rsid w:val="00E62833"/>
    <w:rsid w:val="00E662D0"/>
    <w:rsid w:val="00E71701"/>
    <w:rsid w:val="00E740C7"/>
    <w:rsid w:val="00E75784"/>
    <w:rsid w:val="00E77178"/>
    <w:rsid w:val="00E82547"/>
    <w:rsid w:val="00E87B5A"/>
    <w:rsid w:val="00E92175"/>
    <w:rsid w:val="00E94C08"/>
    <w:rsid w:val="00EA03E1"/>
    <w:rsid w:val="00EA35ED"/>
    <w:rsid w:val="00EB3A2C"/>
    <w:rsid w:val="00EB6C2A"/>
    <w:rsid w:val="00EC24A8"/>
    <w:rsid w:val="00ED0801"/>
    <w:rsid w:val="00ED2E19"/>
    <w:rsid w:val="00EE6A07"/>
    <w:rsid w:val="00EF0DA8"/>
    <w:rsid w:val="00EF64BE"/>
    <w:rsid w:val="00F02801"/>
    <w:rsid w:val="00F0426D"/>
    <w:rsid w:val="00F118E5"/>
    <w:rsid w:val="00F13ABD"/>
    <w:rsid w:val="00F15AE9"/>
    <w:rsid w:val="00F15E45"/>
    <w:rsid w:val="00F20CAC"/>
    <w:rsid w:val="00F2421F"/>
    <w:rsid w:val="00F25A06"/>
    <w:rsid w:val="00F32A19"/>
    <w:rsid w:val="00F43E2D"/>
    <w:rsid w:val="00F47059"/>
    <w:rsid w:val="00F50927"/>
    <w:rsid w:val="00F5727D"/>
    <w:rsid w:val="00F75E03"/>
    <w:rsid w:val="00F850BA"/>
    <w:rsid w:val="00F853C1"/>
    <w:rsid w:val="00FA2C00"/>
    <w:rsid w:val="00FA2C51"/>
    <w:rsid w:val="00FB10B1"/>
    <w:rsid w:val="00FB7A09"/>
    <w:rsid w:val="00FC41DA"/>
    <w:rsid w:val="00FC6F67"/>
    <w:rsid w:val="00FD6650"/>
    <w:rsid w:val="00FD6D6A"/>
    <w:rsid w:val="00FD7BCC"/>
    <w:rsid w:val="00FE1AA5"/>
    <w:rsid w:val="00FE4D39"/>
    <w:rsid w:val="00FE55AB"/>
    <w:rsid w:val="00FE6C46"/>
    <w:rsid w:val="00FE7840"/>
    <w:rsid w:val="00FF46C8"/>
    <w:rsid w:val="00FF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4A4FD9"/>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76291D"/>
    <w:pPr>
      <w:keepNext/>
      <w:spacing w:after="240"/>
      <w:ind w:left="1440" w:right="720" w:hanging="720"/>
      <w:outlineLvl w:val="1"/>
    </w:pPr>
    <w:rPr>
      <w:rFonts w:ascii="Times New Roman Bold" w:hAnsi="Times New Roman Bold" w:cs="Arial"/>
      <w:bCs/>
      <w:iCs/>
    </w:rPr>
  </w:style>
  <w:style w:type="paragraph" w:styleId="Heading3">
    <w:name w:val="heading 3"/>
    <w:basedOn w:val="Normal"/>
    <w:next w:val="Normal"/>
    <w:autoRedefine/>
    <w:qFormat/>
    <w:pPr>
      <w:keepNext/>
      <w:spacing w:after="240"/>
      <w:ind w:left="2160" w:right="72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rPr>
      <w:sz w:val="20"/>
      <w:szCs w:val="20"/>
    </w:rPr>
  </w:style>
  <w:style w:type="character" w:styleId="FootnoteReference">
    <w:name w:val="footnote reference"/>
    <w:aliases w:val="o,fr,Style 3,Style 13,Appel note de bas de p,Style 12,(NECG) Footnote Reference,Style 124"/>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tyle>
  <w:style w:type="character" w:customStyle="1" w:styleId="CommentTextChar">
    <w:name w:val="Comment Text Char"/>
    <w:link w:val="CommentText"/>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ListParagraph">
    <w:name w:val="List Paragraph"/>
    <w:basedOn w:val="Normal"/>
    <w:uiPriority w:val="34"/>
    <w:qFormat/>
    <w:rsid w:val="00091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7F06"/>
    <w:rPr>
      <w:sz w:val="24"/>
      <w:szCs w:val="24"/>
    </w:rPr>
  </w:style>
  <w:style w:type="paragraph" w:styleId="Heading1">
    <w:name w:val="heading 1"/>
    <w:basedOn w:val="Normal"/>
    <w:next w:val="Normal"/>
    <w:autoRedefine/>
    <w:qFormat/>
    <w:rsid w:val="004A4FD9"/>
    <w:pPr>
      <w:keepNext/>
      <w:spacing w:after="240"/>
      <w:ind w:left="720" w:hanging="720"/>
      <w:outlineLvl w:val="0"/>
    </w:pPr>
    <w:rPr>
      <w:rFonts w:ascii="Times New Roman Bold" w:hAnsi="Times New Roman Bold"/>
      <w:b/>
      <w:bCs/>
      <w:caps/>
      <w:kern w:val="32"/>
    </w:rPr>
  </w:style>
  <w:style w:type="paragraph" w:styleId="Heading2">
    <w:name w:val="heading 2"/>
    <w:basedOn w:val="Normal"/>
    <w:next w:val="Normal"/>
    <w:autoRedefine/>
    <w:qFormat/>
    <w:rsid w:val="0076291D"/>
    <w:pPr>
      <w:keepNext/>
      <w:spacing w:after="240"/>
      <w:ind w:left="1440" w:right="720" w:hanging="720"/>
      <w:outlineLvl w:val="1"/>
    </w:pPr>
    <w:rPr>
      <w:rFonts w:ascii="Times New Roman Bold" w:hAnsi="Times New Roman Bold" w:cs="Arial"/>
      <w:bCs/>
      <w:iCs/>
    </w:rPr>
  </w:style>
  <w:style w:type="paragraph" w:styleId="Heading3">
    <w:name w:val="heading 3"/>
    <w:basedOn w:val="Normal"/>
    <w:next w:val="Normal"/>
    <w:autoRedefine/>
    <w:qFormat/>
    <w:pPr>
      <w:keepNext/>
      <w:spacing w:after="240"/>
      <w:ind w:left="2160" w:right="720" w:hanging="720"/>
      <w:outlineLvl w:val="2"/>
    </w:pPr>
    <w:rPr>
      <w:rFonts w:ascii="Times New Roman Bold" w:hAnsi="Times New Roman Bold" w:cs="Arial"/>
      <w:b/>
      <w:bCs/>
    </w:rPr>
  </w:style>
  <w:style w:type="paragraph" w:styleId="Heading4">
    <w:name w:val="heading 4"/>
    <w:basedOn w:val="Normal"/>
    <w:next w:val="Normal"/>
    <w:autoRedefine/>
    <w:qFormat/>
    <w:pPr>
      <w:keepNext/>
      <w:spacing w:after="240"/>
      <w:ind w:left="2880" w:right="720" w:hanging="720"/>
      <w:outlineLvl w:val="3"/>
    </w:pPr>
    <w:rPr>
      <w:rFonts w:ascii="Times New Roman Bold" w:hAnsi="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2"/>
    <w:rPr>
      <w:sz w:val="20"/>
      <w:szCs w:val="20"/>
    </w:rPr>
  </w:style>
  <w:style w:type="character" w:styleId="FootnoteReference">
    <w:name w:val="footnote reference"/>
    <w:aliases w:val="o,fr,Style 3,Style 13,Appel note de bas de p,Style 12,(NECG) Footnote Reference,Style 124"/>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semiHidden/>
    <w:locked/>
    <w:rPr>
      <w:lang w:val="en-US" w:eastAsia="en-US" w:bidi="ar-SA"/>
    </w:rPr>
  </w:style>
  <w:style w:type="character" w:styleId="Hyperlink">
    <w:name w:val="Hyperlink"/>
    <w:uiPriority w:val="99"/>
    <w:rPr>
      <w:color w:val="0000FF"/>
      <w:u w:val="single"/>
    </w:rPr>
  </w:style>
  <w:style w:type="paragraph" w:styleId="CommentText">
    <w:name w:val="annotation text"/>
    <w:basedOn w:val="Normal"/>
    <w:link w:val="CommentTextChar"/>
  </w:style>
  <w:style w:type="character" w:customStyle="1" w:styleId="CommentTextChar">
    <w:name w:val="Comment Text Char"/>
    <w:link w:val="CommentText"/>
    <w:rPr>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OC1">
    <w:name w:val="toc 1"/>
    <w:basedOn w:val="Normal"/>
    <w:next w:val="Normal"/>
    <w:autoRedefine/>
    <w:uiPriority w:val="39"/>
    <w:qFormat/>
    <w:pPr>
      <w:tabs>
        <w:tab w:val="left" w:pos="720"/>
        <w:tab w:val="decimal" w:leader="dot" w:pos="8640"/>
      </w:tabs>
      <w:spacing w:after="240"/>
      <w:ind w:left="720" w:hanging="720"/>
    </w:pPr>
    <w:rPr>
      <w:caps/>
    </w:rPr>
  </w:style>
  <w:style w:type="paragraph" w:styleId="TOC2">
    <w:name w:val="toc 2"/>
    <w:basedOn w:val="Normal"/>
    <w:next w:val="Normal"/>
    <w:autoRedefine/>
    <w:uiPriority w:val="39"/>
    <w:qFormat/>
    <w:pPr>
      <w:tabs>
        <w:tab w:val="left" w:pos="0"/>
        <w:tab w:val="left" w:pos="720"/>
        <w:tab w:val="decimal" w:leader="dot" w:pos="8640"/>
      </w:tabs>
      <w:spacing w:after="240"/>
      <w:ind w:left="1440" w:hanging="720"/>
    </w:pPr>
  </w:style>
  <w:style w:type="paragraph" w:styleId="TOC3">
    <w:name w:val="toc 3"/>
    <w:basedOn w:val="Normal"/>
    <w:next w:val="Normal"/>
    <w:autoRedefine/>
    <w:uiPriority w:val="39"/>
    <w:qFormat/>
    <w:pPr>
      <w:tabs>
        <w:tab w:val="left" w:pos="720"/>
        <w:tab w:val="left" w:pos="1440"/>
        <w:tab w:val="decimal" w:leader="dot" w:pos="8640"/>
      </w:tabs>
      <w:spacing w:after="240"/>
      <w:ind w:left="2160" w:hanging="720"/>
    </w:pPr>
  </w:style>
  <w:style w:type="character" w:customStyle="1" w:styleId="CharChar4">
    <w:name w:val="Char Char4"/>
    <w:semiHidden/>
    <w:rPr>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b/>
      <w:bCs/>
      <w:sz w:val="20"/>
      <w:szCs w:val="20"/>
    </w:rPr>
  </w:style>
  <w:style w:type="paragraph" w:customStyle="1" w:styleId="ColorfulList-Accent11">
    <w:name w:val="Colorful List - Accent 11"/>
    <w:basedOn w:val="Normal"/>
    <w:qFormat/>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pPr>
      <w:spacing w:line="480" w:lineRule="atLeast"/>
      <w:ind w:firstLine="720"/>
    </w:pPr>
  </w:style>
  <w:style w:type="character" w:customStyle="1" w:styleId="BodyTextIndent3Char">
    <w:name w:val="Body Text Indent 3 Char"/>
    <w:link w:val="BodyTextIndent3"/>
    <w:semiHidden/>
    <w:locked/>
    <w:rPr>
      <w:sz w:val="24"/>
      <w:szCs w:val="24"/>
      <w:lang w:val="en-US" w:eastAsia="en-US" w:bidi="ar-SA"/>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semiHidden/>
    <w:locked/>
    <w:rPr>
      <w:lang w:val="en-US" w:eastAsia="en-US"/>
    </w:rPr>
  </w:style>
  <w:style w:type="character" w:customStyle="1" w:styleId="FooterChar">
    <w:name w:val="Footer Char"/>
    <w:link w:val="Footer"/>
    <w:uiPriority w:val="99"/>
    <w:rPr>
      <w:sz w:val="24"/>
      <w:szCs w:val="24"/>
    </w:rPr>
  </w:style>
  <w:style w:type="character" w:customStyle="1" w:styleId="FootnoteTextChar4CharChar">
    <w:name w:val="Footnote Text Char4 Char Char"/>
    <w:aliases w:val="Footnote Text Char Char4 Char Char,Footnote Text Char4 Char1 Char Char Char,Footnote Text Char Char4 Char1 Char Char Char,Footnote Text Char5 Char1 Char Char Char Char Char Char,Footnote Text Char2 Char"/>
    <w:semiHidden/>
    <w:locked/>
    <w:rPr>
      <w:lang w:val="en-US" w:eastAsia="en-US" w:bidi="ar-SA"/>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uiPriority w:val="34"/>
    <w:qFormat/>
    <w:pPr>
      <w:ind w:left="720"/>
    </w:pPr>
  </w:style>
  <w:style w:type="paragraph" w:customStyle="1" w:styleId="ColorfulShading-Accent11">
    <w:name w:val="Colorful Shading - Accent 11"/>
    <w:hidden/>
    <w:uiPriority w:val="71"/>
    <w:rsid w:val="00AA3F28"/>
    <w:rPr>
      <w:sz w:val="24"/>
      <w:szCs w:val="24"/>
    </w:rPr>
  </w:style>
  <w:style w:type="paragraph" w:styleId="TOC4">
    <w:name w:val="toc 4"/>
    <w:basedOn w:val="Normal"/>
    <w:next w:val="Normal"/>
    <w:autoRedefine/>
    <w:uiPriority w:val="39"/>
    <w:qFormat/>
    <w:pPr>
      <w:tabs>
        <w:tab w:val="left" w:pos="720"/>
        <w:tab w:val="decimal" w:leader="dot" w:pos="8640"/>
      </w:tabs>
      <w:spacing w:after="240"/>
      <w:ind w:left="2880" w:hanging="720"/>
    </w:pPr>
  </w:style>
  <w:style w:type="paragraph" w:styleId="Revision">
    <w:name w:val="Revision"/>
    <w:hidden/>
    <w:uiPriority w:val="99"/>
    <w:semiHidden/>
    <w:rsid w:val="002676F8"/>
    <w:rPr>
      <w:sz w:val="24"/>
      <w:szCs w:val="24"/>
    </w:rPr>
  </w:style>
  <w:style w:type="paragraph" w:styleId="TOCHeading">
    <w:name w:val="TOC Heading"/>
    <w:basedOn w:val="Heading1"/>
    <w:next w:val="Normal"/>
    <w:uiPriority w:val="39"/>
    <w:unhideWhenUsed/>
    <w:qFormat/>
    <w:rsid w:val="00161183"/>
    <w:pPr>
      <w:keepLines/>
      <w:spacing w:before="480" w:after="0" w:line="276" w:lineRule="auto"/>
      <w:ind w:left="0" w:firstLine="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ListParagraph">
    <w:name w:val="List Paragraph"/>
    <w:basedOn w:val="Normal"/>
    <w:uiPriority w:val="34"/>
    <w:qFormat/>
    <w:rsid w:val="00091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6907">
      <w:bodyDiv w:val="1"/>
      <w:marLeft w:val="0"/>
      <w:marRight w:val="0"/>
      <w:marTop w:val="0"/>
      <w:marBottom w:val="0"/>
      <w:divBdr>
        <w:top w:val="none" w:sz="0" w:space="0" w:color="auto"/>
        <w:left w:val="none" w:sz="0" w:space="0" w:color="auto"/>
        <w:bottom w:val="none" w:sz="0" w:space="0" w:color="auto"/>
        <w:right w:val="none" w:sz="0" w:space="0" w:color="auto"/>
      </w:divBdr>
      <w:divsChild>
        <w:div w:id="760031866">
          <w:marLeft w:val="0"/>
          <w:marRight w:val="-5040"/>
          <w:marTop w:val="0"/>
          <w:marBottom w:val="0"/>
          <w:divBdr>
            <w:top w:val="none" w:sz="0" w:space="0" w:color="auto"/>
            <w:left w:val="none" w:sz="0" w:space="0" w:color="auto"/>
            <w:bottom w:val="none" w:sz="0" w:space="0" w:color="auto"/>
            <w:right w:val="none" w:sz="0" w:space="0" w:color="auto"/>
          </w:divBdr>
          <w:divsChild>
            <w:div w:id="1819421797">
              <w:marLeft w:val="0"/>
              <w:marRight w:val="5040"/>
              <w:marTop w:val="0"/>
              <w:marBottom w:val="0"/>
              <w:divBdr>
                <w:top w:val="none" w:sz="0" w:space="0" w:color="auto"/>
                <w:left w:val="none" w:sz="0" w:space="0" w:color="auto"/>
                <w:bottom w:val="none" w:sz="0" w:space="0" w:color="auto"/>
                <w:right w:val="none" w:sz="0" w:space="0" w:color="auto"/>
              </w:divBdr>
              <w:divsChild>
                <w:div w:id="9628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7245">
      <w:bodyDiv w:val="1"/>
      <w:marLeft w:val="0"/>
      <w:marRight w:val="0"/>
      <w:marTop w:val="0"/>
      <w:marBottom w:val="0"/>
      <w:divBdr>
        <w:top w:val="none" w:sz="0" w:space="0" w:color="auto"/>
        <w:left w:val="none" w:sz="0" w:space="0" w:color="auto"/>
        <w:bottom w:val="none" w:sz="0" w:space="0" w:color="auto"/>
        <w:right w:val="none" w:sz="0" w:space="0" w:color="auto"/>
      </w:divBdr>
    </w:div>
    <w:div w:id="13228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173125">
          <w:marLeft w:val="0"/>
          <w:marRight w:val="-5040"/>
          <w:marTop w:val="0"/>
          <w:marBottom w:val="0"/>
          <w:divBdr>
            <w:top w:val="none" w:sz="0" w:space="0" w:color="auto"/>
            <w:left w:val="none" w:sz="0" w:space="0" w:color="auto"/>
            <w:bottom w:val="none" w:sz="0" w:space="0" w:color="auto"/>
            <w:right w:val="none" w:sz="0" w:space="0" w:color="auto"/>
          </w:divBdr>
          <w:divsChild>
            <w:div w:id="1580754864">
              <w:marLeft w:val="0"/>
              <w:marRight w:val="5040"/>
              <w:marTop w:val="0"/>
              <w:marBottom w:val="0"/>
              <w:divBdr>
                <w:top w:val="none" w:sz="0" w:space="0" w:color="auto"/>
                <w:left w:val="none" w:sz="0" w:space="0" w:color="auto"/>
                <w:bottom w:val="none" w:sz="0" w:space="0" w:color="auto"/>
                <w:right w:val="none" w:sz="0" w:space="0" w:color="auto"/>
              </w:divBdr>
              <w:divsChild>
                <w:div w:id="1287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3676">
      <w:bodyDiv w:val="1"/>
      <w:marLeft w:val="0"/>
      <w:marRight w:val="0"/>
      <w:marTop w:val="0"/>
      <w:marBottom w:val="0"/>
      <w:divBdr>
        <w:top w:val="none" w:sz="0" w:space="0" w:color="auto"/>
        <w:left w:val="none" w:sz="0" w:space="0" w:color="auto"/>
        <w:bottom w:val="none" w:sz="0" w:space="0" w:color="auto"/>
        <w:right w:val="none" w:sz="0" w:space="0" w:color="auto"/>
      </w:divBdr>
      <w:divsChild>
        <w:div w:id="1321933458">
          <w:marLeft w:val="0"/>
          <w:marRight w:val="0"/>
          <w:marTop w:val="0"/>
          <w:marBottom w:val="0"/>
          <w:divBdr>
            <w:top w:val="none" w:sz="0" w:space="0" w:color="auto"/>
            <w:left w:val="none" w:sz="0" w:space="0" w:color="auto"/>
            <w:bottom w:val="none" w:sz="0" w:space="0" w:color="auto"/>
            <w:right w:val="none" w:sz="0" w:space="0" w:color="auto"/>
          </w:divBdr>
          <w:divsChild>
            <w:div w:id="342319850">
              <w:marLeft w:val="0"/>
              <w:marRight w:val="0"/>
              <w:marTop w:val="150"/>
              <w:marBottom w:val="150"/>
              <w:divBdr>
                <w:top w:val="none" w:sz="0" w:space="0" w:color="auto"/>
                <w:left w:val="none" w:sz="0" w:space="0" w:color="auto"/>
                <w:bottom w:val="none" w:sz="0" w:space="0" w:color="auto"/>
                <w:right w:val="none" w:sz="0" w:space="0" w:color="auto"/>
              </w:divBdr>
              <w:divsChild>
                <w:div w:id="476190559">
                  <w:marLeft w:val="0"/>
                  <w:marRight w:val="0"/>
                  <w:marTop w:val="0"/>
                  <w:marBottom w:val="0"/>
                  <w:divBdr>
                    <w:top w:val="none" w:sz="0" w:space="0" w:color="auto"/>
                    <w:left w:val="none" w:sz="0" w:space="0" w:color="auto"/>
                    <w:bottom w:val="none" w:sz="0" w:space="0" w:color="auto"/>
                    <w:right w:val="none" w:sz="0" w:space="0" w:color="auto"/>
                  </w:divBdr>
                  <w:divsChild>
                    <w:div w:id="1468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07490">
      <w:bodyDiv w:val="1"/>
      <w:marLeft w:val="0"/>
      <w:marRight w:val="0"/>
      <w:marTop w:val="0"/>
      <w:marBottom w:val="0"/>
      <w:divBdr>
        <w:top w:val="none" w:sz="0" w:space="0" w:color="auto"/>
        <w:left w:val="none" w:sz="0" w:space="0" w:color="auto"/>
        <w:bottom w:val="none" w:sz="0" w:space="0" w:color="auto"/>
        <w:right w:val="none" w:sz="0" w:space="0" w:color="auto"/>
      </w:divBdr>
      <w:divsChild>
        <w:div w:id="1375885782">
          <w:marLeft w:val="0"/>
          <w:marRight w:val="-5040"/>
          <w:marTop w:val="0"/>
          <w:marBottom w:val="0"/>
          <w:divBdr>
            <w:top w:val="none" w:sz="0" w:space="0" w:color="auto"/>
            <w:left w:val="none" w:sz="0" w:space="0" w:color="auto"/>
            <w:bottom w:val="none" w:sz="0" w:space="0" w:color="auto"/>
            <w:right w:val="none" w:sz="0" w:space="0" w:color="auto"/>
          </w:divBdr>
          <w:divsChild>
            <w:div w:id="1052584895">
              <w:marLeft w:val="0"/>
              <w:marRight w:val="5040"/>
              <w:marTop w:val="0"/>
              <w:marBottom w:val="0"/>
              <w:divBdr>
                <w:top w:val="none" w:sz="0" w:space="0" w:color="auto"/>
                <w:left w:val="none" w:sz="0" w:space="0" w:color="auto"/>
                <w:bottom w:val="none" w:sz="0" w:space="0" w:color="auto"/>
                <w:right w:val="none" w:sz="0" w:space="0" w:color="auto"/>
              </w:divBdr>
              <w:divsChild>
                <w:div w:id="1316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le.kern@occ.ohio.gov"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callwein@wamenergylaw.com" TargetMode="Externa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Katie.johnson@puc.state.oh.u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Kyle.kern@occ.ohio.gov"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kyle.kern@occ.ohio.gov" TargetMode="External"/><Relationship Id="rId23" Type="http://schemas.openxmlformats.org/officeDocument/2006/relationships/footer" Target="footer5.xml"/><Relationship Id="rId28" Type="http://schemas.openxmlformats.org/officeDocument/2006/relationships/hyperlink" Target="mailto:jkylercohn@BKLlawfirm.co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mailto:casey.roberts@sierraclub.org" TargetMode="Externa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3504</Words>
  <Characters>19829</Characters>
  <Application>Microsoft Office Word</Application>
  <DocSecurity>0</DocSecurity>
  <Lines>473</Lines>
  <Paragraphs>171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23240</CharactersWithSpaces>
  <SharedDoc>false</SharedDoc>
  <HyperlinkBase> </HyperlinkBase>
  <HLinks>
    <vt:vector size="210" baseType="variant">
      <vt:variant>
        <vt:i4>6029370</vt:i4>
      </vt:variant>
      <vt:variant>
        <vt:i4>123</vt:i4>
      </vt:variant>
      <vt:variant>
        <vt:i4>0</vt:i4>
      </vt:variant>
      <vt:variant>
        <vt:i4>5</vt:i4>
      </vt:variant>
      <vt:variant>
        <vt:lpwstr>mailto:Gregory.price@puc.state.oh.us</vt:lpwstr>
      </vt:variant>
      <vt:variant>
        <vt:lpwstr/>
      </vt:variant>
      <vt:variant>
        <vt:i4>5111864</vt:i4>
      </vt:variant>
      <vt:variant>
        <vt:i4>120</vt:i4>
      </vt:variant>
      <vt:variant>
        <vt:i4>0</vt:i4>
      </vt:variant>
      <vt:variant>
        <vt:i4>5</vt:i4>
      </vt:variant>
      <vt:variant>
        <vt:lpwstr>mailto:mandy.willey@puc.state.oh.us</vt:lpwstr>
      </vt:variant>
      <vt:variant>
        <vt:lpwstr/>
      </vt:variant>
      <vt:variant>
        <vt:i4>2949145</vt:i4>
      </vt:variant>
      <vt:variant>
        <vt:i4>117</vt:i4>
      </vt:variant>
      <vt:variant>
        <vt:i4>0</vt:i4>
      </vt:variant>
      <vt:variant>
        <vt:i4>5</vt:i4>
      </vt:variant>
      <vt:variant>
        <vt:lpwstr>mailto:robinson@citizenpower.com</vt:lpwstr>
      </vt:variant>
      <vt:variant>
        <vt:lpwstr/>
      </vt:variant>
      <vt:variant>
        <vt:i4>4325480</vt:i4>
      </vt:variant>
      <vt:variant>
        <vt:i4>114</vt:i4>
      </vt:variant>
      <vt:variant>
        <vt:i4>0</vt:i4>
      </vt:variant>
      <vt:variant>
        <vt:i4>5</vt:i4>
      </vt:variant>
      <vt:variant>
        <vt:lpwstr>mailto:NMcDaniel@elpc.org</vt:lpwstr>
      </vt:variant>
      <vt:variant>
        <vt:lpwstr/>
      </vt:variant>
      <vt:variant>
        <vt:i4>1638455</vt:i4>
      </vt:variant>
      <vt:variant>
        <vt:i4>111</vt:i4>
      </vt:variant>
      <vt:variant>
        <vt:i4>0</vt:i4>
      </vt:variant>
      <vt:variant>
        <vt:i4>5</vt:i4>
      </vt:variant>
      <vt:variant>
        <vt:lpwstr>mailto:mlavanga@bbrslaw.com</vt:lpwstr>
      </vt:variant>
      <vt:variant>
        <vt:lpwstr/>
      </vt:variant>
      <vt:variant>
        <vt:i4>2162714</vt:i4>
      </vt:variant>
      <vt:variant>
        <vt:i4>108</vt:i4>
      </vt:variant>
      <vt:variant>
        <vt:i4>0</vt:i4>
      </vt:variant>
      <vt:variant>
        <vt:i4>5</vt:i4>
      </vt:variant>
      <vt:variant>
        <vt:lpwstr>mailto:mpritchard@mwncmh.com</vt:lpwstr>
      </vt:variant>
      <vt:variant>
        <vt:lpwstr/>
      </vt:variant>
      <vt:variant>
        <vt:i4>5374070</vt:i4>
      </vt:variant>
      <vt:variant>
        <vt:i4>105</vt:i4>
      </vt:variant>
      <vt:variant>
        <vt:i4>0</vt:i4>
      </vt:variant>
      <vt:variant>
        <vt:i4>5</vt:i4>
      </vt:variant>
      <vt:variant>
        <vt:lpwstr>mailto:joliker@mwncmh.com</vt:lpwstr>
      </vt:variant>
      <vt:variant>
        <vt:lpwstr/>
      </vt:variant>
      <vt:variant>
        <vt:i4>3670019</vt:i4>
      </vt:variant>
      <vt:variant>
        <vt:i4>102</vt:i4>
      </vt:variant>
      <vt:variant>
        <vt:i4>0</vt:i4>
      </vt:variant>
      <vt:variant>
        <vt:i4>5</vt:i4>
      </vt:variant>
      <vt:variant>
        <vt:lpwstr>mailto:fdarr@mwncmh.com</vt:lpwstr>
      </vt:variant>
      <vt:variant>
        <vt:lpwstr/>
      </vt:variant>
      <vt:variant>
        <vt:i4>5439604</vt:i4>
      </vt:variant>
      <vt:variant>
        <vt:i4>99</vt:i4>
      </vt:variant>
      <vt:variant>
        <vt:i4>0</vt:i4>
      </vt:variant>
      <vt:variant>
        <vt:i4>5</vt:i4>
      </vt:variant>
      <vt:variant>
        <vt:lpwstr>mailto:sam@mwncmh.com</vt:lpwstr>
      </vt:variant>
      <vt:variant>
        <vt:lpwstr/>
      </vt:variant>
      <vt:variant>
        <vt:i4>7733330</vt:i4>
      </vt:variant>
      <vt:variant>
        <vt:i4>96</vt:i4>
      </vt:variant>
      <vt:variant>
        <vt:i4>0</vt:i4>
      </vt:variant>
      <vt:variant>
        <vt:i4>5</vt:i4>
      </vt:variant>
      <vt:variant>
        <vt:lpwstr>mailto:gpoulos@enernoc.com</vt:lpwstr>
      </vt:variant>
      <vt:variant>
        <vt:lpwstr/>
      </vt:variant>
      <vt:variant>
        <vt:i4>786491</vt:i4>
      </vt:variant>
      <vt:variant>
        <vt:i4>93</vt:i4>
      </vt:variant>
      <vt:variant>
        <vt:i4>0</vt:i4>
      </vt:variant>
      <vt:variant>
        <vt:i4>5</vt:i4>
      </vt:variant>
      <vt:variant>
        <vt:lpwstr>mailto:tsiwo@bricker.com</vt:lpwstr>
      </vt:variant>
      <vt:variant>
        <vt:lpwstr/>
      </vt:variant>
      <vt:variant>
        <vt:i4>7274567</vt:i4>
      </vt:variant>
      <vt:variant>
        <vt:i4>90</vt:i4>
      </vt:variant>
      <vt:variant>
        <vt:i4>0</vt:i4>
      </vt:variant>
      <vt:variant>
        <vt:i4>5</vt:i4>
      </vt:variant>
      <vt:variant>
        <vt:lpwstr>mailto:tobrien@bricker.com</vt:lpwstr>
      </vt:variant>
      <vt:variant>
        <vt:lpwstr/>
      </vt:variant>
      <vt:variant>
        <vt:i4>3604501</vt:i4>
      </vt:variant>
      <vt:variant>
        <vt:i4>87</vt:i4>
      </vt:variant>
      <vt:variant>
        <vt:i4>0</vt:i4>
      </vt:variant>
      <vt:variant>
        <vt:i4>5</vt:i4>
      </vt:variant>
      <vt:variant>
        <vt:lpwstr>mailto:ricks@ohanet.org</vt:lpwstr>
      </vt:variant>
      <vt:variant>
        <vt:lpwstr/>
      </vt:variant>
      <vt:variant>
        <vt:i4>2424836</vt:i4>
      </vt:variant>
      <vt:variant>
        <vt:i4>84</vt:i4>
      </vt:variant>
      <vt:variant>
        <vt:i4>0</vt:i4>
      </vt:variant>
      <vt:variant>
        <vt:i4>5</vt:i4>
      </vt:variant>
      <vt:variant>
        <vt:lpwstr>mailto:jkylercohn@BKLlawfirm.com</vt:lpwstr>
      </vt:variant>
      <vt:variant>
        <vt:lpwstr/>
      </vt:variant>
      <vt:variant>
        <vt:i4>3407891</vt:i4>
      </vt:variant>
      <vt:variant>
        <vt:i4>81</vt:i4>
      </vt:variant>
      <vt:variant>
        <vt:i4>0</vt:i4>
      </vt:variant>
      <vt:variant>
        <vt:i4>5</vt:i4>
      </vt:variant>
      <vt:variant>
        <vt:lpwstr>mailto:mkurtz@BKLlawfirm.com</vt:lpwstr>
      </vt:variant>
      <vt:variant>
        <vt:lpwstr/>
      </vt:variant>
      <vt:variant>
        <vt:i4>3866650</vt:i4>
      </vt:variant>
      <vt:variant>
        <vt:i4>78</vt:i4>
      </vt:variant>
      <vt:variant>
        <vt:i4>0</vt:i4>
      </vt:variant>
      <vt:variant>
        <vt:i4>5</vt:i4>
      </vt:variant>
      <vt:variant>
        <vt:lpwstr>mailto:dboehm@BKLlawfirm.com</vt:lpwstr>
      </vt:variant>
      <vt:variant>
        <vt:lpwstr/>
      </vt:variant>
      <vt:variant>
        <vt:i4>3801096</vt:i4>
      </vt:variant>
      <vt:variant>
        <vt:i4>75</vt:i4>
      </vt:variant>
      <vt:variant>
        <vt:i4>0</vt:i4>
      </vt:variant>
      <vt:variant>
        <vt:i4>5</vt:i4>
      </vt:variant>
      <vt:variant>
        <vt:lpwstr>mailto:rkelter@elpc.org</vt:lpwstr>
      </vt:variant>
      <vt:variant>
        <vt:lpwstr/>
      </vt:variant>
      <vt:variant>
        <vt:i4>4128768</vt:i4>
      </vt:variant>
      <vt:variant>
        <vt:i4>72</vt:i4>
      </vt:variant>
      <vt:variant>
        <vt:i4>0</vt:i4>
      </vt:variant>
      <vt:variant>
        <vt:i4>5</vt:i4>
      </vt:variant>
      <vt:variant>
        <vt:lpwstr>mailto:jvickers@elpc.org</vt:lpwstr>
      </vt:variant>
      <vt:variant>
        <vt:lpwstr/>
      </vt:variant>
      <vt:variant>
        <vt:i4>2097171</vt:i4>
      </vt:variant>
      <vt:variant>
        <vt:i4>69</vt:i4>
      </vt:variant>
      <vt:variant>
        <vt:i4>0</vt:i4>
      </vt:variant>
      <vt:variant>
        <vt:i4>5</vt:i4>
      </vt:variant>
      <vt:variant>
        <vt:lpwstr>mailto:callwein@wamenergylaw.com</vt:lpwstr>
      </vt:variant>
      <vt:variant>
        <vt:lpwstr/>
      </vt:variant>
      <vt:variant>
        <vt:i4>3080221</vt:i4>
      </vt:variant>
      <vt:variant>
        <vt:i4>66</vt:i4>
      </vt:variant>
      <vt:variant>
        <vt:i4>0</vt:i4>
      </vt:variant>
      <vt:variant>
        <vt:i4>5</vt:i4>
      </vt:variant>
      <vt:variant>
        <vt:lpwstr>mailto:Trent@theOEC.org</vt:lpwstr>
      </vt:variant>
      <vt:variant>
        <vt:lpwstr/>
      </vt:variant>
      <vt:variant>
        <vt:i4>2359304</vt:i4>
      </vt:variant>
      <vt:variant>
        <vt:i4>63</vt:i4>
      </vt:variant>
      <vt:variant>
        <vt:i4>0</vt:i4>
      </vt:variant>
      <vt:variant>
        <vt:i4>5</vt:i4>
      </vt:variant>
      <vt:variant>
        <vt:lpwstr>mailto:Cathy@theOEC.org</vt:lpwstr>
      </vt:variant>
      <vt:variant>
        <vt:lpwstr/>
      </vt:variant>
      <vt:variant>
        <vt:i4>65591</vt:i4>
      </vt:variant>
      <vt:variant>
        <vt:i4>60</vt:i4>
      </vt:variant>
      <vt:variant>
        <vt:i4>0</vt:i4>
      </vt:variant>
      <vt:variant>
        <vt:i4>5</vt:i4>
      </vt:variant>
      <vt:variant>
        <vt:lpwstr>mailto:cmooney2@columbus.rr.com</vt:lpwstr>
      </vt:variant>
      <vt:variant>
        <vt:lpwstr/>
      </vt:variant>
      <vt:variant>
        <vt:i4>4194431</vt:i4>
      </vt:variant>
      <vt:variant>
        <vt:i4>57</vt:i4>
      </vt:variant>
      <vt:variant>
        <vt:i4>0</vt:i4>
      </vt:variant>
      <vt:variant>
        <vt:i4>5</vt:i4>
      </vt:variant>
      <vt:variant>
        <vt:lpwstr>mailto:toddm@wamenergylaw.com</vt:lpwstr>
      </vt:variant>
      <vt:variant>
        <vt:lpwstr/>
      </vt:variant>
      <vt:variant>
        <vt:i4>917549</vt:i4>
      </vt:variant>
      <vt:variant>
        <vt:i4>54</vt:i4>
      </vt:variant>
      <vt:variant>
        <vt:i4>0</vt:i4>
      </vt:variant>
      <vt:variant>
        <vt:i4>5</vt:i4>
      </vt:variant>
      <vt:variant>
        <vt:lpwstr>mailto:cdunn@firstenergycorp.com</vt:lpwstr>
      </vt:variant>
      <vt:variant>
        <vt:lpwstr/>
      </vt:variant>
      <vt:variant>
        <vt:i4>55</vt:i4>
      </vt:variant>
      <vt:variant>
        <vt:i4>51</vt:i4>
      </vt:variant>
      <vt:variant>
        <vt:i4>0</vt:i4>
      </vt:variant>
      <vt:variant>
        <vt:i4>5</vt:i4>
      </vt:variant>
      <vt:variant>
        <vt:lpwstr>mailto:kjkolich@firstenergycorp.com</vt:lpwstr>
      </vt:variant>
      <vt:variant>
        <vt:lpwstr/>
      </vt:variant>
      <vt:variant>
        <vt:i4>5570611</vt:i4>
      </vt:variant>
      <vt:variant>
        <vt:i4>48</vt:i4>
      </vt:variant>
      <vt:variant>
        <vt:i4>0</vt:i4>
      </vt:variant>
      <vt:variant>
        <vt:i4>5</vt:i4>
      </vt:variant>
      <vt:variant>
        <vt:lpwstr>mailto:Devin.parram@puc.state.oh.us</vt:lpwstr>
      </vt:variant>
      <vt:variant>
        <vt:lpwstr/>
      </vt:variant>
      <vt:variant>
        <vt:i4>4522107</vt:i4>
      </vt:variant>
      <vt:variant>
        <vt:i4>45</vt:i4>
      </vt:variant>
      <vt:variant>
        <vt:i4>0</vt:i4>
      </vt:variant>
      <vt:variant>
        <vt:i4>5</vt:i4>
      </vt:variant>
      <vt:variant>
        <vt:lpwstr>mailto:kern@occ.state.oh.us</vt:lpwstr>
      </vt:variant>
      <vt:variant>
        <vt:lpwstr/>
      </vt:variant>
      <vt:variant>
        <vt:i4>1048630</vt:i4>
      </vt:variant>
      <vt:variant>
        <vt:i4>38</vt:i4>
      </vt:variant>
      <vt:variant>
        <vt:i4>0</vt:i4>
      </vt:variant>
      <vt:variant>
        <vt:i4>5</vt:i4>
      </vt:variant>
      <vt:variant>
        <vt:lpwstr/>
      </vt:variant>
      <vt:variant>
        <vt:lpwstr>_Toc364332208</vt:lpwstr>
      </vt:variant>
      <vt:variant>
        <vt:i4>1048630</vt:i4>
      </vt:variant>
      <vt:variant>
        <vt:i4>32</vt:i4>
      </vt:variant>
      <vt:variant>
        <vt:i4>0</vt:i4>
      </vt:variant>
      <vt:variant>
        <vt:i4>5</vt:i4>
      </vt:variant>
      <vt:variant>
        <vt:lpwstr/>
      </vt:variant>
      <vt:variant>
        <vt:lpwstr>_Toc364332207</vt:lpwstr>
      </vt:variant>
      <vt:variant>
        <vt:i4>1048630</vt:i4>
      </vt:variant>
      <vt:variant>
        <vt:i4>26</vt:i4>
      </vt:variant>
      <vt:variant>
        <vt:i4>0</vt:i4>
      </vt:variant>
      <vt:variant>
        <vt:i4>5</vt:i4>
      </vt:variant>
      <vt:variant>
        <vt:lpwstr/>
      </vt:variant>
      <vt:variant>
        <vt:lpwstr>_Toc364332206</vt:lpwstr>
      </vt:variant>
      <vt:variant>
        <vt:i4>1048630</vt:i4>
      </vt:variant>
      <vt:variant>
        <vt:i4>20</vt:i4>
      </vt:variant>
      <vt:variant>
        <vt:i4>0</vt:i4>
      </vt:variant>
      <vt:variant>
        <vt:i4>5</vt:i4>
      </vt:variant>
      <vt:variant>
        <vt:lpwstr/>
      </vt:variant>
      <vt:variant>
        <vt:lpwstr>_Toc364332205</vt:lpwstr>
      </vt:variant>
      <vt:variant>
        <vt:i4>1048630</vt:i4>
      </vt:variant>
      <vt:variant>
        <vt:i4>14</vt:i4>
      </vt:variant>
      <vt:variant>
        <vt:i4>0</vt:i4>
      </vt:variant>
      <vt:variant>
        <vt:i4>5</vt:i4>
      </vt:variant>
      <vt:variant>
        <vt:lpwstr/>
      </vt:variant>
      <vt:variant>
        <vt:lpwstr>_Toc364332204</vt:lpwstr>
      </vt:variant>
      <vt:variant>
        <vt:i4>1048630</vt:i4>
      </vt:variant>
      <vt:variant>
        <vt:i4>8</vt:i4>
      </vt:variant>
      <vt:variant>
        <vt:i4>0</vt:i4>
      </vt:variant>
      <vt:variant>
        <vt:i4>5</vt:i4>
      </vt:variant>
      <vt:variant>
        <vt:lpwstr/>
      </vt:variant>
      <vt:variant>
        <vt:lpwstr>_Toc364332203</vt:lpwstr>
      </vt:variant>
      <vt:variant>
        <vt:i4>4522107</vt:i4>
      </vt:variant>
      <vt:variant>
        <vt:i4>3</vt:i4>
      </vt:variant>
      <vt:variant>
        <vt:i4>0</vt:i4>
      </vt:variant>
      <vt:variant>
        <vt:i4>5</vt:i4>
      </vt:variant>
      <vt:variant>
        <vt:lpwstr>mailto:kern@occ.state.oh.us</vt:lpwstr>
      </vt:variant>
      <vt:variant>
        <vt:lpwstr/>
      </vt:variant>
      <vt:variant>
        <vt:i4>4522107</vt:i4>
      </vt:variant>
      <vt:variant>
        <vt:i4>0</vt:i4>
      </vt:variant>
      <vt:variant>
        <vt:i4>0</vt:i4>
      </vt:variant>
      <vt:variant>
        <vt:i4>5</vt:i4>
      </vt:variant>
      <vt:variant>
        <vt:lpwstr>mailto:kern@occ.state.oh.us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2014-12-22T15:54:00Z</cp:lastPrinted>
  <dcterms:created xsi:type="dcterms:W3CDTF">2014-12-22T17:49:00Z</dcterms:created>
  <dcterms:modified xsi:type="dcterms:W3CDTF">2014-12-22T17:49:00Z</dcterms:modified>
  <cp:category> </cp:category>
  <cp:contentStatus> </cp:contentStatus>
</cp:coreProperties>
</file>