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C6D7C" w:rsidRPr="00BE2D22" w:rsidP="008C6D7C" w14:paraId="213280BB" w14:textId="194041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BE2D22">
        <w:rPr>
          <w:rFonts w:ascii="Times New Roman" w:hAnsi="Times New Roman" w:cs="Times New Roman"/>
          <w:b/>
          <w:bCs/>
          <w:sz w:val="24"/>
          <w:szCs w:val="24"/>
        </w:rPr>
        <w:t>BEFORE</w:t>
      </w:r>
    </w:p>
    <w:p w:rsidR="008C6D7C" w:rsidRPr="00BE2D22" w:rsidP="008C6D7C" w14:paraId="298138A9" w14:textId="77777777">
      <w:pPr>
        <w:pStyle w:val="HTMLPreformatted"/>
        <w:jc w:val="center"/>
        <w:rPr>
          <w:rFonts w:ascii="Times New Roman" w:hAnsi="Times New Roman" w:cs="Times New Roman"/>
          <w:b/>
          <w:bCs/>
          <w:sz w:val="24"/>
          <w:szCs w:val="24"/>
        </w:rPr>
      </w:pPr>
      <w:r w:rsidRPr="00BE2D22">
        <w:rPr>
          <w:rFonts w:ascii="Times New Roman" w:hAnsi="Times New Roman" w:cs="Times New Roman"/>
          <w:b/>
          <w:bCs/>
          <w:sz w:val="24"/>
          <w:szCs w:val="24"/>
        </w:rPr>
        <w:t>THE PUBLIC UTILITIES COMMISSION OF OHIO</w:t>
      </w:r>
    </w:p>
    <w:p w:rsidR="008C6D7C" w:rsidRPr="00BE2D22" w:rsidP="008C6D7C" w14:paraId="5D67841C"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232EAD5B" w14:textId="77777777" w:rsidTr="008C00C4">
        <w:tblPrEx>
          <w:tblW w:w="9092" w:type="dxa"/>
          <w:tblLook w:val="01E0"/>
        </w:tblPrEx>
        <w:trPr>
          <w:trHeight w:val="807"/>
        </w:trPr>
        <w:tc>
          <w:tcPr>
            <w:tcW w:w="4332" w:type="dxa"/>
            <w:shd w:val="clear" w:color="auto" w:fill="auto"/>
          </w:tcPr>
          <w:p w:rsidR="008C6D7C" w:rsidRPr="00BE2D22" w:rsidP="008C00C4" w14:paraId="67440268"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In the Matter of the Review of the Political and Charitable Spending by Ohio Edison Company, The Cleveland Electric Illuminating Company, and the Toledo Edison Company.</w:t>
            </w:r>
          </w:p>
        </w:tc>
        <w:tc>
          <w:tcPr>
            <w:tcW w:w="360" w:type="dxa"/>
            <w:shd w:val="clear" w:color="auto" w:fill="auto"/>
          </w:tcPr>
          <w:p w:rsidR="008C6D7C" w:rsidRPr="00BE2D22" w:rsidP="008C00C4" w14:paraId="371D40A0"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8C6D7C" w:rsidRPr="00BE2D22" w:rsidP="008C00C4" w14:paraId="784502BA"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8C6D7C" w:rsidRPr="00BE2D22" w:rsidP="008C00C4" w14:paraId="0A869A27"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8C6D7C" w:rsidRPr="00BE2D22" w:rsidP="008C00C4" w14:paraId="68D471F4"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8C6D7C" w:rsidRPr="00BE2D22" w:rsidP="008C00C4" w14:paraId="392488CA"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tc>
        <w:tc>
          <w:tcPr>
            <w:tcW w:w="4400" w:type="dxa"/>
            <w:shd w:val="clear" w:color="auto" w:fill="auto"/>
          </w:tcPr>
          <w:p w:rsidR="008C6D7C" w:rsidRPr="00BE2D22" w:rsidP="008C00C4" w14:paraId="49A07D7B" w14:textId="77777777">
            <w:pPr>
              <w:pStyle w:val="HTMLPreformatted"/>
              <w:rPr>
                <w:rFonts w:ascii="Times New Roman" w:hAnsi="Times New Roman" w:cs="Times New Roman"/>
                <w:sz w:val="24"/>
                <w:szCs w:val="24"/>
              </w:rPr>
            </w:pPr>
          </w:p>
          <w:p w:rsidR="008C6D7C" w:rsidRPr="00BE2D22" w:rsidP="008C00C4" w14:paraId="2CFAB831"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Case No. 20-1502-EL-UNC</w:t>
            </w:r>
          </w:p>
          <w:p w:rsidR="008C6D7C" w:rsidRPr="00BE2D22" w:rsidP="008C00C4" w14:paraId="297907D8" w14:textId="77777777">
            <w:pPr>
              <w:pStyle w:val="HTMLPreformatted"/>
              <w:rPr>
                <w:rFonts w:ascii="Times New Roman" w:hAnsi="Times New Roman" w:cs="Times New Roman"/>
                <w:sz w:val="24"/>
                <w:szCs w:val="24"/>
              </w:rPr>
            </w:pPr>
          </w:p>
        </w:tc>
      </w:tr>
    </w:tbl>
    <w:p w:rsidR="008C6D7C" w:rsidRPr="00BE2D22" w:rsidP="008C6D7C" w14:paraId="50BD4543" w14:textId="77777777">
      <w:pPr>
        <w:pBdr>
          <w:bottom w:val="single" w:sz="12" w:space="1" w:color="auto"/>
        </w:pBdr>
        <w:spacing w:before="4"/>
        <w:rPr>
          <w:szCs w:val="24"/>
        </w:rPr>
      </w:pPr>
    </w:p>
    <w:p w:rsidR="008C6D7C" w:rsidRPr="00BE2D22" w:rsidP="008C6D7C" w14:paraId="081706F1" w14:textId="77777777">
      <w:pPr>
        <w:tabs>
          <w:tab w:val="left" w:pos="-720"/>
        </w:tabs>
        <w:suppressAutoHyphens/>
        <w:jc w:val="center"/>
        <w:rPr>
          <w:b/>
          <w:spacing w:val="-3"/>
          <w:szCs w:val="24"/>
        </w:rPr>
      </w:pPr>
    </w:p>
    <w:p w:rsidR="00445723" w:rsidP="008C6D7C" w14:paraId="39077543" w14:textId="77777777">
      <w:pPr>
        <w:tabs>
          <w:tab w:val="left" w:pos="-720"/>
        </w:tabs>
        <w:suppressAutoHyphens/>
        <w:jc w:val="center"/>
        <w:rPr>
          <w:b/>
          <w:spacing w:val="-3"/>
          <w:szCs w:val="24"/>
        </w:rPr>
      </w:pPr>
      <w:r w:rsidRPr="00BE2D22">
        <w:rPr>
          <w:b/>
          <w:spacing w:val="-3"/>
          <w:szCs w:val="24"/>
        </w:rPr>
        <w:t>MEMORANDUM CONTRA FIRSTENERGY’</w:t>
      </w:r>
      <w:r w:rsidRPr="00BE2D22" w:rsidR="005651AF">
        <w:rPr>
          <w:b/>
          <w:spacing w:val="-3"/>
          <w:szCs w:val="24"/>
        </w:rPr>
        <w:t>S</w:t>
      </w:r>
      <w:r w:rsidRPr="00BE2D22">
        <w:rPr>
          <w:b/>
          <w:spacing w:val="-3"/>
          <w:szCs w:val="24"/>
        </w:rPr>
        <w:t xml:space="preserve"> MOTION FOR PROTECTIVE ORDER</w:t>
      </w:r>
      <w:r w:rsidRPr="00BE2D22" w:rsidR="0078034D">
        <w:rPr>
          <w:b/>
          <w:spacing w:val="-3"/>
          <w:szCs w:val="24"/>
        </w:rPr>
        <w:t xml:space="preserve"> TO </w:t>
      </w:r>
      <w:r w:rsidRPr="00BE2D22" w:rsidR="005651AF">
        <w:rPr>
          <w:b/>
          <w:spacing w:val="-3"/>
          <w:szCs w:val="24"/>
        </w:rPr>
        <w:t xml:space="preserve">DENY </w:t>
      </w:r>
      <w:r w:rsidRPr="00BE2D22" w:rsidR="0078034D">
        <w:rPr>
          <w:b/>
          <w:spacing w:val="-3"/>
          <w:szCs w:val="24"/>
        </w:rPr>
        <w:t>DISCOVERY</w:t>
      </w:r>
      <w:r w:rsidRPr="00BE2D22" w:rsidR="005651AF">
        <w:rPr>
          <w:b/>
          <w:spacing w:val="-3"/>
          <w:szCs w:val="24"/>
        </w:rPr>
        <w:t xml:space="preserve"> INFORMATION FOR OCC</w:t>
      </w:r>
      <w:r>
        <w:rPr>
          <w:b/>
          <w:spacing w:val="-3"/>
          <w:szCs w:val="24"/>
        </w:rPr>
        <w:t xml:space="preserve"> </w:t>
      </w:r>
    </w:p>
    <w:p w:rsidR="00445723" w:rsidP="008C6D7C" w14:paraId="695BFFB2" w14:textId="77777777">
      <w:pPr>
        <w:tabs>
          <w:tab w:val="left" w:pos="-720"/>
        </w:tabs>
        <w:suppressAutoHyphens/>
        <w:jc w:val="center"/>
        <w:rPr>
          <w:b/>
          <w:spacing w:val="-3"/>
          <w:szCs w:val="24"/>
        </w:rPr>
      </w:pPr>
      <w:r w:rsidRPr="00BE2D22">
        <w:rPr>
          <w:b/>
          <w:spacing w:val="-3"/>
          <w:szCs w:val="24"/>
        </w:rPr>
        <w:t xml:space="preserve">BY </w:t>
      </w:r>
    </w:p>
    <w:p w:rsidR="008C6D7C" w:rsidRPr="00BE2D22" w:rsidP="008C6D7C" w14:paraId="38BC35B4" w14:textId="6E2A5717">
      <w:pPr>
        <w:tabs>
          <w:tab w:val="left" w:pos="-720"/>
        </w:tabs>
        <w:suppressAutoHyphens/>
        <w:jc w:val="center"/>
        <w:rPr>
          <w:b/>
          <w:spacing w:val="-3"/>
          <w:szCs w:val="24"/>
        </w:rPr>
      </w:pPr>
      <w:r w:rsidRPr="00BE2D22">
        <w:rPr>
          <w:b/>
          <w:spacing w:val="-3"/>
          <w:szCs w:val="24"/>
        </w:rPr>
        <w:t>O</w:t>
      </w:r>
      <w:r w:rsidRPr="00BE2D22" w:rsidR="00FA3493">
        <w:rPr>
          <w:b/>
          <w:spacing w:val="-3"/>
          <w:szCs w:val="24"/>
        </w:rPr>
        <w:t>FFICE OF THE OHIO CONSUMERS’ COUNSEL</w:t>
      </w:r>
    </w:p>
    <w:p w:rsidR="008C6D7C" w:rsidRPr="00BE2D22" w:rsidP="008C6D7C" w14:paraId="27651D73" w14:textId="77777777">
      <w:pPr>
        <w:pBdr>
          <w:bottom w:val="single" w:sz="12" w:space="1" w:color="auto"/>
        </w:pBdr>
        <w:tabs>
          <w:tab w:val="left" w:pos="-720"/>
        </w:tabs>
        <w:suppressAutoHyphens/>
        <w:jc w:val="center"/>
        <w:rPr>
          <w:b/>
          <w:spacing w:val="-3"/>
          <w:szCs w:val="24"/>
        </w:rPr>
      </w:pPr>
    </w:p>
    <w:p w:rsidR="008C6D7C" w:rsidRPr="00BE2D22" w:rsidP="008C6D7C" w14:paraId="6D277D32" w14:textId="77777777">
      <w:pPr>
        <w:ind w:firstLine="720"/>
        <w:rPr>
          <w:rFonts w:eastAsiaTheme="minorHAnsi"/>
          <w:szCs w:val="24"/>
        </w:rPr>
      </w:pPr>
    </w:p>
    <w:p w:rsidR="00B63D23" w:rsidRPr="00BE2D22" w:rsidP="00B63D23" w14:paraId="26CCB5CD" w14:textId="77777777">
      <w:pPr>
        <w:ind w:left="3600" w:firstLine="720"/>
        <w:rPr>
          <w:szCs w:val="24"/>
        </w:rPr>
      </w:pPr>
      <w:r w:rsidRPr="00BE2D22">
        <w:rPr>
          <w:szCs w:val="24"/>
        </w:rPr>
        <w:t>Bruce Weston (0016973)</w:t>
      </w:r>
    </w:p>
    <w:p w:rsidR="00B63D23" w:rsidRPr="00BE2D22" w:rsidP="00B63D23" w14:paraId="16673232" w14:textId="77777777">
      <w:pPr>
        <w:ind w:firstLine="4320"/>
        <w:rPr>
          <w:szCs w:val="24"/>
        </w:rPr>
      </w:pPr>
      <w:r w:rsidRPr="00BE2D22">
        <w:rPr>
          <w:szCs w:val="24"/>
        </w:rPr>
        <w:t>Ohio Consumers’ Counsel</w:t>
      </w:r>
    </w:p>
    <w:p w:rsidR="00B63D23" w:rsidRPr="00BE2D22" w:rsidP="00B63D23" w14:paraId="0FFD6EE6" w14:textId="77777777">
      <w:pPr>
        <w:ind w:firstLine="4320"/>
        <w:rPr>
          <w:szCs w:val="24"/>
        </w:rPr>
      </w:pPr>
      <w:r w:rsidRPr="00BE2D22">
        <w:rPr>
          <w:szCs w:val="24"/>
        </w:rPr>
        <w:t xml:space="preserve">  </w:t>
      </w:r>
    </w:p>
    <w:p w:rsidR="00B63D23" w:rsidRPr="00BE2D22" w:rsidP="00B63D23" w14:paraId="08943304" w14:textId="77777777">
      <w:pPr>
        <w:suppressLineNumbers/>
        <w:ind w:left="4320"/>
        <w:rPr>
          <w:szCs w:val="24"/>
        </w:rPr>
      </w:pPr>
      <w:r w:rsidRPr="00BE2D22">
        <w:rPr>
          <w:szCs w:val="24"/>
        </w:rPr>
        <w:t>Maureen R. Willis, Senior Counsel</w:t>
      </w:r>
    </w:p>
    <w:p w:rsidR="00B63D23" w:rsidRPr="00BE2D22" w:rsidP="00B63D23" w14:paraId="3875E28A" w14:textId="77777777">
      <w:pPr>
        <w:suppressLineNumbers/>
        <w:ind w:left="4320"/>
        <w:rPr>
          <w:szCs w:val="24"/>
        </w:rPr>
      </w:pPr>
      <w:r w:rsidRPr="00BE2D22">
        <w:rPr>
          <w:szCs w:val="24"/>
        </w:rPr>
        <w:t xml:space="preserve">Counsel of Record (# 0020847)                      </w:t>
      </w:r>
    </w:p>
    <w:p w:rsidR="00B63D23" w:rsidRPr="00BE2D22" w:rsidP="00B63D23" w14:paraId="1D80A9EB" w14:textId="77777777">
      <w:pPr>
        <w:suppressLineNumbers/>
        <w:ind w:left="4320"/>
        <w:rPr>
          <w:szCs w:val="24"/>
        </w:rPr>
      </w:pPr>
      <w:r w:rsidRPr="00BE2D22">
        <w:rPr>
          <w:szCs w:val="24"/>
        </w:rPr>
        <w:t>Angela D. O’Brien (#0097579)</w:t>
      </w:r>
      <w:r w:rsidRPr="00BE2D22">
        <w:rPr>
          <w:szCs w:val="24"/>
        </w:rPr>
        <w:tab/>
      </w:r>
    </w:p>
    <w:p w:rsidR="00B63D23" w:rsidRPr="00BE2D22" w:rsidP="00B63D23" w14:paraId="6C03516B" w14:textId="77777777">
      <w:pPr>
        <w:suppressLineNumbers/>
        <w:ind w:left="4320"/>
        <w:rPr>
          <w:szCs w:val="24"/>
        </w:rPr>
      </w:pPr>
      <w:r w:rsidRPr="00BE2D22">
        <w:rPr>
          <w:szCs w:val="24"/>
        </w:rPr>
        <w:t>Assistant Consumers’ Counsel</w:t>
      </w:r>
    </w:p>
    <w:p w:rsidR="00B63D23" w:rsidRPr="00BE2D22" w:rsidP="00B63D23" w14:paraId="565766C9" w14:textId="77777777">
      <w:pPr>
        <w:suppressLineNumbers/>
        <w:ind w:left="4320"/>
        <w:rPr>
          <w:szCs w:val="24"/>
        </w:rPr>
      </w:pPr>
      <w:r w:rsidRPr="00BE2D22">
        <w:rPr>
          <w:szCs w:val="24"/>
        </w:rPr>
        <w:tab/>
      </w:r>
    </w:p>
    <w:p w:rsidR="00B63D23" w:rsidRPr="00BE2D22" w:rsidP="00B63D23" w14:paraId="720F2307" w14:textId="77777777">
      <w:pPr>
        <w:suppressLineNumbers/>
        <w:ind w:left="4320"/>
        <w:rPr>
          <w:b/>
          <w:bCs/>
          <w:szCs w:val="24"/>
        </w:rPr>
      </w:pPr>
      <w:r w:rsidRPr="00BE2D22">
        <w:rPr>
          <w:b/>
          <w:bCs/>
          <w:szCs w:val="24"/>
        </w:rPr>
        <w:t>Office of the Ohio Consumers’ Counsel</w:t>
      </w:r>
    </w:p>
    <w:p w:rsidR="00B63D23" w:rsidRPr="00BE2D22" w:rsidP="00B63D23" w14:paraId="49BFC6F8" w14:textId="77777777">
      <w:pPr>
        <w:suppressLineNumbers/>
        <w:ind w:left="4320"/>
        <w:rPr>
          <w:bCs/>
          <w:szCs w:val="24"/>
        </w:rPr>
      </w:pPr>
      <w:r w:rsidRPr="00BE2D22">
        <w:rPr>
          <w:bCs/>
          <w:szCs w:val="24"/>
        </w:rPr>
        <w:t>65 East State Street, 7</w:t>
      </w:r>
      <w:r w:rsidRPr="00BE2D22">
        <w:rPr>
          <w:bCs/>
          <w:szCs w:val="24"/>
          <w:vertAlign w:val="superscript"/>
        </w:rPr>
        <w:t>th</w:t>
      </w:r>
      <w:r w:rsidRPr="00BE2D22">
        <w:rPr>
          <w:bCs/>
          <w:szCs w:val="24"/>
        </w:rPr>
        <w:t xml:space="preserve"> Floor</w:t>
      </w:r>
    </w:p>
    <w:p w:rsidR="00B63D23" w:rsidRPr="00BE2D22" w:rsidP="00B63D23" w14:paraId="5D40E2A5" w14:textId="77777777">
      <w:pPr>
        <w:suppressLineNumbers/>
        <w:ind w:left="4320"/>
        <w:rPr>
          <w:bCs/>
          <w:szCs w:val="24"/>
        </w:rPr>
      </w:pPr>
      <w:r w:rsidRPr="00BE2D22">
        <w:rPr>
          <w:bCs/>
          <w:szCs w:val="24"/>
        </w:rPr>
        <w:t>Columbus, Ohio 43215</w:t>
      </w:r>
    </w:p>
    <w:p w:rsidR="00B63D23" w:rsidRPr="00BE2D22" w:rsidP="00B63D23" w14:paraId="1D43C9E2" w14:textId="77777777">
      <w:pPr>
        <w:suppressLineNumbers/>
        <w:ind w:left="4320"/>
        <w:rPr>
          <w:szCs w:val="24"/>
        </w:rPr>
      </w:pPr>
      <w:r w:rsidRPr="00BE2D22">
        <w:rPr>
          <w:szCs w:val="24"/>
        </w:rPr>
        <w:t>Telephone [Willis]: (614) 466-9567</w:t>
      </w:r>
    </w:p>
    <w:p w:rsidR="00B63D23" w:rsidRPr="00BE2D22" w:rsidP="00B63D23" w14:paraId="4CA492D5" w14:textId="77777777">
      <w:pPr>
        <w:suppressLineNumbers/>
        <w:ind w:left="4320"/>
        <w:rPr>
          <w:szCs w:val="24"/>
        </w:rPr>
      </w:pPr>
      <w:r w:rsidRPr="00BE2D22">
        <w:rPr>
          <w:szCs w:val="24"/>
        </w:rPr>
        <w:t>Telephone [Obrien]: (614) 466-9531</w:t>
      </w:r>
    </w:p>
    <w:p w:rsidR="00B63D23" w:rsidRPr="00BE2D22" w:rsidP="00B63D23" w14:paraId="60A1C3E7" w14:textId="77777777">
      <w:pPr>
        <w:suppressLineNumbers/>
        <w:ind w:left="4320"/>
        <w:rPr>
          <w:szCs w:val="24"/>
        </w:rPr>
      </w:pPr>
      <w:hyperlink r:id="rId6" w:history="1">
        <w:r w:rsidRPr="00BE2D22" w:rsidR="00445723">
          <w:rPr>
            <w:rStyle w:val="Hyperlink"/>
            <w:rFonts w:eastAsia="Courier New"/>
            <w:szCs w:val="24"/>
          </w:rPr>
          <w:t>Maureen.willis@occ.ohio.gov</w:t>
        </w:r>
      </w:hyperlink>
    </w:p>
    <w:p w:rsidR="00B63D23" w:rsidRPr="00BE2D22" w:rsidP="00B63D23" w14:paraId="38E55C8B" w14:textId="77777777">
      <w:pPr>
        <w:suppressLineNumbers/>
        <w:ind w:left="4320"/>
        <w:rPr>
          <w:szCs w:val="24"/>
        </w:rPr>
      </w:pPr>
      <w:hyperlink r:id="rId7" w:history="1">
        <w:r w:rsidRPr="00BE2D22" w:rsidR="00445723">
          <w:rPr>
            <w:rStyle w:val="Hyperlink"/>
            <w:rFonts w:eastAsia="Courier New"/>
            <w:szCs w:val="24"/>
          </w:rPr>
          <w:t>Angela.obrien@occ.ohio.gov</w:t>
        </w:r>
      </w:hyperlink>
    </w:p>
    <w:p w:rsidR="00B63D23" w:rsidRPr="00BE2D22" w:rsidP="00B63D23" w14:paraId="521C225A" w14:textId="77777777">
      <w:pPr>
        <w:suppressLineNumbers/>
        <w:ind w:left="4320"/>
        <w:rPr>
          <w:szCs w:val="24"/>
        </w:rPr>
      </w:pPr>
      <w:r w:rsidRPr="00BE2D22">
        <w:rPr>
          <w:szCs w:val="24"/>
        </w:rPr>
        <w:t>(Willing to accept service by e-mail)</w:t>
      </w:r>
    </w:p>
    <w:p w:rsidR="00B63D23" w:rsidRPr="00BE2D22" w:rsidP="00B63D23" w14:paraId="1C5EB914" w14:textId="77777777">
      <w:pPr>
        <w:suppressLineNumbers/>
        <w:ind w:left="4320"/>
        <w:rPr>
          <w:szCs w:val="24"/>
        </w:rPr>
      </w:pPr>
    </w:p>
    <w:p w:rsidR="00B63D23" w:rsidRPr="00BE2D22" w:rsidP="00B63D23" w14:paraId="78EEFAB2" w14:textId="77777777">
      <w:pPr>
        <w:autoSpaceDE w:val="0"/>
        <w:autoSpaceDN w:val="0"/>
        <w:adjustRightInd w:val="0"/>
        <w:ind w:left="4320"/>
        <w:rPr>
          <w:color w:val="000000"/>
          <w:szCs w:val="24"/>
        </w:rPr>
      </w:pPr>
      <w:r w:rsidRPr="00BE2D22">
        <w:rPr>
          <w:color w:val="000000"/>
          <w:szCs w:val="24"/>
        </w:rPr>
        <w:t>Michael D. Dortch (0043897)</w:t>
      </w:r>
    </w:p>
    <w:p w:rsidR="00B63D23" w:rsidRPr="00BE2D22" w:rsidP="00B63D23" w14:paraId="031474FB" w14:textId="77777777">
      <w:pPr>
        <w:autoSpaceDE w:val="0"/>
        <w:autoSpaceDN w:val="0"/>
        <w:adjustRightInd w:val="0"/>
        <w:ind w:left="4320"/>
        <w:rPr>
          <w:color w:val="000000"/>
          <w:szCs w:val="24"/>
        </w:rPr>
      </w:pPr>
      <w:r w:rsidRPr="00BE2D22">
        <w:rPr>
          <w:color w:val="000000"/>
          <w:szCs w:val="24"/>
        </w:rPr>
        <w:t>Justin M. Dortch (00900048)</w:t>
      </w:r>
    </w:p>
    <w:p w:rsidR="00B63D23" w:rsidRPr="00BE2D22" w:rsidP="00B63D23" w14:paraId="42D86D77" w14:textId="77777777">
      <w:pPr>
        <w:autoSpaceDE w:val="0"/>
        <w:autoSpaceDN w:val="0"/>
        <w:adjustRightInd w:val="0"/>
        <w:ind w:left="4320"/>
        <w:rPr>
          <w:color w:val="000000"/>
          <w:szCs w:val="24"/>
        </w:rPr>
      </w:pPr>
      <w:r w:rsidRPr="00BE2D22">
        <w:rPr>
          <w:color w:val="000000"/>
          <w:szCs w:val="24"/>
        </w:rPr>
        <w:t>KRAVITZ, BROWN, &amp; DORTCH, LLC</w:t>
      </w:r>
    </w:p>
    <w:p w:rsidR="00B63D23" w:rsidRPr="00BE2D22" w:rsidP="00B63D23" w14:paraId="03EC557D" w14:textId="77777777">
      <w:pPr>
        <w:autoSpaceDE w:val="0"/>
        <w:autoSpaceDN w:val="0"/>
        <w:adjustRightInd w:val="0"/>
        <w:ind w:left="4320"/>
        <w:rPr>
          <w:color w:val="000000"/>
          <w:szCs w:val="24"/>
        </w:rPr>
      </w:pPr>
      <w:r w:rsidRPr="00BE2D22">
        <w:rPr>
          <w:color w:val="000000"/>
          <w:szCs w:val="24"/>
        </w:rPr>
        <w:t>65 East State Street, Suite 200</w:t>
      </w:r>
    </w:p>
    <w:p w:rsidR="00B63D23" w:rsidRPr="00BE2D22" w:rsidP="00B63D23" w14:paraId="1C984C11" w14:textId="77777777">
      <w:pPr>
        <w:autoSpaceDE w:val="0"/>
        <w:autoSpaceDN w:val="0"/>
        <w:adjustRightInd w:val="0"/>
        <w:ind w:left="4320"/>
        <w:rPr>
          <w:color w:val="000000"/>
          <w:szCs w:val="24"/>
        </w:rPr>
      </w:pPr>
      <w:r w:rsidRPr="00BE2D22">
        <w:rPr>
          <w:color w:val="000000"/>
          <w:szCs w:val="24"/>
        </w:rPr>
        <w:t>Columbus, Ohio 43215</w:t>
      </w:r>
    </w:p>
    <w:p w:rsidR="00B63D23" w:rsidRPr="00BE2D22" w:rsidP="00B63D23" w14:paraId="19AAEFBC" w14:textId="77777777">
      <w:pPr>
        <w:autoSpaceDE w:val="0"/>
        <w:autoSpaceDN w:val="0"/>
        <w:adjustRightInd w:val="0"/>
        <w:ind w:left="4320"/>
        <w:rPr>
          <w:color w:val="000000"/>
          <w:szCs w:val="24"/>
        </w:rPr>
      </w:pPr>
      <w:r w:rsidRPr="00BE2D22">
        <w:rPr>
          <w:color w:val="000000"/>
          <w:szCs w:val="24"/>
        </w:rPr>
        <w:t>Phone (614) 464-2000</w:t>
      </w:r>
    </w:p>
    <w:p w:rsidR="00B63D23" w:rsidRPr="00BE2D22" w:rsidP="00B63D23" w14:paraId="4DBBC4AE" w14:textId="77777777">
      <w:pPr>
        <w:autoSpaceDE w:val="0"/>
        <w:autoSpaceDN w:val="0"/>
        <w:adjustRightInd w:val="0"/>
        <w:ind w:left="4320"/>
        <w:rPr>
          <w:color w:val="000000"/>
          <w:szCs w:val="24"/>
        </w:rPr>
      </w:pPr>
      <w:r w:rsidRPr="00BE2D22">
        <w:rPr>
          <w:color w:val="000000"/>
          <w:szCs w:val="24"/>
        </w:rPr>
        <w:t>Fax: (614) 464-2002</w:t>
      </w:r>
    </w:p>
    <w:p w:rsidR="00B63D23" w:rsidRPr="00BE2D22" w:rsidP="00B63D23" w14:paraId="377528B2" w14:textId="77777777">
      <w:pPr>
        <w:autoSpaceDE w:val="0"/>
        <w:autoSpaceDN w:val="0"/>
        <w:adjustRightInd w:val="0"/>
        <w:ind w:left="4320"/>
        <w:rPr>
          <w:color w:val="0000FF"/>
          <w:szCs w:val="24"/>
        </w:rPr>
      </w:pPr>
      <w:r w:rsidRPr="00BE2D22">
        <w:rPr>
          <w:color w:val="000000"/>
          <w:szCs w:val="24"/>
        </w:rPr>
        <w:t xml:space="preserve">E-mail: </w:t>
      </w:r>
      <w:r w:rsidRPr="00BE2D22">
        <w:rPr>
          <w:color w:val="0000FF"/>
          <w:szCs w:val="24"/>
        </w:rPr>
        <w:t>mdortch@kravitzllc.com</w:t>
      </w:r>
    </w:p>
    <w:p w:rsidR="00B63D23" w:rsidRPr="00BE2D22" w:rsidP="00B63D23" w14:paraId="24A6F435" w14:textId="77777777">
      <w:pPr>
        <w:autoSpaceDE w:val="0"/>
        <w:autoSpaceDN w:val="0"/>
        <w:adjustRightInd w:val="0"/>
        <w:ind w:left="4320"/>
        <w:rPr>
          <w:color w:val="0000FF"/>
          <w:szCs w:val="24"/>
        </w:rPr>
      </w:pPr>
      <w:r w:rsidRPr="00BE2D22">
        <w:rPr>
          <w:color w:val="0000FF"/>
          <w:szCs w:val="24"/>
        </w:rPr>
        <w:t>jdortch@kravitzllc.com</w:t>
      </w:r>
    </w:p>
    <w:p w:rsidR="00B63D23" w:rsidRPr="00BE2D22" w:rsidP="00B63D23" w14:paraId="33F349EE" w14:textId="77777777">
      <w:pPr>
        <w:autoSpaceDE w:val="0"/>
        <w:autoSpaceDN w:val="0"/>
        <w:adjustRightInd w:val="0"/>
        <w:ind w:left="4320"/>
        <w:rPr>
          <w:color w:val="000000"/>
          <w:szCs w:val="24"/>
        </w:rPr>
      </w:pPr>
    </w:p>
    <w:p w:rsidR="00B63D23" w:rsidRPr="00BE2D22" w:rsidP="00B63D23" w14:paraId="1767FD8A" w14:textId="1F730CE4">
      <w:pPr>
        <w:autoSpaceDE w:val="0"/>
        <w:autoSpaceDN w:val="0"/>
        <w:adjustRightInd w:val="0"/>
        <w:rPr>
          <w:szCs w:val="24"/>
        </w:rPr>
      </w:pPr>
      <w:r w:rsidRPr="00BE2D22">
        <w:rPr>
          <w:color w:val="000000"/>
          <w:szCs w:val="24"/>
        </w:rPr>
        <w:t>Date</w:t>
      </w:r>
      <w:r w:rsidRPr="00BE2D22" w:rsidR="003C079A">
        <w:rPr>
          <w:color w:val="000000"/>
          <w:szCs w:val="24"/>
        </w:rPr>
        <w:t>:  November 2,</w:t>
      </w:r>
      <w:r w:rsidRPr="00BE2D22">
        <w:rPr>
          <w:color w:val="000000"/>
          <w:szCs w:val="24"/>
        </w:rPr>
        <w:t xml:space="preserve"> 2020</w:t>
      </w:r>
      <w:r w:rsidRPr="00BE2D22">
        <w:rPr>
          <w:color w:val="000000"/>
          <w:szCs w:val="24"/>
        </w:rPr>
        <w:tab/>
      </w:r>
      <w:r w:rsidRPr="00BE2D22">
        <w:rPr>
          <w:color w:val="000000"/>
          <w:szCs w:val="24"/>
        </w:rPr>
        <w:tab/>
      </w:r>
      <w:r w:rsidRPr="00BE2D22">
        <w:rPr>
          <w:color w:val="000000"/>
          <w:szCs w:val="24"/>
        </w:rPr>
        <w:tab/>
        <w:t>Attorneys for the Ohio Consumers’ Counsel</w:t>
      </w:r>
    </w:p>
    <w:p w:rsidR="008C6D7C" w:rsidRPr="00BE2D22" w:rsidP="005F4A38" w14:paraId="0F7DCCA2" w14:textId="77777777">
      <w:pPr>
        <w:pStyle w:val="HTMLPreformatted"/>
        <w:jc w:val="center"/>
        <w:rPr>
          <w:rFonts w:ascii="Times New Roman" w:hAnsi="Times New Roman" w:cs="Times New Roman"/>
          <w:b/>
          <w:bCs/>
          <w:sz w:val="24"/>
          <w:szCs w:val="24"/>
        </w:rPr>
      </w:pPr>
    </w:p>
    <w:p w:rsidR="00B63D23" w:rsidRPr="00BE2D22" w:rsidP="005F4A38" w14:paraId="53959B7C" w14:textId="77777777">
      <w:pPr>
        <w:pStyle w:val="HTMLPreformatted"/>
        <w:jc w:val="center"/>
        <w:rPr>
          <w:rFonts w:ascii="Times New Roman" w:hAnsi="Times New Roman" w:cs="Times New Roman"/>
          <w:b/>
          <w:bCs/>
          <w:sz w:val="24"/>
          <w:szCs w:val="24"/>
        </w:rPr>
        <w:sectPr w:rsidSect="001D76B9">
          <w:footerReference w:type="default" r:id="rId8"/>
          <w:footerReference w:type="first" r:id="rId9"/>
          <w:pgSz w:w="12240" w:h="15840"/>
          <w:pgMar w:top="1440" w:right="1440" w:bottom="1440" w:left="1440" w:header="720" w:footer="720" w:gutter="0"/>
          <w:cols w:space="720"/>
          <w:titlePg/>
          <w:docGrid w:linePitch="360"/>
        </w:sectPr>
      </w:pPr>
    </w:p>
    <w:p w:rsidR="00C94625" w:rsidRPr="00BE2D22" w:rsidP="005F4A38" w14:paraId="24C14194" w14:textId="77777777">
      <w:pPr>
        <w:pStyle w:val="HTMLPreformatted"/>
        <w:jc w:val="center"/>
        <w:rPr>
          <w:rFonts w:ascii="Times New Roman" w:hAnsi="Times New Roman" w:cs="Times New Roman"/>
          <w:b/>
          <w:bCs/>
          <w:sz w:val="24"/>
          <w:szCs w:val="24"/>
          <w:u w:val="single"/>
        </w:rPr>
      </w:pPr>
      <w:r w:rsidRPr="00BE2D22">
        <w:rPr>
          <w:rFonts w:ascii="Times New Roman" w:hAnsi="Times New Roman" w:cs="Times New Roman"/>
          <w:b/>
          <w:bCs/>
          <w:sz w:val="24"/>
          <w:szCs w:val="24"/>
          <w:u w:val="single"/>
        </w:rPr>
        <w:t>TABLE OF CONTENTS</w:t>
      </w:r>
    </w:p>
    <w:p w:rsidR="00C94625" w:rsidRPr="00BE2D22" w:rsidP="005F4A38" w14:paraId="30E008A6" w14:textId="77777777">
      <w:pPr>
        <w:pStyle w:val="HTMLPreformatted"/>
        <w:jc w:val="center"/>
        <w:rPr>
          <w:rFonts w:ascii="Times New Roman" w:hAnsi="Times New Roman" w:cs="Times New Roman"/>
          <w:b/>
          <w:bCs/>
          <w:sz w:val="24"/>
          <w:szCs w:val="24"/>
        </w:rPr>
      </w:pPr>
    </w:p>
    <w:p w:rsidR="00C94625" w:rsidRPr="00BE2D22" w:rsidP="005F4A38" w14:paraId="306C5457" w14:textId="16FB6C8D">
      <w:pPr>
        <w:pStyle w:val="HTMLPreformatted"/>
        <w:jc w:val="center"/>
        <w:rPr>
          <w:rFonts w:ascii="Times New Roman" w:hAnsi="Times New Roman" w:cs="Times New Roman"/>
          <w:b/>
          <w:bCs/>
          <w:sz w:val="24"/>
          <w:szCs w:val="24"/>
        </w:rPr>
      </w:pP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r>
      <w:r w:rsidRPr="00BE2D22">
        <w:rPr>
          <w:rFonts w:ascii="Times New Roman" w:hAnsi="Times New Roman" w:cs="Times New Roman"/>
          <w:b/>
          <w:bCs/>
          <w:sz w:val="24"/>
          <w:szCs w:val="24"/>
        </w:rPr>
        <w:tab/>
        <w:t xml:space="preserve">       PAGE</w:t>
      </w:r>
    </w:p>
    <w:p w:rsidR="00C94625" w:rsidRPr="00BE2D22" w:rsidP="005F4A38" w14:paraId="03D612C2" w14:textId="77777777">
      <w:pPr>
        <w:pStyle w:val="HTMLPreformatted"/>
        <w:jc w:val="center"/>
        <w:rPr>
          <w:rFonts w:ascii="Times New Roman" w:hAnsi="Times New Roman" w:cs="Times New Roman"/>
          <w:b/>
          <w:bCs/>
          <w:sz w:val="24"/>
          <w:szCs w:val="24"/>
        </w:rPr>
      </w:pPr>
    </w:p>
    <w:p w:rsidR="00392097" w14:paraId="30D8C247" w14:textId="5BE05E71">
      <w:pPr>
        <w:pStyle w:val="TOC1"/>
        <w:rPr>
          <w:rFonts w:asciiTheme="minorHAnsi" w:eastAsiaTheme="minorEastAsia" w:hAnsiTheme="minorHAnsi" w:cstheme="minorBidi"/>
          <w:caps w:val="0"/>
          <w:noProof/>
          <w:sz w:val="22"/>
          <w:szCs w:val="22"/>
        </w:rPr>
      </w:pPr>
      <w:r w:rsidRPr="00BE2D22">
        <w:rPr>
          <w:b/>
          <w:bCs/>
          <w:szCs w:val="24"/>
        </w:rPr>
        <w:fldChar w:fldCharType="begin"/>
      </w:r>
      <w:r w:rsidRPr="00BE2D22">
        <w:rPr>
          <w:b/>
          <w:bCs/>
          <w:szCs w:val="24"/>
        </w:rPr>
        <w:instrText xml:space="preserve"> TOC \o "1-2" \h \z \u </w:instrText>
      </w:r>
      <w:r w:rsidRPr="00BE2D22">
        <w:rPr>
          <w:b/>
          <w:bCs/>
          <w:szCs w:val="24"/>
        </w:rPr>
        <w:fldChar w:fldCharType="separate"/>
      </w:r>
      <w:hyperlink w:anchor="_Toc55226824" w:history="1">
        <w:r w:rsidRPr="00BB748E">
          <w:rPr>
            <w:rStyle w:val="Hyperlink"/>
            <w:noProof/>
          </w:rPr>
          <w:t>I.</w:t>
        </w:r>
        <w:r>
          <w:rPr>
            <w:rFonts w:asciiTheme="minorHAnsi" w:eastAsiaTheme="minorEastAsia" w:hAnsiTheme="minorHAnsi" w:cstheme="minorBidi"/>
            <w:caps w:val="0"/>
            <w:noProof/>
            <w:sz w:val="22"/>
            <w:szCs w:val="22"/>
          </w:rPr>
          <w:tab/>
        </w:r>
        <w:r w:rsidRPr="00BB748E">
          <w:rPr>
            <w:rStyle w:val="Hyperlink"/>
            <w:noProof/>
          </w:rPr>
          <w:t>THE PUCO HAS JURISDICTION, ON BEHALF OF firstenergy’s CONSUMERS, TO REVIEW FIRSTENERGY’S HB 6 SPENDING</w:t>
        </w:r>
        <w:r>
          <w:rPr>
            <w:noProof/>
            <w:webHidden/>
          </w:rPr>
          <w:tab/>
        </w:r>
        <w:r>
          <w:rPr>
            <w:noProof/>
            <w:webHidden/>
          </w:rPr>
          <w:fldChar w:fldCharType="begin"/>
        </w:r>
        <w:r>
          <w:rPr>
            <w:noProof/>
            <w:webHidden/>
          </w:rPr>
          <w:instrText xml:space="preserve"> PAGEREF _Toc55226824 \h </w:instrText>
        </w:r>
        <w:r>
          <w:rPr>
            <w:noProof/>
            <w:webHidden/>
          </w:rPr>
          <w:fldChar w:fldCharType="separate"/>
        </w:r>
        <w:r>
          <w:rPr>
            <w:noProof/>
            <w:webHidden/>
          </w:rPr>
          <w:t>3</w:t>
        </w:r>
        <w:r>
          <w:rPr>
            <w:noProof/>
            <w:webHidden/>
          </w:rPr>
          <w:fldChar w:fldCharType="end"/>
        </w:r>
      </w:hyperlink>
    </w:p>
    <w:p w:rsidR="00392097" w14:paraId="06A1FCE1" w14:textId="61B7A516">
      <w:pPr>
        <w:pStyle w:val="TOC1"/>
        <w:rPr>
          <w:rFonts w:asciiTheme="minorHAnsi" w:eastAsiaTheme="minorEastAsia" w:hAnsiTheme="minorHAnsi" w:cstheme="minorBidi"/>
          <w:caps w:val="0"/>
          <w:noProof/>
          <w:sz w:val="22"/>
          <w:szCs w:val="22"/>
        </w:rPr>
      </w:pPr>
      <w:hyperlink w:anchor="_Toc55226825" w:history="1">
        <w:r w:rsidRPr="00BB748E" w:rsidR="00445723">
          <w:rPr>
            <w:rStyle w:val="Hyperlink"/>
            <w:noProof/>
          </w:rPr>
          <w:t>II.</w:t>
        </w:r>
        <w:r w:rsidR="00445723">
          <w:rPr>
            <w:rFonts w:asciiTheme="minorHAnsi" w:eastAsiaTheme="minorEastAsia" w:hAnsiTheme="minorHAnsi" w:cstheme="minorBidi"/>
            <w:caps w:val="0"/>
            <w:noProof/>
            <w:sz w:val="22"/>
            <w:szCs w:val="22"/>
          </w:rPr>
          <w:tab/>
        </w:r>
        <w:r w:rsidRPr="00BB748E" w:rsidR="00445723">
          <w:rPr>
            <w:rStyle w:val="Hyperlink"/>
            <w:noProof/>
          </w:rPr>
          <w:t>THE DEPOSITION OF MR. FANELLI IS WITHIN THE SCOPE OF THE PUCO’S REVIEW OF FIRSTENERGY’S HB 6 SPENDING</w:t>
        </w:r>
        <w:r w:rsidR="00445723">
          <w:rPr>
            <w:noProof/>
            <w:webHidden/>
          </w:rPr>
          <w:tab/>
        </w:r>
        <w:r w:rsidR="00445723">
          <w:rPr>
            <w:noProof/>
            <w:webHidden/>
          </w:rPr>
          <w:fldChar w:fldCharType="begin"/>
        </w:r>
        <w:r w:rsidR="00445723">
          <w:rPr>
            <w:noProof/>
            <w:webHidden/>
          </w:rPr>
          <w:instrText xml:space="preserve"> PAGEREF _Toc55226825 \h </w:instrText>
        </w:r>
        <w:r w:rsidR="00445723">
          <w:rPr>
            <w:noProof/>
            <w:webHidden/>
          </w:rPr>
          <w:fldChar w:fldCharType="separate"/>
        </w:r>
        <w:r w:rsidR="0012065C">
          <w:rPr>
            <w:noProof/>
            <w:webHidden/>
          </w:rPr>
          <w:t>6</w:t>
        </w:r>
        <w:r w:rsidR="00445723">
          <w:rPr>
            <w:noProof/>
            <w:webHidden/>
          </w:rPr>
          <w:fldChar w:fldCharType="end"/>
        </w:r>
      </w:hyperlink>
    </w:p>
    <w:p w:rsidR="00392097" w14:paraId="0F6F0A79" w14:textId="3E3C1E8B">
      <w:pPr>
        <w:pStyle w:val="TOC1"/>
        <w:rPr>
          <w:rFonts w:asciiTheme="minorHAnsi" w:eastAsiaTheme="minorEastAsia" w:hAnsiTheme="minorHAnsi" w:cstheme="minorBidi"/>
          <w:caps w:val="0"/>
          <w:noProof/>
          <w:sz w:val="22"/>
          <w:szCs w:val="22"/>
        </w:rPr>
      </w:pPr>
      <w:hyperlink w:anchor="_Toc55226826" w:history="1">
        <w:r w:rsidRPr="00BB748E" w:rsidR="00445723">
          <w:rPr>
            <w:rStyle w:val="Hyperlink"/>
            <w:noProof/>
          </w:rPr>
          <w:t>III.</w:t>
        </w:r>
        <w:r w:rsidR="00445723">
          <w:rPr>
            <w:rFonts w:asciiTheme="minorHAnsi" w:eastAsiaTheme="minorEastAsia" w:hAnsiTheme="minorHAnsi" w:cstheme="minorBidi"/>
            <w:caps w:val="0"/>
            <w:noProof/>
            <w:sz w:val="22"/>
            <w:szCs w:val="22"/>
          </w:rPr>
          <w:tab/>
        </w:r>
        <w:r w:rsidRPr="00BB748E" w:rsidR="00445723">
          <w:rPr>
            <w:rStyle w:val="Hyperlink"/>
            <w:noProof/>
          </w:rPr>
          <w:t>OCC HAS AUTHORITY TO REPRESENT OHIO RESIDENTIAL CUSTOMERS IN THIS PROCEEDING</w:t>
        </w:r>
        <w:r w:rsidR="00445723">
          <w:rPr>
            <w:noProof/>
            <w:webHidden/>
          </w:rPr>
          <w:tab/>
        </w:r>
        <w:r w:rsidR="00445723">
          <w:rPr>
            <w:noProof/>
            <w:webHidden/>
          </w:rPr>
          <w:fldChar w:fldCharType="begin"/>
        </w:r>
        <w:r w:rsidR="00445723">
          <w:rPr>
            <w:noProof/>
            <w:webHidden/>
          </w:rPr>
          <w:instrText xml:space="preserve"> PAGEREF _Toc55226826 \h </w:instrText>
        </w:r>
        <w:r w:rsidR="00445723">
          <w:rPr>
            <w:noProof/>
            <w:webHidden/>
          </w:rPr>
          <w:fldChar w:fldCharType="separate"/>
        </w:r>
        <w:r w:rsidR="0012065C">
          <w:rPr>
            <w:noProof/>
            <w:webHidden/>
          </w:rPr>
          <w:t>8</w:t>
        </w:r>
        <w:r w:rsidR="00445723">
          <w:rPr>
            <w:noProof/>
            <w:webHidden/>
          </w:rPr>
          <w:fldChar w:fldCharType="end"/>
        </w:r>
      </w:hyperlink>
    </w:p>
    <w:p w:rsidR="00392097" w14:paraId="31F1896B" w14:textId="16DFA04A">
      <w:pPr>
        <w:pStyle w:val="TOC1"/>
        <w:rPr>
          <w:rFonts w:asciiTheme="minorHAnsi" w:eastAsiaTheme="minorEastAsia" w:hAnsiTheme="minorHAnsi" w:cstheme="minorBidi"/>
          <w:caps w:val="0"/>
          <w:noProof/>
          <w:sz w:val="22"/>
          <w:szCs w:val="22"/>
        </w:rPr>
      </w:pPr>
      <w:hyperlink w:anchor="_Toc55226827" w:history="1">
        <w:r w:rsidRPr="00BB748E" w:rsidR="00445723">
          <w:rPr>
            <w:rStyle w:val="Hyperlink"/>
            <w:noProof/>
          </w:rPr>
          <w:t>IV.</w:t>
        </w:r>
        <w:r w:rsidR="00445723">
          <w:rPr>
            <w:rFonts w:asciiTheme="minorHAnsi" w:eastAsiaTheme="minorEastAsia" w:hAnsiTheme="minorHAnsi" w:cstheme="minorBidi"/>
            <w:caps w:val="0"/>
            <w:noProof/>
            <w:sz w:val="22"/>
            <w:szCs w:val="22"/>
          </w:rPr>
          <w:tab/>
        </w:r>
        <w:r w:rsidRPr="00BB748E" w:rsidR="00445723">
          <w:rPr>
            <w:rStyle w:val="Hyperlink"/>
            <w:noProof/>
          </w:rPr>
          <w:t>OCC IS ENTITLED TO AMPLE RIGHTS OF DISCOVERY UNDER OHIO LAW, OHIO SUPREME COURT PRECEDENT AND PUCO RULES</w:t>
        </w:r>
        <w:r w:rsidR="00445723">
          <w:rPr>
            <w:noProof/>
            <w:webHidden/>
          </w:rPr>
          <w:tab/>
        </w:r>
        <w:r w:rsidR="00445723">
          <w:rPr>
            <w:noProof/>
            <w:webHidden/>
          </w:rPr>
          <w:fldChar w:fldCharType="begin"/>
        </w:r>
        <w:r w:rsidR="00445723">
          <w:rPr>
            <w:noProof/>
            <w:webHidden/>
          </w:rPr>
          <w:instrText xml:space="preserve"> PAGEREF _Toc55226827 \h </w:instrText>
        </w:r>
        <w:r w:rsidR="00445723">
          <w:rPr>
            <w:noProof/>
            <w:webHidden/>
          </w:rPr>
          <w:fldChar w:fldCharType="separate"/>
        </w:r>
        <w:r w:rsidR="0012065C">
          <w:rPr>
            <w:noProof/>
            <w:webHidden/>
          </w:rPr>
          <w:t>10</w:t>
        </w:r>
        <w:r w:rsidR="00445723">
          <w:rPr>
            <w:noProof/>
            <w:webHidden/>
          </w:rPr>
          <w:fldChar w:fldCharType="end"/>
        </w:r>
      </w:hyperlink>
    </w:p>
    <w:p w:rsidR="00392097" w14:paraId="1A318FF6" w14:textId="6A1375B8">
      <w:pPr>
        <w:pStyle w:val="TOC2"/>
        <w:tabs>
          <w:tab w:val="left" w:pos="1440"/>
        </w:tabs>
        <w:rPr>
          <w:rFonts w:asciiTheme="minorHAnsi" w:eastAsiaTheme="minorEastAsia" w:hAnsiTheme="minorHAnsi" w:cstheme="minorBidi"/>
          <w:noProof/>
          <w:sz w:val="22"/>
          <w:szCs w:val="22"/>
        </w:rPr>
      </w:pPr>
      <w:hyperlink w:anchor="_Toc55226828" w:history="1">
        <w:r w:rsidRPr="00BB748E" w:rsidR="00445723">
          <w:rPr>
            <w:rStyle w:val="Hyperlink"/>
            <w:noProof/>
          </w:rPr>
          <w:t>A.</w:t>
        </w:r>
        <w:r w:rsidR="00445723">
          <w:rPr>
            <w:rFonts w:asciiTheme="minorHAnsi" w:eastAsiaTheme="minorEastAsia" w:hAnsiTheme="minorHAnsi" w:cstheme="minorBidi"/>
            <w:noProof/>
            <w:sz w:val="22"/>
            <w:szCs w:val="22"/>
          </w:rPr>
          <w:tab/>
        </w:r>
        <w:r w:rsidRPr="00BB748E" w:rsidR="00445723">
          <w:rPr>
            <w:rStyle w:val="Hyperlink"/>
            <w:noProof/>
          </w:rPr>
          <w:t>Discovery is needed to shed light on FirstEnergy’s potential spending of customer-collected funds on HB 6.</w:t>
        </w:r>
        <w:r w:rsidR="00445723">
          <w:rPr>
            <w:noProof/>
            <w:webHidden/>
          </w:rPr>
          <w:tab/>
        </w:r>
        <w:r w:rsidR="00445723">
          <w:rPr>
            <w:noProof/>
            <w:webHidden/>
          </w:rPr>
          <w:fldChar w:fldCharType="begin"/>
        </w:r>
        <w:r w:rsidR="00445723">
          <w:rPr>
            <w:noProof/>
            <w:webHidden/>
          </w:rPr>
          <w:instrText xml:space="preserve"> PAGEREF _Toc55226828 \h </w:instrText>
        </w:r>
        <w:r w:rsidR="00445723">
          <w:rPr>
            <w:noProof/>
            <w:webHidden/>
          </w:rPr>
          <w:fldChar w:fldCharType="separate"/>
        </w:r>
        <w:r w:rsidR="0012065C">
          <w:rPr>
            <w:noProof/>
            <w:webHidden/>
          </w:rPr>
          <w:t>13</w:t>
        </w:r>
        <w:r w:rsidR="00445723">
          <w:rPr>
            <w:noProof/>
            <w:webHidden/>
          </w:rPr>
          <w:fldChar w:fldCharType="end"/>
        </w:r>
      </w:hyperlink>
    </w:p>
    <w:p w:rsidR="00392097" w14:paraId="7A6C8BC8" w14:textId="6F7F8AF4">
      <w:pPr>
        <w:pStyle w:val="TOC2"/>
        <w:tabs>
          <w:tab w:val="left" w:pos="1440"/>
        </w:tabs>
        <w:rPr>
          <w:rFonts w:asciiTheme="minorHAnsi" w:eastAsiaTheme="minorEastAsia" w:hAnsiTheme="minorHAnsi" w:cstheme="minorBidi"/>
          <w:noProof/>
          <w:sz w:val="22"/>
          <w:szCs w:val="22"/>
        </w:rPr>
      </w:pPr>
      <w:hyperlink w:anchor="_Toc55226829" w:history="1">
        <w:r w:rsidRPr="00BB748E" w:rsidR="00445723">
          <w:rPr>
            <w:rStyle w:val="Hyperlink"/>
            <w:noProof/>
          </w:rPr>
          <w:t>B.</w:t>
        </w:r>
        <w:r w:rsidR="00445723">
          <w:rPr>
            <w:rFonts w:asciiTheme="minorHAnsi" w:eastAsiaTheme="minorEastAsia" w:hAnsiTheme="minorHAnsi" w:cstheme="minorBidi"/>
            <w:noProof/>
            <w:sz w:val="22"/>
            <w:szCs w:val="22"/>
          </w:rPr>
          <w:tab/>
        </w:r>
        <w:r w:rsidRPr="00BB748E" w:rsidR="00445723">
          <w:rPr>
            <w:rStyle w:val="Hyperlink"/>
            <w:noProof/>
          </w:rPr>
          <w:t>Depositions are fundamental to the fact-finding process.</w:t>
        </w:r>
        <w:r w:rsidR="00445723">
          <w:rPr>
            <w:noProof/>
            <w:webHidden/>
          </w:rPr>
          <w:tab/>
        </w:r>
        <w:r w:rsidR="00445723">
          <w:rPr>
            <w:noProof/>
            <w:webHidden/>
          </w:rPr>
          <w:fldChar w:fldCharType="begin"/>
        </w:r>
        <w:r w:rsidR="00445723">
          <w:rPr>
            <w:noProof/>
            <w:webHidden/>
          </w:rPr>
          <w:instrText xml:space="preserve"> PAGEREF _Toc55226829 \h </w:instrText>
        </w:r>
        <w:r w:rsidR="00445723">
          <w:rPr>
            <w:noProof/>
            <w:webHidden/>
          </w:rPr>
          <w:fldChar w:fldCharType="separate"/>
        </w:r>
        <w:r w:rsidR="0012065C">
          <w:rPr>
            <w:noProof/>
            <w:webHidden/>
          </w:rPr>
          <w:t>16</w:t>
        </w:r>
        <w:r w:rsidR="00445723">
          <w:rPr>
            <w:noProof/>
            <w:webHidden/>
          </w:rPr>
          <w:fldChar w:fldCharType="end"/>
        </w:r>
      </w:hyperlink>
    </w:p>
    <w:p w:rsidR="00392097" w14:paraId="313B796F" w14:textId="7E2161D7">
      <w:pPr>
        <w:pStyle w:val="TOC1"/>
        <w:rPr>
          <w:rFonts w:asciiTheme="minorHAnsi" w:eastAsiaTheme="minorEastAsia" w:hAnsiTheme="minorHAnsi" w:cstheme="minorBidi"/>
          <w:caps w:val="0"/>
          <w:noProof/>
          <w:sz w:val="22"/>
          <w:szCs w:val="22"/>
        </w:rPr>
      </w:pPr>
      <w:hyperlink w:anchor="_Toc55226830" w:history="1">
        <w:r w:rsidRPr="00BB748E" w:rsidR="00445723">
          <w:rPr>
            <w:rStyle w:val="Hyperlink"/>
            <w:noProof/>
          </w:rPr>
          <w:t>V.</w:t>
        </w:r>
        <w:r w:rsidR="00445723">
          <w:rPr>
            <w:rFonts w:asciiTheme="minorHAnsi" w:eastAsiaTheme="minorEastAsia" w:hAnsiTheme="minorHAnsi" w:cstheme="minorBidi"/>
            <w:caps w:val="0"/>
            <w:noProof/>
            <w:sz w:val="22"/>
            <w:szCs w:val="22"/>
          </w:rPr>
          <w:tab/>
        </w:r>
        <w:r w:rsidRPr="00BB748E" w:rsidR="00445723">
          <w:rPr>
            <w:rStyle w:val="Hyperlink"/>
            <w:noProof/>
          </w:rPr>
          <w:t>ALLOWING OCC TO DEPOSE MR. FANELLI IS NOT OPPRESSIVE AND WILL NOT IMPOSE AN UNDUE BURDEN OR EXPENSE UPON FIRSTENERGY.</w:t>
        </w:r>
        <w:r w:rsidR="00445723">
          <w:rPr>
            <w:noProof/>
            <w:webHidden/>
          </w:rPr>
          <w:tab/>
        </w:r>
        <w:r w:rsidR="00445723">
          <w:rPr>
            <w:noProof/>
            <w:webHidden/>
          </w:rPr>
          <w:fldChar w:fldCharType="begin"/>
        </w:r>
        <w:r w:rsidR="00445723">
          <w:rPr>
            <w:noProof/>
            <w:webHidden/>
          </w:rPr>
          <w:instrText xml:space="preserve"> PAGEREF _Toc55226830 \h </w:instrText>
        </w:r>
        <w:r w:rsidR="00445723">
          <w:rPr>
            <w:noProof/>
            <w:webHidden/>
          </w:rPr>
          <w:fldChar w:fldCharType="separate"/>
        </w:r>
        <w:r w:rsidR="0012065C">
          <w:rPr>
            <w:noProof/>
            <w:webHidden/>
          </w:rPr>
          <w:t>18</w:t>
        </w:r>
        <w:r w:rsidR="00445723">
          <w:rPr>
            <w:noProof/>
            <w:webHidden/>
          </w:rPr>
          <w:fldChar w:fldCharType="end"/>
        </w:r>
      </w:hyperlink>
    </w:p>
    <w:p w:rsidR="00392097" w14:paraId="51AE61E1" w14:textId="3C774BB8">
      <w:pPr>
        <w:pStyle w:val="TOC1"/>
        <w:rPr>
          <w:rFonts w:asciiTheme="minorHAnsi" w:eastAsiaTheme="minorEastAsia" w:hAnsiTheme="minorHAnsi" w:cstheme="minorBidi"/>
          <w:caps w:val="0"/>
          <w:noProof/>
          <w:sz w:val="22"/>
          <w:szCs w:val="22"/>
        </w:rPr>
      </w:pPr>
      <w:hyperlink w:anchor="_Toc55226831" w:history="1">
        <w:r w:rsidRPr="00BB748E" w:rsidR="00445723">
          <w:rPr>
            <w:rStyle w:val="Hyperlink"/>
            <w:noProof/>
          </w:rPr>
          <w:t>VI.</w:t>
        </w:r>
        <w:r w:rsidR="00445723">
          <w:rPr>
            <w:rFonts w:asciiTheme="minorHAnsi" w:eastAsiaTheme="minorEastAsia" w:hAnsiTheme="minorHAnsi" w:cstheme="minorBidi"/>
            <w:caps w:val="0"/>
            <w:noProof/>
            <w:sz w:val="22"/>
            <w:szCs w:val="22"/>
          </w:rPr>
          <w:tab/>
        </w:r>
        <w:r w:rsidRPr="00BB748E" w:rsidR="00445723">
          <w:rPr>
            <w:rStyle w:val="Hyperlink"/>
            <w:noProof/>
          </w:rPr>
          <w:t>CONCLUSION</w:t>
        </w:r>
        <w:r w:rsidR="00445723">
          <w:rPr>
            <w:noProof/>
            <w:webHidden/>
          </w:rPr>
          <w:tab/>
        </w:r>
        <w:r w:rsidR="00445723">
          <w:rPr>
            <w:noProof/>
            <w:webHidden/>
          </w:rPr>
          <w:fldChar w:fldCharType="begin"/>
        </w:r>
        <w:r w:rsidR="00445723">
          <w:rPr>
            <w:noProof/>
            <w:webHidden/>
          </w:rPr>
          <w:instrText xml:space="preserve"> PAGEREF _Toc55226831 \h </w:instrText>
        </w:r>
        <w:r w:rsidR="00445723">
          <w:rPr>
            <w:noProof/>
            <w:webHidden/>
          </w:rPr>
          <w:fldChar w:fldCharType="separate"/>
        </w:r>
        <w:r w:rsidR="0012065C">
          <w:rPr>
            <w:noProof/>
            <w:webHidden/>
          </w:rPr>
          <w:t>19</w:t>
        </w:r>
        <w:r w:rsidR="00445723">
          <w:rPr>
            <w:noProof/>
            <w:webHidden/>
          </w:rPr>
          <w:fldChar w:fldCharType="end"/>
        </w:r>
      </w:hyperlink>
    </w:p>
    <w:p w:rsidR="00C94625" w:rsidRPr="00BE2D22" w:rsidP="005F4A38" w14:paraId="7707098C" w14:textId="29EDC450">
      <w:pPr>
        <w:pStyle w:val="HTMLPreformatted"/>
        <w:jc w:val="center"/>
        <w:rPr>
          <w:rFonts w:ascii="Times New Roman" w:hAnsi="Times New Roman" w:cs="Times New Roman"/>
          <w:b/>
          <w:bCs/>
          <w:sz w:val="24"/>
          <w:szCs w:val="24"/>
        </w:rPr>
      </w:pPr>
      <w:r w:rsidRPr="00BE2D22">
        <w:rPr>
          <w:rFonts w:ascii="Times New Roman" w:hAnsi="Times New Roman" w:cs="Times New Roman"/>
          <w:b/>
          <w:bCs/>
          <w:sz w:val="24"/>
          <w:szCs w:val="24"/>
        </w:rPr>
        <w:fldChar w:fldCharType="end"/>
      </w:r>
    </w:p>
    <w:p w:rsidR="00C94625" w:rsidRPr="00BE2D22" w:rsidP="005F4A38" w14:paraId="5E3EFE48" w14:textId="77777777">
      <w:pPr>
        <w:pStyle w:val="HTMLPreformatted"/>
        <w:jc w:val="center"/>
        <w:rPr>
          <w:rFonts w:ascii="Times New Roman" w:hAnsi="Times New Roman" w:cs="Times New Roman"/>
          <w:b/>
          <w:bCs/>
          <w:sz w:val="24"/>
          <w:szCs w:val="24"/>
        </w:rPr>
      </w:pPr>
    </w:p>
    <w:p w:rsidR="00C94625" w:rsidRPr="00BE2D22" w:rsidP="005F4A38" w14:paraId="7C4F1B42" w14:textId="77777777">
      <w:pPr>
        <w:pStyle w:val="HTMLPreformatted"/>
        <w:jc w:val="center"/>
        <w:rPr>
          <w:rFonts w:ascii="Times New Roman" w:hAnsi="Times New Roman" w:cs="Times New Roman"/>
          <w:b/>
          <w:bCs/>
          <w:sz w:val="24"/>
          <w:szCs w:val="24"/>
        </w:rPr>
      </w:pPr>
    </w:p>
    <w:p w:rsidR="00C94625" w:rsidRPr="00BE2D22" w:rsidP="005F4A38" w14:paraId="7AEC440C" w14:textId="77777777">
      <w:pPr>
        <w:pStyle w:val="HTMLPreformatted"/>
        <w:jc w:val="center"/>
        <w:rPr>
          <w:rFonts w:ascii="Times New Roman" w:hAnsi="Times New Roman" w:cs="Times New Roman"/>
          <w:b/>
          <w:bCs/>
          <w:sz w:val="24"/>
          <w:szCs w:val="24"/>
        </w:rPr>
      </w:pPr>
    </w:p>
    <w:p w:rsidR="00C94625" w:rsidRPr="00BE2D22" w:rsidP="005F4A38" w14:paraId="501E15F3" w14:textId="77777777">
      <w:pPr>
        <w:pStyle w:val="HTMLPreformatted"/>
        <w:jc w:val="center"/>
        <w:rPr>
          <w:rFonts w:ascii="Times New Roman" w:hAnsi="Times New Roman" w:cs="Times New Roman"/>
          <w:b/>
          <w:bCs/>
          <w:sz w:val="24"/>
          <w:szCs w:val="24"/>
        </w:rPr>
      </w:pPr>
    </w:p>
    <w:p w:rsidR="00C94625" w:rsidRPr="00BE2D22" w:rsidP="005F4A38" w14:paraId="1453DFE4" w14:textId="77777777">
      <w:pPr>
        <w:pStyle w:val="HTMLPreformatted"/>
        <w:jc w:val="center"/>
        <w:rPr>
          <w:rFonts w:ascii="Times New Roman" w:hAnsi="Times New Roman" w:cs="Times New Roman"/>
          <w:b/>
          <w:bCs/>
          <w:sz w:val="24"/>
          <w:szCs w:val="24"/>
        </w:rPr>
      </w:pPr>
    </w:p>
    <w:p w:rsidR="00C94625" w:rsidRPr="00BE2D22" w:rsidP="005F4A38" w14:paraId="35F737D3" w14:textId="77777777">
      <w:pPr>
        <w:pStyle w:val="HTMLPreformatted"/>
        <w:jc w:val="center"/>
        <w:rPr>
          <w:rFonts w:ascii="Times New Roman" w:hAnsi="Times New Roman" w:cs="Times New Roman"/>
          <w:b/>
          <w:bCs/>
          <w:sz w:val="24"/>
          <w:szCs w:val="24"/>
        </w:rPr>
      </w:pPr>
    </w:p>
    <w:p w:rsidR="00C94625" w:rsidRPr="00BE2D22" w:rsidP="005F4A38" w14:paraId="7C965F6E" w14:textId="77777777">
      <w:pPr>
        <w:pStyle w:val="HTMLPreformatted"/>
        <w:jc w:val="center"/>
        <w:rPr>
          <w:rFonts w:ascii="Times New Roman" w:hAnsi="Times New Roman" w:cs="Times New Roman"/>
          <w:b/>
          <w:bCs/>
          <w:sz w:val="24"/>
          <w:szCs w:val="24"/>
        </w:rPr>
      </w:pPr>
    </w:p>
    <w:p w:rsidR="00BE2D22" w:rsidRPr="00BE2D22" w:rsidP="005F4A38" w14:paraId="2C212070" w14:textId="77777777">
      <w:pPr>
        <w:pStyle w:val="HTMLPreformatted"/>
        <w:jc w:val="center"/>
        <w:rPr>
          <w:rFonts w:ascii="Times New Roman" w:hAnsi="Times New Roman" w:cs="Times New Roman"/>
          <w:b/>
          <w:bCs/>
          <w:sz w:val="24"/>
          <w:szCs w:val="24"/>
        </w:rPr>
        <w:sectPr w:rsidSect="00C94625">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5F4A38" w:rsidRPr="00BE2D22" w:rsidP="005F4A38" w14:paraId="613F15A0" w14:textId="500861BD">
      <w:pPr>
        <w:pStyle w:val="HTMLPreformatted"/>
        <w:jc w:val="center"/>
        <w:rPr>
          <w:rFonts w:ascii="Times New Roman" w:hAnsi="Times New Roman" w:cs="Times New Roman"/>
          <w:b/>
          <w:bCs/>
          <w:sz w:val="24"/>
          <w:szCs w:val="24"/>
        </w:rPr>
      </w:pPr>
      <w:r w:rsidRPr="00BE2D22">
        <w:rPr>
          <w:rFonts w:ascii="Times New Roman" w:hAnsi="Times New Roman" w:cs="Times New Roman"/>
          <w:b/>
          <w:bCs/>
          <w:sz w:val="24"/>
          <w:szCs w:val="24"/>
        </w:rPr>
        <w:t>BEFORE</w:t>
      </w:r>
    </w:p>
    <w:p w:rsidR="005F4A38" w:rsidRPr="00BE2D22" w:rsidP="005F4A38" w14:paraId="4C2D733E" w14:textId="77777777">
      <w:pPr>
        <w:pStyle w:val="HTMLPreformatted"/>
        <w:jc w:val="center"/>
        <w:rPr>
          <w:rFonts w:ascii="Times New Roman" w:hAnsi="Times New Roman" w:cs="Times New Roman"/>
          <w:b/>
          <w:bCs/>
          <w:sz w:val="24"/>
          <w:szCs w:val="24"/>
        </w:rPr>
      </w:pPr>
      <w:r w:rsidRPr="00BE2D22">
        <w:rPr>
          <w:rFonts w:ascii="Times New Roman" w:hAnsi="Times New Roman" w:cs="Times New Roman"/>
          <w:b/>
          <w:bCs/>
          <w:sz w:val="24"/>
          <w:szCs w:val="24"/>
        </w:rPr>
        <w:t>THE PUBLIC UTILITIES COMMISSION OF OHIO</w:t>
      </w:r>
    </w:p>
    <w:p w:rsidR="005F4A38" w:rsidRPr="00BE2D22" w:rsidP="005F4A38" w14:paraId="06AADC61"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A101445" w14:textId="77777777" w:rsidTr="00700C89">
        <w:tblPrEx>
          <w:tblW w:w="9092" w:type="dxa"/>
          <w:tblLook w:val="01E0"/>
        </w:tblPrEx>
        <w:trPr>
          <w:trHeight w:val="807"/>
        </w:trPr>
        <w:tc>
          <w:tcPr>
            <w:tcW w:w="4332" w:type="dxa"/>
            <w:shd w:val="clear" w:color="auto" w:fill="auto"/>
          </w:tcPr>
          <w:p w:rsidR="005F4A38" w:rsidRPr="00BE2D22" w:rsidP="00700C89" w14:paraId="63D53A52"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In the Matter of the Review of the Political and Charitable Spending by Ohio Edison Company, The Cleveland Electric Illuminating Company, and the Toledo Edison Company.</w:t>
            </w:r>
          </w:p>
        </w:tc>
        <w:tc>
          <w:tcPr>
            <w:tcW w:w="360" w:type="dxa"/>
            <w:shd w:val="clear" w:color="auto" w:fill="auto"/>
          </w:tcPr>
          <w:p w:rsidR="005F4A38" w:rsidRPr="00BE2D22" w:rsidP="00700C89" w14:paraId="062B47C4"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5F4A38" w:rsidRPr="00BE2D22" w:rsidP="00700C89" w14:paraId="456CD3DD"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5F4A38" w:rsidRPr="00BE2D22" w:rsidP="00700C89" w14:paraId="7B089ED2"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5F4A38" w:rsidRPr="00BE2D22" w:rsidP="00700C89" w14:paraId="14C1E0D1"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p w:rsidR="005F4A38" w:rsidRPr="00BE2D22" w:rsidP="00700C89" w14:paraId="6CDA7595"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w:t>
            </w:r>
          </w:p>
        </w:tc>
        <w:tc>
          <w:tcPr>
            <w:tcW w:w="4400" w:type="dxa"/>
            <w:shd w:val="clear" w:color="auto" w:fill="auto"/>
          </w:tcPr>
          <w:p w:rsidR="005F4A38" w:rsidRPr="00BE2D22" w:rsidP="00700C89" w14:paraId="13DDD629" w14:textId="77777777">
            <w:pPr>
              <w:pStyle w:val="HTMLPreformatted"/>
              <w:rPr>
                <w:rFonts w:ascii="Times New Roman" w:hAnsi="Times New Roman" w:cs="Times New Roman"/>
                <w:sz w:val="24"/>
                <w:szCs w:val="24"/>
              </w:rPr>
            </w:pPr>
          </w:p>
          <w:p w:rsidR="005F4A38" w:rsidRPr="00BE2D22" w:rsidP="00700C89" w14:paraId="406D8E47" w14:textId="77777777">
            <w:pPr>
              <w:pStyle w:val="HTMLPreformatted"/>
              <w:rPr>
                <w:rFonts w:ascii="Times New Roman" w:hAnsi="Times New Roman" w:cs="Times New Roman"/>
                <w:sz w:val="24"/>
                <w:szCs w:val="24"/>
              </w:rPr>
            </w:pPr>
            <w:r w:rsidRPr="00BE2D22">
              <w:rPr>
                <w:rFonts w:ascii="Times New Roman" w:hAnsi="Times New Roman" w:cs="Times New Roman"/>
                <w:sz w:val="24"/>
                <w:szCs w:val="24"/>
              </w:rPr>
              <w:t>Case No. 20-1502-EL-UNC</w:t>
            </w:r>
          </w:p>
          <w:p w:rsidR="005F4A38" w:rsidRPr="00BE2D22" w:rsidP="00700C89" w14:paraId="45F81A27" w14:textId="77777777">
            <w:pPr>
              <w:pStyle w:val="HTMLPreformatted"/>
              <w:rPr>
                <w:rFonts w:ascii="Times New Roman" w:hAnsi="Times New Roman" w:cs="Times New Roman"/>
                <w:sz w:val="24"/>
                <w:szCs w:val="24"/>
              </w:rPr>
            </w:pPr>
          </w:p>
        </w:tc>
      </w:tr>
    </w:tbl>
    <w:p w:rsidR="005F4A38" w:rsidRPr="00BE2D22" w:rsidP="005F4A38" w14:paraId="35E68D8F" w14:textId="77777777">
      <w:pPr>
        <w:pBdr>
          <w:bottom w:val="single" w:sz="12" w:space="1" w:color="auto"/>
        </w:pBdr>
        <w:spacing w:before="4"/>
        <w:rPr>
          <w:szCs w:val="24"/>
        </w:rPr>
      </w:pPr>
    </w:p>
    <w:p w:rsidR="005F4A38" w:rsidRPr="00BE2D22" w:rsidP="005F4A38" w14:paraId="68D16F67" w14:textId="77777777">
      <w:pPr>
        <w:tabs>
          <w:tab w:val="left" w:pos="-720"/>
        </w:tabs>
        <w:suppressAutoHyphens/>
        <w:jc w:val="center"/>
        <w:rPr>
          <w:b/>
          <w:spacing w:val="-3"/>
          <w:szCs w:val="24"/>
        </w:rPr>
      </w:pPr>
    </w:p>
    <w:p w:rsidR="005F4A38" w:rsidRPr="00BE2D22" w:rsidP="005F4A38" w14:paraId="3037E081" w14:textId="3F7EE7F9">
      <w:pPr>
        <w:tabs>
          <w:tab w:val="left" w:pos="-720"/>
        </w:tabs>
        <w:suppressAutoHyphens/>
        <w:jc w:val="center"/>
        <w:rPr>
          <w:b/>
          <w:spacing w:val="-3"/>
          <w:szCs w:val="24"/>
        </w:rPr>
      </w:pPr>
      <w:r w:rsidRPr="00BE2D22">
        <w:rPr>
          <w:b/>
          <w:spacing w:val="-3"/>
          <w:szCs w:val="24"/>
        </w:rPr>
        <w:t>MEMORANDUM CONTRA FIRSTENERGY’</w:t>
      </w:r>
      <w:r w:rsidRPr="00BE2D22" w:rsidR="005651AF">
        <w:rPr>
          <w:b/>
          <w:spacing w:val="-3"/>
          <w:szCs w:val="24"/>
        </w:rPr>
        <w:t>S</w:t>
      </w:r>
      <w:r w:rsidRPr="00BE2D22">
        <w:rPr>
          <w:b/>
          <w:spacing w:val="-3"/>
          <w:szCs w:val="24"/>
        </w:rPr>
        <w:t xml:space="preserve"> </w:t>
      </w:r>
      <w:r w:rsidR="00D80F88">
        <w:rPr>
          <w:b/>
          <w:spacing w:val="-3"/>
          <w:szCs w:val="24"/>
        </w:rPr>
        <w:t xml:space="preserve"> </w:t>
      </w:r>
      <w:r w:rsidRPr="00BE2D22">
        <w:rPr>
          <w:b/>
          <w:spacing w:val="-3"/>
          <w:szCs w:val="24"/>
        </w:rPr>
        <w:t>MOTION FOR PRO</w:t>
      </w:r>
      <w:r w:rsidRPr="00BE2D22" w:rsidR="008C6D7C">
        <w:rPr>
          <w:b/>
          <w:spacing w:val="-3"/>
          <w:szCs w:val="24"/>
        </w:rPr>
        <w:t>T</w:t>
      </w:r>
      <w:r w:rsidRPr="00BE2D22">
        <w:rPr>
          <w:b/>
          <w:spacing w:val="-3"/>
          <w:szCs w:val="24"/>
        </w:rPr>
        <w:t>ECTIVE ORDER</w:t>
      </w:r>
      <w:r w:rsidRPr="00BE2D22" w:rsidR="00AA3ED9">
        <w:rPr>
          <w:b/>
          <w:spacing w:val="-3"/>
          <w:szCs w:val="24"/>
        </w:rPr>
        <w:t xml:space="preserve"> TO </w:t>
      </w:r>
      <w:r w:rsidRPr="00BE2D22" w:rsidR="005651AF">
        <w:rPr>
          <w:b/>
          <w:spacing w:val="-3"/>
          <w:szCs w:val="24"/>
        </w:rPr>
        <w:t xml:space="preserve">DENY </w:t>
      </w:r>
      <w:r w:rsidRPr="00BE2D22" w:rsidR="00AA3ED9">
        <w:rPr>
          <w:b/>
          <w:spacing w:val="-3"/>
          <w:szCs w:val="24"/>
        </w:rPr>
        <w:t>DISCOVERY</w:t>
      </w:r>
      <w:r w:rsidRPr="00BE2D22" w:rsidR="005651AF">
        <w:rPr>
          <w:b/>
          <w:spacing w:val="-3"/>
          <w:szCs w:val="24"/>
        </w:rPr>
        <w:t xml:space="preserve"> INFORMATION FOR OCC</w:t>
      </w:r>
    </w:p>
    <w:p w:rsidR="00E738D4" w:rsidRPr="00BE2D22" w:rsidP="005F4A38" w14:paraId="420926A5" w14:textId="5E338EBF">
      <w:pPr>
        <w:tabs>
          <w:tab w:val="left" w:pos="-720"/>
        </w:tabs>
        <w:suppressAutoHyphens/>
        <w:jc w:val="center"/>
        <w:rPr>
          <w:b/>
          <w:spacing w:val="-3"/>
          <w:szCs w:val="24"/>
        </w:rPr>
      </w:pPr>
      <w:r w:rsidRPr="00BE2D22">
        <w:rPr>
          <w:b/>
          <w:spacing w:val="-3"/>
          <w:szCs w:val="24"/>
        </w:rPr>
        <w:t>BY</w:t>
      </w:r>
    </w:p>
    <w:p w:rsidR="00E738D4" w:rsidRPr="00BE2D22" w:rsidP="005F4A38" w14:paraId="7AF81FEF" w14:textId="512C8D98">
      <w:pPr>
        <w:tabs>
          <w:tab w:val="left" w:pos="-720"/>
        </w:tabs>
        <w:suppressAutoHyphens/>
        <w:jc w:val="center"/>
        <w:rPr>
          <w:b/>
          <w:spacing w:val="-3"/>
          <w:szCs w:val="24"/>
        </w:rPr>
      </w:pPr>
      <w:r w:rsidRPr="00BE2D22">
        <w:rPr>
          <w:b/>
          <w:spacing w:val="-3"/>
          <w:szCs w:val="24"/>
        </w:rPr>
        <w:t>OFFICE OF THE OHIO CONSUMERS’ COUNSEL</w:t>
      </w:r>
    </w:p>
    <w:p w:rsidR="005F4A38" w:rsidRPr="00BE2D22" w:rsidP="005F4A38" w14:paraId="6AAC8C01" w14:textId="77777777">
      <w:pPr>
        <w:pBdr>
          <w:bottom w:val="single" w:sz="12" w:space="1" w:color="auto"/>
        </w:pBdr>
        <w:tabs>
          <w:tab w:val="left" w:pos="-720"/>
        </w:tabs>
        <w:suppressAutoHyphens/>
        <w:jc w:val="center"/>
        <w:rPr>
          <w:b/>
          <w:spacing w:val="-3"/>
          <w:szCs w:val="24"/>
        </w:rPr>
      </w:pPr>
    </w:p>
    <w:p w:rsidR="005F4A38" w:rsidRPr="00BE2D22" w:rsidP="005F4A38" w14:paraId="7883E5B7" w14:textId="77777777">
      <w:pPr>
        <w:ind w:firstLine="720"/>
        <w:rPr>
          <w:rFonts w:eastAsiaTheme="minorHAnsi"/>
          <w:szCs w:val="24"/>
        </w:rPr>
      </w:pPr>
    </w:p>
    <w:p w:rsidR="00BE2D22" w:rsidRPr="00BE2D22" w:rsidP="00024343" w14:paraId="76C05061" w14:textId="77777777">
      <w:pPr>
        <w:spacing w:line="480" w:lineRule="auto"/>
        <w:ind w:firstLine="720"/>
        <w:rPr>
          <w:szCs w:val="24"/>
        </w:rPr>
        <w:sectPr w:rsidSect="004A7521">
          <w:footerReference w:type="first" r:id="rId12"/>
          <w:pgSz w:w="12240" w:h="15840"/>
          <w:pgMar w:top="1440" w:right="1440" w:bottom="1440" w:left="1440" w:header="720" w:footer="720" w:gutter="0"/>
          <w:pgNumType w:start="2"/>
          <w:cols w:space="720"/>
          <w:titlePg/>
          <w:docGrid w:linePitch="360"/>
        </w:sectPr>
      </w:pPr>
      <w:r w:rsidRPr="00BE2D22">
        <w:rPr>
          <w:szCs w:val="24"/>
        </w:rPr>
        <w:t xml:space="preserve">The public transparency and authority of state utility regulation have been put on trial by FirstEnergy in its filing of a motion for a protective order against OCC's use of discovery to investigate </w:t>
      </w:r>
      <w:r w:rsidRPr="00BE2D22" w:rsidR="00937274">
        <w:rPr>
          <w:szCs w:val="24"/>
        </w:rPr>
        <w:t>it</w:t>
      </w:r>
      <w:r w:rsidRPr="00BE2D22">
        <w:rPr>
          <w:szCs w:val="24"/>
        </w:rPr>
        <w:t>. The backdrop for this regulatory dispute includes the extraordinary</w:t>
      </w:r>
      <w:r>
        <w:rPr>
          <w:rStyle w:val="FootnoteReference"/>
          <w:szCs w:val="24"/>
        </w:rPr>
        <w:footnoteReference w:id="2"/>
      </w:r>
      <w:r w:rsidRPr="00BE2D22">
        <w:rPr>
          <w:szCs w:val="24"/>
        </w:rPr>
        <w:t xml:space="preserve"> events alleged in the</w:t>
      </w:r>
      <w:r w:rsidRPr="00BE2D22" w:rsidR="0067020A">
        <w:rPr>
          <w:szCs w:val="24"/>
        </w:rPr>
        <w:t xml:space="preserve"> </w:t>
      </w:r>
      <w:r w:rsidRPr="00BE2D22">
        <w:rPr>
          <w:szCs w:val="24"/>
        </w:rPr>
        <w:t xml:space="preserve">U.S. government's Criminal Complaint, apparently involving FirstEnergy, regarding corruption in the passage of House Bill 6. While FirstEnergy's alleged legislative activities to obtain the billion dollar subsidies of its </w:t>
      </w:r>
      <w:r w:rsidRPr="00BE2D22" w:rsidR="005651AF">
        <w:rPr>
          <w:szCs w:val="24"/>
        </w:rPr>
        <w:t>(</w:t>
      </w:r>
      <w:r w:rsidRPr="00BE2D22">
        <w:rPr>
          <w:szCs w:val="24"/>
        </w:rPr>
        <w:t>former</w:t>
      </w:r>
      <w:r w:rsidRPr="00BE2D22" w:rsidR="005651AF">
        <w:rPr>
          <w:szCs w:val="24"/>
        </w:rPr>
        <w:t>)</w:t>
      </w:r>
      <w:r w:rsidRPr="00BE2D22">
        <w:rPr>
          <w:szCs w:val="24"/>
        </w:rPr>
        <w:t xml:space="preserve"> nuclear power plants and </w:t>
      </w:r>
      <w:r w:rsidRPr="00BE2D22" w:rsidR="005651AF">
        <w:rPr>
          <w:szCs w:val="24"/>
        </w:rPr>
        <w:t>its</w:t>
      </w:r>
      <w:r w:rsidRPr="00BE2D22">
        <w:rPr>
          <w:szCs w:val="24"/>
        </w:rPr>
        <w:t xml:space="preserve"> recession-proofing (decoupling) charge at public expense are extraordinary, the motion FirstEnergy filed against OCC's investigative efforts is about mere </w:t>
      </w:r>
      <w:r w:rsidRPr="00BE2D22">
        <w:rPr>
          <w:i/>
          <w:iCs/>
          <w:szCs w:val="24"/>
        </w:rPr>
        <w:t>ordinary</w:t>
      </w:r>
      <w:r w:rsidRPr="00BE2D22">
        <w:rPr>
          <w:szCs w:val="24"/>
        </w:rPr>
        <w:t xml:space="preserve">  </w:t>
      </w:r>
      <w:r w:rsidRPr="00BE2D22" w:rsidR="00937274">
        <w:rPr>
          <w:szCs w:val="24"/>
        </w:rPr>
        <w:t>discovery procedures</w:t>
      </w:r>
      <w:r w:rsidRPr="00BE2D22">
        <w:rPr>
          <w:szCs w:val="24"/>
        </w:rPr>
        <w:t xml:space="preserve"> that it wrongly challenges. The PUCO should not be misled by FirstEnergy's efforts to get in the way of OCC's discovery rights for consumer protection that exist under law and rule.  The PUCO should deny </w:t>
      </w:r>
      <w:r w:rsidRPr="00BE2D22" w:rsidR="00937274">
        <w:rPr>
          <w:szCs w:val="24"/>
        </w:rPr>
        <w:t>FirstEnergy’s</w:t>
      </w:r>
      <w:r w:rsidRPr="00BE2D22">
        <w:rPr>
          <w:szCs w:val="24"/>
        </w:rPr>
        <w:t xml:space="preserve"> motion.</w:t>
      </w:r>
      <w:r w:rsidRPr="00BE2D22" w:rsidR="00DB2F49">
        <w:rPr>
          <w:szCs w:val="24"/>
        </w:rPr>
        <w:t xml:space="preserve"> </w:t>
      </w:r>
    </w:p>
    <w:p w:rsidR="006352C9" w:rsidRPr="00BE2D22" w:rsidP="00212071" w14:paraId="39094253" w14:textId="70C2E9F8">
      <w:pPr>
        <w:spacing w:line="480" w:lineRule="auto"/>
        <w:ind w:firstLine="720"/>
        <w:rPr>
          <w:szCs w:val="24"/>
        </w:rPr>
      </w:pPr>
      <w:r w:rsidRPr="00BE2D22">
        <w:rPr>
          <w:szCs w:val="24"/>
        </w:rPr>
        <w:t>The PUCO’s review in this case was initiated in response to the September 8</w:t>
      </w:r>
      <w:r w:rsidRPr="00BE2D22">
        <w:rPr>
          <w:szCs w:val="24"/>
          <w:vertAlign w:val="superscript"/>
        </w:rPr>
        <w:t>th</w:t>
      </w:r>
      <w:r w:rsidRPr="00BE2D22">
        <w:rPr>
          <w:szCs w:val="24"/>
        </w:rPr>
        <w:t xml:space="preserve"> consumer protection motions filed by the Office of the Ohio Consumers’ Counsel</w:t>
      </w:r>
      <w:r w:rsidRPr="00BE2D22" w:rsidR="00EB14B1">
        <w:rPr>
          <w:szCs w:val="24"/>
        </w:rPr>
        <w:t xml:space="preserve"> </w:t>
      </w:r>
      <w:r w:rsidRPr="00BE2D22">
        <w:rPr>
          <w:szCs w:val="24"/>
        </w:rPr>
        <w:t>(“OCC”) for a regulatory investigation regarding the alleged federal claims of corruption in the passage of House Bill 6.</w:t>
      </w:r>
      <w:r>
        <w:rPr>
          <w:rStyle w:val="FootnoteReference"/>
          <w:szCs w:val="24"/>
        </w:rPr>
        <w:footnoteReference w:id="3"/>
      </w:r>
      <w:r w:rsidRPr="00BE2D22">
        <w:rPr>
          <w:szCs w:val="24"/>
        </w:rPr>
        <w:t xml:space="preserve"> In those motions OCC asked the PUCO to investigate, among other things, any violations of regulatory principles and practices by FirstEnergy</w:t>
      </w:r>
      <w:r w:rsidRPr="00BE2D22">
        <w:rPr>
          <w:rStyle w:val="FootnoteReference"/>
          <w:rFonts w:eastAsiaTheme="minorHAnsi"/>
          <w:szCs w:val="24"/>
        </w:rPr>
        <w:t xml:space="preserve"> </w:t>
      </w:r>
      <w:r>
        <w:rPr>
          <w:rStyle w:val="FootnoteReference"/>
          <w:rFonts w:eastAsiaTheme="minorHAnsi"/>
          <w:szCs w:val="24"/>
        </w:rPr>
        <w:footnoteReference w:id="4"/>
      </w:r>
      <w:r w:rsidRPr="00BE2D22">
        <w:rPr>
          <w:szCs w:val="24"/>
        </w:rPr>
        <w:t xml:space="preserve"> in the passage of House Bill 6 (“HB 6”). It should be noted that the inquiry FirstEnergy complains of pales in comparison to OCC’s assertions by Interlocutory Appeal of what should be done for consumer protection. </w:t>
      </w:r>
    </w:p>
    <w:p w:rsidR="00131B6C" w:rsidRPr="00BE2D22" w:rsidP="00D336DA" w14:paraId="25ADCBC0" w14:textId="719148DA">
      <w:pPr>
        <w:spacing w:line="480" w:lineRule="auto"/>
        <w:ind w:firstLine="720"/>
        <w:rPr>
          <w:rFonts w:eastAsiaTheme="minorHAnsi"/>
          <w:szCs w:val="24"/>
        </w:rPr>
      </w:pPr>
      <w:r w:rsidRPr="00BE2D22">
        <w:rPr>
          <w:szCs w:val="24"/>
        </w:rPr>
        <w:t xml:space="preserve">But instead </w:t>
      </w:r>
      <w:r w:rsidRPr="00BE2D22" w:rsidR="005F4A38">
        <w:rPr>
          <w:szCs w:val="24"/>
        </w:rPr>
        <w:t xml:space="preserve">of </w:t>
      </w:r>
      <w:r w:rsidRPr="00BE2D22">
        <w:rPr>
          <w:szCs w:val="24"/>
        </w:rPr>
        <w:t>cooperating with the PUCO’s review,</w:t>
      </w:r>
      <w:r w:rsidRPr="00BE2D22" w:rsidR="005F4A38">
        <w:rPr>
          <w:rFonts w:eastAsiaTheme="minorHAnsi"/>
          <w:szCs w:val="24"/>
        </w:rPr>
        <w:t xml:space="preserve"> FirstEnergy </w:t>
      </w:r>
      <w:r w:rsidRPr="00BE2D22">
        <w:rPr>
          <w:rFonts w:eastAsiaTheme="minorHAnsi"/>
          <w:szCs w:val="24"/>
        </w:rPr>
        <w:t xml:space="preserve">instead </w:t>
      </w:r>
      <w:r w:rsidRPr="00BE2D22" w:rsidR="00D065B4">
        <w:rPr>
          <w:rFonts w:eastAsiaTheme="minorHAnsi"/>
          <w:szCs w:val="24"/>
        </w:rPr>
        <w:t>seek</w:t>
      </w:r>
      <w:r w:rsidRPr="00BE2D22" w:rsidR="008C00C4">
        <w:rPr>
          <w:rFonts w:eastAsiaTheme="minorHAnsi"/>
          <w:szCs w:val="24"/>
        </w:rPr>
        <w:t>s</w:t>
      </w:r>
      <w:r w:rsidRPr="00BE2D22" w:rsidR="00D065B4">
        <w:rPr>
          <w:rFonts w:eastAsiaTheme="minorHAnsi"/>
          <w:szCs w:val="24"/>
        </w:rPr>
        <w:t xml:space="preserve"> </w:t>
      </w:r>
      <w:r w:rsidRPr="00BE2D22">
        <w:rPr>
          <w:rFonts w:eastAsiaTheme="minorHAnsi"/>
          <w:szCs w:val="24"/>
        </w:rPr>
        <w:t>to hamper it. FirstEnergy</w:t>
      </w:r>
      <w:r w:rsidRPr="00BE2D22" w:rsidR="00C04936">
        <w:rPr>
          <w:rFonts w:eastAsiaTheme="minorHAnsi"/>
          <w:szCs w:val="24"/>
        </w:rPr>
        <w:t xml:space="preserve"> </w:t>
      </w:r>
      <w:r w:rsidRPr="00BE2D22">
        <w:rPr>
          <w:rFonts w:eastAsiaTheme="minorHAnsi"/>
          <w:szCs w:val="24"/>
        </w:rPr>
        <w:t>filed a motion for protection asking that OCC not be allowed to depose Mr. Fanelli, a</w:t>
      </w:r>
      <w:r w:rsidRPr="00BE2D22" w:rsidR="007550B0">
        <w:rPr>
          <w:rFonts w:eastAsiaTheme="minorHAnsi"/>
          <w:szCs w:val="24"/>
        </w:rPr>
        <w:t>n executive with</w:t>
      </w:r>
      <w:r w:rsidRPr="00BE2D22">
        <w:rPr>
          <w:rFonts w:eastAsiaTheme="minorHAnsi"/>
          <w:szCs w:val="24"/>
        </w:rPr>
        <w:t xml:space="preserve"> FirstEnergy Service </w:t>
      </w:r>
      <w:r w:rsidRPr="00BE2D22" w:rsidR="007550B0">
        <w:rPr>
          <w:rFonts w:eastAsiaTheme="minorHAnsi"/>
          <w:szCs w:val="24"/>
        </w:rPr>
        <w:t>Co.</w:t>
      </w:r>
      <w:r w:rsidRPr="00BE2D22">
        <w:rPr>
          <w:rFonts w:eastAsiaTheme="minorHAnsi"/>
          <w:szCs w:val="24"/>
        </w:rPr>
        <w:t xml:space="preserve"> whose affidavit provides the sole evidence of </w:t>
      </w:r>
      <w:r w:rsidRPr="00BE2D22" w:rsidR="007550B0">
        <w:rPr>
          <w:rFonts w:eastAsiaTheme="minorHAnsi"/>
          <w:szCs w:val="24"/>
        </w:rPr>
        <w:t>FirstEnergy’</w:t>
      </w:r>
      <w:r w:rsidRPr="00BE2D22" w:rsidR="00E738D4">
        <w:rPr>
          <w:rFonts w:eastAsiaTheme="minorHAnsi"/>
          <w:szCs w:val="24"/>
        </w:rPr>
        <w:t>s</w:t>
      </w:r>
      <w:r w:rsidRPr="00BE2D22" w:rsidR="007550B0">
        <w:rPr>
          <w:rFonts w:eastAsiaTheme="minorHAnsi"/>
          <w:szCs w:val="24"/>
        </w:rPr>
        <w:t xml:space="preserve"> </w:t>
      </w:r>
      <w:r w:rsidRPr="00BE2D22">
        <w:rPr>
          <w:rFonts w:eastAsiaTheme="minorHAnsi"/>
          <w:szCs w:val="24"/>
        </w:rPr>
        <w:t xml:space="preserve">asserted </w:t>
      </w:r>
      <w:r w:rsidRPr="00BE2D22" w:rsidR="0083621A">
        <w:rPr>
          <w:rFonts w:eastAsiaTheme="minorHAnsi"/>
          <w:szCs w:val="24"/>
        </w:rPr>
        <w:t>position</w:t>
      </w:r>
      <w:r w:rsidRPr="00BE2D22">
        <w:rPr>
          <w:rFonts w:eastAsiaTheme="minorHAnsi"/>
          <w:szCs w:val="24"/>
        </w:rPr>
        <w:t xml:space="preserve">. To </w:t>
      </w:r>
      <w:r w:rsidRPr="00BE2D22" w:rsidR="00C910CC">
        <w:rPr>
          <w:rFonts w:eastAsiaTheme="minorHAnsi"/>
          <w:szCs w:val="24"/>
        </w:rPr>
        <w:t>thwart the truth</w:t>
      </w:r>
      <w:r w:rsidRPr="00BE2D22" w:rsidR="0083621A">
        <w:rPr>
          <w:rFonts w:eastAsiaTheme="minorHAnsi"/>
          <w:szCs w:val="24"/>
        </w:rPr>
        <w:t>-</w:t>
      </w:r>
      <w:r w:rsidRPr="00BE2D22" w:rsidR="00C910CC">
        <w:rPr>
          <w:rFonts w:eastAsiaTheme="minorHAnsi"/>
          <w:szCs w:val="24"/>
        </w:rPr>
        <w:t xml:space="preserve">finding process, </w:t>
      </w:r>
      <w:r w:rsidRPr="00BE2D22" w:rsidR="00BD3576">
        <w:rPr>
          <w:rFonts w:eastAsiaTheme="minorHAnsi"/>
          <w:szCs w:val="24"/>
        </w:rPr>
        <w:t>FirstEnergy</w:t>
      </w:r>
      <w:r w:rsidRPr="00BE2D22" w:rsidR="00C910CC">
        <w:rPr>
          <w:rFonts w:eastAsiaTheme="minorHAnsi"/>
          <w:szCs w:val="24"/>
        </w:rPr>
        <w:t xml:space="preserve"> challenge</w:t>
      </w:r>
      <w:r w:rsidRPr="00BE2D22" w:rsidR="00E738D4">
        <w:rPr>
          <w:rFonts w:eastAsiaTheme="minorHAnsi"/>
          <w:szCs w:val="24"/>
        </w:rPr>
        <w:t>s</w:t>
      </w:r>
      <w:r w:rsidRPr="00BE2D22" w:rsidR="00C910CC">
        <w:rPr>
          <w:rFonts w:eastAsiaTheme="minorHAnsi"/>
          <w:szCs w:val="24"/>
        </w:rPr>
        <w:t xml:space="preserve"> (among other things) the jurisdiction of the PUCO to review </w:t>
      </w:r>
      <w:r w:rsidRPr="00BE2D22" w:rsidR="006220D5">
        <w:rPr>
          <w:rFonts w:eastAsiaTheme="minorHAnsi"/>
          <w:szCs w:val="24"/>
        </w:rPr>
        <w:t xml:space="preserve">FirstEnergy’s </w:t>
      </w:r>
      <w:r w:rsidRPr="00BE2D22" w:rsidR="00C910CC">
        <w:rPr>
          <w:rFonts w:eastAsiaTheme="minorHAnsi"/>
          <w:szCs w:val="24"/>
        </w:rPr>
        <w:t xml:space="preserve">spending and the jurisdiction of </w:t>
      </w:r>
      <w:r w:rsidRPr="00BE2D22" w:rsidR="00BD3576">
        <w:rPr>
          <w:rFonts w:eastAsiaTheme="minorHAnsi"/>
          <w:szCs w:val="24"/>
        </w:rPr>
        <w:t>OCC</w:t>
      </w:r>
      <w:r w:rsidRPr="00BE2D22" w:rsidR="00C910CC">
        <w:rPr>
          <w:rFonts w:eastAsiaTheme="minorHAnsi"/>
          <w:szCs w:val="24"/>
        </w:rPr>
        <w:t xml:space="preserve"> to represent </w:t>
      </w:r>
      <w:r w:rsidRPr="00BE2D22" w:rsidR="00D065B4">
        <w:rPr>
          <w:rFonts w:eastAsiaTheme="minorHAnsi"/>
          <w:szCs w:val="24"/>
        </w:rPr>
        <w:t>residential customers</w:t>
      </w:r>
      <w:r w:rsidRPr="00BE2D22" w:rsidR="00BD3576">
        <w:rPr>
          <w:rFonts w:eastAsiaTheme="minorHAnsi"/>
          <w:szCs w:val="24"/>
        </w:rPr>
        <w:t xml:space="preserve"> in this case</w:t>
      </w:r>
      <w:r w:rsidRPr="00BE2D22" w:rsidR="00C910CC">
        <w:rPr>
          <w:rFonts w:eastAsiaTheme="minorHAnsi"/>
          <w:szCs w:val="24"/>
        </w:rPr>
        <w:t>.</w:t>
      </w:r>
      <w:r w:rsidRPr="00BE2D22">
        <w:rPr>
          <w:rFonts w:eastAsiaTheme="minorHAnsi"/>
          <w:szCs w:val="24"/>
        </w:rPr>
        <w:t xml:space="preserve"> </w:t>
      </w:r>
    </w:p>
    <w:p w:rsidR="00024343" w:rsidRPr="00BE2D22" w:rsidP="00024343" w14:paraId="2CC4F934" w14:textId="6DA4C6A8">
      <w:pPr>
        <w:spacing w:line="480" w:lineRule="auto"/>
        <w:ind w:firstLine="720"/>
        <w:rPr>
          <w:rFonts w:eastAsiaTheme="minorHAnsi"/>
          <w:szCs w:val="24"/>
        </w:rPr>
      </w:pPr>
      <w:r w:rsidRPr="00BE2D22">
        <w:rPr>
          <w:rFonts w:eastAsiaTheme="minorHAnsi"/>
          <w:szCs w:val="24"/>
        </w:rPr>
        <w:t>FirstEnergy</w:t>
      </w:r>
      <w:r w:rsidRPr="00BE2D22" w:rsidR="00E738D4">
        <w:rPr>
          <w:rFonts w:eastAsiaTheme="minorHAnsi"/>
          <w:szCs w:val="24"/>
        </w:rPr>
        <w:t xml:space="preserve"> is</w:t>
      </w:r>
      <w:r w:rsidRPr="00BE2D22">
        <w:rPr>
          <w:rFonts w:eastAsiaTheme="minorHAnsi"/>
          <w:szCs w:val="24"/>
        </w:rPr>
        <w:t xml:space="preserve"> wrong.  </w:t>
      </w:r>
      <w:r w:rsidRPr="00BE2D22" w:rsidR="00E738D4">
        <w:rPr>
          <w:rFonts w:eastAsiaTheme="minorHAnsi"/>
          <w:szCs w:val="24"/>
        </w:rPr>
        <w:t>FirstEnergy’s</w:t>
      </w:r>
      <w:r w:rsidRPr="00BE2D22" w:rsidR="007550B0">
        <w:rPr>
          <w:rFonts w:eastAsiaTheme="minorHAnsi"/>
          <w:szCs w:val="24"/>
        </w:rPr>
        <w:t xml:space="preserve"> assertions on </w:t>
      </w:r>
      <w:r w:rsidRPr="00BE2D22" w:rsidR="006643AB">
        <w:rPr>
          <w:rFonts w:eastAsiaTheme="minorHAnsi"/>
          <w:szCs w:val="24"/>
        </w:rPr>
        <w:t xml:space="preserve">lack of jurisdiction fly </w:t>
      </w:r>
      <w:r w:rsidRPr="00BE2D22">
        <w:rPr>
          <w:rFonts w:eastAsiaTheme="minorHAnsi"/>
          <w:szCs w:val="24"/>
        </w:rPr>
        <w:t>in the face of Ohio law</w:t>
      </w:r>
      <w:r w:rsidRPr="00BE2D22" w:rsidR="006643AB">
        <w:rPr>
          <w:rFonts w:eastAsiaTheme="minorHAnsi"/>
          <w:szCs w:val="24"/>
        </w:rPr>
        <w:t>.</w:t>
      </w:r>
      <w:r w:rsidRPr="00BE2D22" w:rsidR="00D911C2">
        <w:rPr>
          <w:rFonts w:eastAsiaTheme="minorHAnsi"/>
          <w:szCs w:val="24"/>
        </w:rPr>
        <w:t xml:space="preserve"> </w:t>
      </w:r>
      <w:r w:rsidRPr="00BE2D22" w:rsidR="00D5449F">
        <w:rPr>
          <w:rFonts w:eastAsiaTheme="minorHAnsi"/>
          <w:szCs w:val="24"/>
        </w:rPr>
        <w:t>Jurisdiction over FirstEnergy’s spendin</w:t>
      </w:r>
      <w:r w:rsidRPr="00BE2D22" w:rsidR="00D911C2">
        <w:rPr>
          <w:rFonts w:eastAsiaTheme="minorHAnsi"/>
          <w:szCs w:val="24"/>
        </w:rPr>
        <w:t xml:space="preserve">g lies with both the PUCO and the OCC. And FirstEnergy’s attempt to clamp down on discovery is contrary to the well-established principles </w:t>
      </w:r>
      <w:r w:rsidRPr="00BE2D22" w:rsidR="006643AB">
        <w:rPr>
          <w:rFonts w:eastAsiaTheme="minorHAnsi"/>
          <w:szCs w:val="24"/>
        </w:rPr>
        <w:t xml:space="preserve">in Ohio law, PUCO rules and Supreme Court </w:t>
      </w:r>
      <w:r w:rsidRPr="00BE2D22" w:rsidR="00126D42">
        <w:rPr>
          <w:rFonts w:eastAsiaTheme="minorHAnsi"/>
          <w:szCs w:val="24"/>
        </w:rPr>
        <w:t xml:space="preserve">of Ohio </w:t>
      </w:r>
      <w:r w:rsidRPr="00BE2D22" w:rsidR="006643AB">
        <w:rPr>
          <w:rFonts w:eastAsiaTheme="minorHAnsi"/>
          <w:szCs w:val="24"/>
        </w:rPr>
        <w:t xml:space="preserve">precedent </w:t>
      </w:r>
      <w:r w:rsidRPr="00BE2D22" w:rsidR="00D2487A">
        <w:rPr>
          <w:rFonts w:eastAsiaTheme="minorHAnsi"/>
          <w:szCs w:val="24"/>
        </w:rPr>
        <w:t xml:space="preserve">that allows </w:t>
      </w:r>
      <w:r w:rsidRPr="00BE2D22" w:rsidR="008826CA">
        <w:rPr>
          <w:rFonts w:eastAsiaTheme="minorHAnsi"/>
          <w:szCs w:val="24"/>
        </w:rPr>
        <w:t xml:space="preserve">a </w:t>
      </w:r>
      <w:r w:rsidRPr="00BE2D22" w:rsidR="00D2487A">
        <w:rPr>
          <w:rFonts w:eastAsiaTheme="minorHAnsi"/>
          <w:szCs w:val="24"/>
        </w:rPr>
        <w:t>party “ample discovery” in proceedings before the PUCO</w:t>
      </w:r>
      <w:r w:rsidRPr="00BE2D22" w:rsidR="00BC6557">
        <w:rPr>
          <w:rFonts w:eastAsiaTheme="minorHAnsi"/>
          <w:szCs w:val="24"/>
        </w:rPr>
        <w:t>.</w:t>
      </w:r>
      <w:r w:rsidRPr="00BE2D22" w:rsidR="00D911C2">
        <w:rPr>
          <w:rFonts w:eastAsiaTheme="minorHAnsi"/>
          <w:szCs w:val="24"/>
        </w:rPr>
        <w:t xml:space="preserve">  FirstEnergy</w:t>
      </w:r>
      <w:r w:rsidRPr="00BE2D22" w:rsidR="00E738D4">
        <w:rPr>
          <w:rFonts w:eastAsiaTheme="minorHAnsi"/>
          <w:szCs w:val="24"/>
        </w:rPr>
        <w:t>’s</w:t>
      </w:r>
      <w:r w:rsidRPr="00BE2D22" w:rsidR="00D911C2">
        <w:rPr>
          <w:rFonts w:eastAsiaTheme="minorHAnsi"/>
          <w:szCs w:val="24"/>
        </w:rPr>
        <w:t xml:space="preserve"> </w:t>
      </w:r>
      <w:r w:rsidRPr="00BE2D22">
        <w:rPr>
          <w:rFonts w:eastAsiaTheme="minorHAnsi"/>
          <w:szCs w:val="24"/>
        </w:rPr>
        <w:t>motion</w:t>
      </w:r>
      <w:r w:rsidRPr="00BE2D22" w:rsidR="00D2487A">
        <w:rPr>
          <w:rFonts w:eastAsiaTheme="minorHAnsi"/>
          <w:szCs w:val="24"/>
        </w:rPr>
        <w:t xml:space="preserve"> </w:t>
      </w:r>
      <w:r w:rsidRPr="00BE2D22">
        <w:rPr>
          <w:rFonts w:eastAsiaTheme="minorHAnsi"/>
          <w:szCs w:val="24"/>
        </w:rPr>
        <w:t xml:space="preserve">for protection should be denied outright.  </w:t>
      </w:r>
    </w:p>
    <w:p w:rsidR="00024343" w:rsidRPr="00BE2D22" w:rsidP="00024343" w14:paraId="62538E25" w14:textId="3A5C4027">
      <w:pPr>
        <w:pStyle w:val="BodyTextIndent3"/>
        <w:widowControl w:val="0"/>
        <w:spacing w:after="0" w:line="480" w:lineRule="auto"/>
        <w:ind w:left="0" w:firstLine="720"/>
        <w:rPr>
          <w:rFonts w:cs="Times New Roman"/>
          <w:sz w:val="24"/>
          <w:szCs w:val="24"/>
        </w:rPr>
      </w:pPr>
      <w:r w:rsidRPr="00BE2D22">
        <w:rPr>
          <w:rFonts w:cs="Times New Roman"/>
          <w:sz w:val="24"/>
          <w:szCs w:val="24"/>
        </w:rPr>
        <w:t xml:space="preserve">FirstEnergy should be held accountable to OCC, the PUCO, and ultimately their </w:t>
      </w:r>
      <w:r w:rsidRPr="00BE2D22" w:rsidR="00BC6557">
        <w:rPr>
          <w:rFonts w:cs="Times New Roman"/>
          <w:sz w:val="24"/>
          <w:szCs w:val="24"/>
        </w:rPr>
        <w:t xml:space="preserve">customers </w:t>
      </w:r>
      <w:r w:rsidRPr="00BE2D22">
        <w:rPr>
          <w:rFonts w:cs="Times New Roman"/>
          <w:sz w:val="24"/>
          <w:szCs w:val="24"/>
        </w:rPr>
        <w:t>if they</w:t>
      </w:r>
      <w:r w:rsidRPr="00BE2D22">
        <w:rPr>
          <w:rFonts w:cs="Times New Roman"/>
          <w:b/>
          <w:bCs/>
          <w:sz w:val="24"/>
          <w:szCs w:val="24"/>
        </w:rPr>
        <w:t xml:space="preserve"> spent</w:t>
      </w:r>
      <w:r w:rsidRPr="00BE2D22">
        <w:rPr>
          <w:rFonts w:cs="Times New Roman"/>
          <w:sz w:val="24"/>
          <w:szCs w:val="24"/>
        </w:rPr>
        <w:t xml:space="preserve"> money collected from </w:t>
      </w:r>
      <w:r w:rsidRPr="00BE2D22" w:rsidR="00126D42">
        <w:rPr>
          <w:rFonts w:cs="Times New Roman"/>
          <w:sz w:val="24"/>
          <w:szCs w:val="24"/>
        </w:rPr>
        <w:t xml:space="preserve">customers </w:t>
      </w:r>
      <w:r w:rsidRPr="00BE2D22">
        <w:rPr>
          <w:rFonts w:cs="Times New Roman"/>
          <w:sz w:val="24"/>
          <w:szCs w:val="24"/>
        </w:rPr>
        <w:t xml:space="preserve">on illegal activities (and not on providing </w:t>
      </w:r>
      <w:r w:rsidRPr="00BE2D22" w:rsidR="00BC6557">
        <w:rPr>
          <w:rFonts w:cs="Times New Roman"/>
          <w:sz w:val="24"/>
          <w:szCs w:val="24"/>
        </w:rPr>
        <w:t xml:space="preserve">utility </w:t>
      </w:r>
      <w:r w:rsidRPr="00BE2D22">
        <w:rPr>
          <w:rFonts w:cs="Times New Roman"/>
          <w:sz w:val="24"/>
          <w:szCs w:val="24"/>
        </w:rPr>
        <w:t xml:space="preserve">service to </w:t>
      </w:r>
      <w:r w:rsidRPr="00BE2D22" w:rsidR="00BC6557">
        <w:rPr>
          <w:rFonts w:cs="Times New Roman"/>
          <w:sz w:val="24"/>
          <w:szCs w:val="24"/>
        </w:rPr>
        <w:t>customers</w:t>
      </w:r>
      <w:r w:rsidRPr="00BE2D22">
        <w:rPr>
          <w:rFonts w:cs="Times New Roman"/>
          <w:sz w:val="24"/>
          <w:szCs w:val="24"/>
        </w:rPr>
        <w:t>)</w:t>
      </w:r>
      <w:r w:rsidRPr="00BE2D22" w:rsidR="00BC6557">
        <w:rPr>
          <w:rFonts w:cs="Times New Roman"/>
          <w:sz w:val="24"/>
          <w:szCs w:val="24"/>
        </w:rPr>
        <w:t>.</w:t>
      </w:r>
      <w:r w:rsidRPr="00BE2D22">
        <w:rPr>
          <w:rFonts w:cs="Times New Roman"/>
          <w:sz w:val="24"/>
          <w:szCs w:val="24"/>
        </w:rPr>
        <w:t xml:space="preserve">  OCC and others should be able to pursue discovery into the </w:t>
      </w:r>
      <w:r w:rsidRPr="00BE2D22">
        <w:rPr>
          <w:rFonts w:cs="Times New Roman"/>
          <w:i/>
          <w:iCs/>
          <w:sz w:val="24"/>
          <w:szCs w:val="24"/>
        </w:rPr>
        <w:t>spending</w:t>
      </w:r>
      <w:r w:rsidRPr="00BE2D22">
        <w:rPr>
          <w:rFonts w:cs="Times New Roman"/>
          <w:sz w:val="24"/>
          <w:szCs w:val="24"/>
        </w:rPr>
        <w:t xml:space="preserve"> of FirstEnergy on HB 6 activities and whether </w:t>
      </w:r>
      <w:r w:rsidRPr="00BE2D22" w:rsidR="00BC6557">
        <w:rPr>
          <w:rFonts w:cs="Times New Roman"/>
          <w:sz w:val="24"/>
          <w:szCs w:val="24"/>
        </w:rPr>
        <w:t xml:space="preserve">customers </w:t>
      </w:r>
      <w:r w:rsidRPr="00BE2D22">
        <w:rPr>
          <w:rFonts w:cs="Times New Roman"/>
          <w:sz w:val="24"/>
          <w:szCs w:val="24"/>
        </w:rPr>
        <w:t xml:space="preserve">provided the funds for such spending.  That discovery should not be limited to written discovery but should extend to </w:t>
      </w:r>
      <w:r w:rsidRPr="00BE2D22" w:rsidR="00396F31">
        <w:rPr>
          <w:rFonts w:cs="Times New Roman"/>
          <w:sz w:val="24"/>
          <w:szCs w:val="24"/>
        </w:rPr>
        <w:t xml:space="preserve">a </w:t>
      </w:r>
      <w:r w:rsidRPr="00BE2D22">
        <w:rPr>
          <w:rFonts w:cs="Times New Roman"/>
          <w:sz w:val="24"/>
          <w:szCs w:val="24"/>
        </w:rPr>
        <w:t xml:space="preserve">deposition of </w:t>
      </w:r>
      <w:r w:rsidRPr="00BE2D22" w:rsidR="00396F31">
        <w:rPr>
          <w:rFonts w:cs="Times New Roman"/>
          <w:sz w:val="24"/>
          <w:szCs w:val="24"/>
        </w:rPr>
        <w:t xml:space="preserve">Mr. Fanelli, the </w:t>
      </w:r>
      <w:r w:rsidRPr="00BE2D22" w:rsidR="00BC6557">
        <w:rPr>
          <w:rFonts w:cs="Times New Roman"/>
          <w:sz w:val="24"/>
          <w:szCs w:val="24"/>
        </w:rPr>
        <w:t>FirstEnergy e</w:t>
      </w:r>
      <w:r w:rsidRPr="00BE2D22">
        <w:rPr>
          <w:rFonts w:cs="Times New Roman"/>
          <w:sz w:val="24"/>
          <w:szCs w:val="24"/>
        </w:rPr>
        <w:t>xecutive w</w:t>
      </w:r>
      <w:r w:rsidRPr="00BE2D22" w:rsidR="00396F31">
        <w:rPr>
          <w:rFonts w:cs="Times New Roman"/>
          <w:sz w:val="24"/>
          <w:szCs w:val="24"/>
        </w:rPr>
        <w:t>ho has denied all wrongdoing</w:t>
      </w:r>
      <w:r w:rsidRPr="00BE2D22" w:rsidR="00764BAF">
        <w:rPr>
          <w:rFonts w:cs="Times New Roman"/>
          <w:sz w:val="24"/>
          <w:szCs w:val="24"/>
        </w:rPr>
        <w:t>.</w:t>
      </w:r>
      <w:r w:rsidRPr="00BE2D22" w:rsidR="00396F31">
        <w:rPr>
          <w:rFonts w:cs="Times New Roman"/>
          <w:sz w:val="24"/>
          <w:szCs w:val="24"/>
        </w:rPr>
        <w:t xml:space="preserve"> </w:t>
      </w:r>
      <w:r w:rsidRPr="00BE2D22">
        <w:rPr>
          <w:rFonts w:cs="Times New Roman"/>
          <w:sz w:val="24"/>
          <w:szCs w:val="24"/>
        </w:rPr>
        <w:t xml:space="preserve">Deposing Mr. Fanelli is </w:t>
      </w:r>
      <w:r w:rsidRPr="00BE2D22" w:rsidR="00BC6557">
        <w:rPr>
          <w:rFonts w:cs="Times New Roman"/>
          <w:sz w:val="24"/>
          <w:szCs w:val="24"/>
        </w:rPr>
        <w:t xml:space="preserve">a </w:t>
      </w:r>
      <w:r w:rsidRPr="00BE2D22">
        <w:rPr>
          <w:rFonts w:cs="Times New Roman"/>
          <w:sz w:val="24"/>
          <w:szCs w:val="24"/>
        </w:rPr>
        <w:t xml:space="preserve">necessary </w:t>
      </w:r>
      <w:r w:rsidRPr="00BE2D22" w:rsidR="00FE42BC">
        <w:rPr>
          <w:rFonts w:cs="Times New Roman"/>
          <w:sz w:val="24"/>
          <w:szCs w:val="24"/>
        </w:rPr>
        <w:t xml:space="preserve">first </w:t>
      </w:r>
      <w:r w:rsidRPr="00BE2D22">
        <w:rPr>
          <w:rFonts w:cs="Times New Roman"/>
          <w:sz w:val="24"/>
          <w:szCs w:val="24"/>
        </w:rPr>
        <w:t xml:space="preserve">step </w:t>
      </w:r>
      <w:r w:rsidRPr="00BE2D22" w:rsidR="00FE42BC">
        <w:rPr>
          <w:rFonts w:cs="Times New Roman"/>
          <w:sz w:val="24"/>
          <w:szCs w:val="24"/>
        </w:rPr>
        <w:t xml:space="preserve">to </w:t>
      </w:r>
      <w:r w:rsidRPr="00BE2D22">
        <w:rPr>
          <w:rFonts w:cs="Times New Roman"/>
          <w:sz w:val="24"/>
          <w:szCs w:val="24"/>
        </w:rPr>
        <w:t>provid</w:t>
      </w:r>
      <w:r w:rsidRPr="00BE2D22" w:rsidR="00FE42BC">
        <w:rPr>
          <w:rFonts w:cs="Times New Roman"/>
          <w:sz w:val="24"/>
          <w:szCs w:val="24"/>
        </w:rPr>
        <w:t>ing</w:t>
      </w:r>
      <w:r w:rsidRPr="00BE2D22">
        <w:rPr>
          <w:rFonts w:cs="Times New Roman"/>
          <w:sz w:val="24"/>
          <w:szCs w:val="24"/>
        </w:rPr>
        <w:t xml:space="preserve"> answers</w:t>
      </w:r>
      <w:r w:rsidRPr="00BE2D22" w:rsidR="00BC6557">
        <w:rPr>
          <w:rFonts w:cs="Times New Roman"/>
          <w:sz w:val="24"/>
          <w:szCs w:val="24"/>
        </w:rPr>
        <w:t xml:space="preserve"> to Ohioans</w:t>
      </w:r>
      <w:r w:rsidRPr="00BE2D22">
        <w:rPr>
          <w:rFonts w:cs="Times New Roman"/>
          <w:sz w:val="24"/>
          <w:szCs w:val="24"/>
        </w:rPr>
        <w:t xml:space="preserve">.   </w:t>
      </w:r>
    </w:p>
    <w:p w:rsidR="00024343" w:rsidRPr="00BE2D22" w:rsidP="009018B4" w14:paraId="6C6C8302" w14:textId="32FBFA0D">
      <w:pPr>
        <w:pStyle w:val="Heading1"/>
        <w:rPr>
          <w:rFonts w:ascii="Times New Roman" w:hAnsi="Times New Roman" w:cs="Times New Roman"/>
          <w:szCs w:val="24"/>
        </w:rPr>
      </w:pPr>
      <w:bookmarkStart w:id="1" w:name="_Toc54881589"/>
      <w:bookmarkStart w:id="2" w:name="_Toc55226824"/>
      <w:r w:rsidRPr="00BE2D22">
        <w:rPr>
          <w:rFonts w:ascii="Times New Roman" w:hAnsi="Times New Roman" w:cs="Times New Roman"/>
          <w:szCs w:val="24"/>
        </w:rPr>
        <w:t>THE PUCO HAS JURISDICTION</w:t>
      </w:r>
      <w:r w:rsidRPr="00BE2D22" w:rsidR="00764BAF">
        <w:rPr>
          <w:rFonts w:ascii="Times New Roman" w:hAnsi="Times New Roman" w:cs="Times New Roman"/>
          <w:szCs w:val="24"/>
        </w:rPr>
        <w:t xml:space="preserve">, ON BEHALF OF firstenergy’s CONSUMERS, </w:t>
      </w:r>
      <w:r w:rsidRPr="00BE2D22" w:rsidR="00C80C73">
        <w:rPr>
          <w:rFonts w:ascii="Times New Roman" w:hAnsi="Times New Roman" w:cs="Times New Roman"/>
          <w:szCs w:val="24"/>
        </w:rPr>
        <w:t>TO REVIEW FIRSTENERGY’S HB 6 SPENDING</w:t>
      </w:r>
      <w:bookmarkEnd w:id="1"/>
      <w:bookmarkEnd w:id="2"/>
      <w:r w:rsidRPr="00BE2D22" w:rsidR="00E738D4">
        <w:rPr>
          <w:rFonts w:ascii="Times New Roman" w:hAnsi="Times New Roman" w:cs="Times New Roman"/>
          <w:szCs w:val="24"/>
        </w:rPr>
        <w:t xml:space="preserve"> </w:t>
      </w:r>
    </w:p>
    <w:p w:rsidR="00396F31" w:rsidRPr="00BE2D22" w:rsidP="00126D42" w14:paraId="19A30D7B" w14:textId="2F76A456">
      <w:pPr>
        <w:spacing w:line="480" w:lineRule="auto"/>
        <w:ind w:firstLine="720"/>
        <w:rPr>
          <w:rFonts w:eastAsiaTheme="minorHAnsi"/>
          <w:szCs w:val="24"/>
        </w:rPr>
      </w:pPr>
      <w:r w:rsidRPr="00BE2D22">
        <w:rPr>
          <w:rFonts w:eastAsiaTheme="minorHAnsi"/>
          <w:szCs w:val="24"/>
        </w:rPr>
        <w:t xml:space="preserve">FirstEnergy </w:t>
      </w:r>
      <w:r w:rsidRPr="00BE2D22" w:rsidR="00B01B8A">
        <w:rPr>
          <w:rFonts w:eastAsiaTheme="minorHAnsi"/>
          <w:szCs w:val="24"/>
        </w:rPr>
        <w:t>argue</w:t>
      </w:r>
      <w:r w:rsidRPr="00BE2D22" w:rsidR="008826CA">
        <w:rPr>
          <w:rFonts w:eastAsiaTheme="minorHAnsi"/>
          <w:szCs w:val="24"/>
        </w:rPr>
        <w:t>s</w:t>
      </w:r>
      <w:r w:rsidRPr="00BE2D22" w:rsidR="00B01B8A">
        <w:rPr>
          <w:rFonts w:eastAsiaTheme="minorHAnsi"/>
          <w:szCs w:val="24"/>
        </w:rPr>
        <w:t xml:space="preserve"> that it is </w:t>
      </w:r>
      <w:r w:rsidRPr="00BE2D22" w:rsidR="00165B64">
        <w:rPr>
          <w:rFonts w:eastAsiaTheme="minorHAnsi"/>
          <w:szCs w:val="24"/>
        </w:rPr>
        <w:t xml:space="preserve">outside the scope of the PUCO’s jurisdiction to </w:t>
      </w:r>
      <w:r w:rsidRPr="00BE2D22" w:rsidR="00D15321">
        <w:rPr>
          <w:rFonts w:eastAsiaTheme="minorHAnsi"/>
          <w:szCs w:val="24"/>
        </w:rPr>
        <w:t xml:space="preserve">conduct a </w:t>
      </w:r>
      <w:r w:rsidRPr="00BE2D22" w:rsidR="00165B64">
        <w:rPr>
          <w:rFonts w:eastAsiaTheme="minorHAnsi"/>
          <w:szCs w:val="24"/>
        </w:rPr>
        <w:t xml:space="preserve">review </w:t>
      </w:r>
      <w:r w:rsidRPr="00BE2D22" w:rsidR="006A122B">
        <w:rPr>
          <w:rFonts w:eastAsiaTheme="minorHAnsi"/>
          <w:szCs w:val="24"/>
        </w:rPr>
        <w:t xml:space="preserve">to determine whether </w:t>
      </w:r>
      <w:r w:rsidRPr="00BE2D22" w:rsidR="00EC3121">
        <w:rPr>
          <w:rFonts w:eastAsiaTheme="minorHAnsi"/>
          <w:szCs w:val="24"/>
        </w:rPr>
        <w:t>they</w:t>
      </w:r>
      <w:r w:rsidRPr="00BE2D22" w:rsidR="00165B64">
        <w:rPr>
          <w:rFonts w:eastAsiaTheme="minorHAnsi"/>
          <w:szCs w:val="24"/>
        </w:rPr>
        <w:t xml:space="preserve"> </w:t>
      </w:r>
      <w:r w:rsidRPr="00BE2D22" w:rsidR="006A122B">
        <w:rPr>
          <w:rFonts w:eastAsiaTheme="minorHAnsi"/>
          <w:szCs w:val="24"/>
        </w:rPr>
        <w:t xml:space="preserve">spent </w:t>
      </w:r>
      <w:r w:rsidRPr="00BE2D22" w:rsidR="00126D42">
        <w:rPr>
          <w:rFonts w:eastAsiaTheme="minorHAnsi"/>
          <w:szCs w:val="24"/>
        </w:rPr>
        <w:t xml:space="preserve">customer </w:t>
      </w:r>
      <w:r w:rsidRPr="00BE2D22" w:rsidR="00165B64">
        <w:rPr>
          <w:rFonts w:eastAsiaTheme="minorHAnsi"/>
          <w:szCs w:val="24"/>
        </w:rPr>
        <w:t>money on items such as “political contributions and donations.”</w:t>
      </w:r>
      <w:r>
        <w:rPr>
          <w:rStyle w:val="FootnoteReference"/>
          <w:rFonts w:eastAsiaTheme="minorHAnsi"/>
          <w:szCs w:val="24"/>
        </w:rPr>
        <w:footnoteReference w:id="5"/>
      </w:r>
      <w:r w:rsidRPr="00BE2D22" w:rsidR="00165B64">
        <w:rPr>
          <w:rFonts w:eastAsiaTheme="minorHAnsi"/>
          <w:szCs w:val="24"/>
        </w:rPr>
        <w:t xml:space="preserve">  </w:t>
      </w:r>
      <w:r w:rsidRPr="00BE2D22">
        <w:rPr>
          <w:rFonts w:eastAsiaTheme="minorHAnsi"/>
          <w:szCs w:val="24"/>
        </w:rPr>
        <w:t xml:space="preserve">But this </w:t>
      </w:r>
      <w:r w:rsidRPr="00BE2D22" w:rsidR="00FE42BC">
        <w:rPr>
          <w:rFonts w:eastAsiaTheme="minorHAnsi"/>
          <w:szCs w:val="24"/>
        </w:rPr>
        <w:t xml:space="preserve">self-serving </w:t>
      </w:r>
      <w:r w:rsidRPr="00BE2D22">
        <w:rPr>
          <w:rFonts w:eastAsiaTheme="minorHAnsi"/>
          <w:szCs w:val="24"/>
        </w:rPr>
        <w:t xml:space="preserve">claim is </w:t>
      </w:r>
      <w:r w:rsidRPr="00BE2D22" w:rsidR="00E60188">
        <w:rPr>
          <w:rFonts w:eastAsiaTheme="minorHAnsi"/>
          <w:szCs w:val="24"/>
        </w:rPr>
        <w:t>not true</w:t>
      </w:r>
      <w:r w:rsidRPr="00BE2D22">
        <w:rPr>
          <w:rFonts w:eastAsiaTheme="minorHAnsi"/>
          <w:szCs w:val="24"/>
        </w:rPr>
        <w:t>.</w:t>
      </w:r>
    </w:p>
    <w:p w:rsidR="00B01B8A" w:rsidRPr="00BE2D22" w:rsidP="00165B64" w14:paraId="0478575C" w14:textId="2D36A534">
      <w:pPr>
        <w:spacing w:line="480" w:lineRule="auto"/>
        <w:ind w:firstLine="720"/>
        <w:rPr>
          <w:rFonts w:eastAsiaTheme="minorHAnsi"/>
          <w:szCs w:val="24"/>
        </w:rPr>
      </w:pPr>
      <w:r w:rsidRPr="00BE2D22">
        <w:rPr>
          <w:rFonts w:eastAsiaTheme="minorHAnsi"/>
          <w:szCs w:val="24"/>
        </w:rPr>
        <w:t xml:space="preserve"> </w:t>
      </w:r>
      <w:r w:rsidRPr="00BE2D22" w:rsidR="00396F31">
        <w:rPr>
          <w:rFonts w:eastAsiaTheme="minorHAnsi"/>
          <w:szCs w:val="24"/>
        </w:rPr>
        <w:t>T</w:t>
      </w:r>
      <w:r w:rsidRPr="00BE2D22">
        <w:rPr>
          <w:rFonts w:eastAsiaTheme="minorHAnsi"/>
          <w:szCs w:val="24"/>
        </w:rPr>
        <w:t>he PUCO has broad statutory authority under R.C. §§ 4905.05</w:t>
      </w:r>
      <w:r w:rsidRPr="00BE2D22" w:rsidR="005D755D">
        <w:rPr>
          <w:rFonts w:eastAsiaTheme="minorHAnsi"/>
          <w:szCs w:val="24"/>
        </w:rPr>
        <w:t xml:space="preserve">, </w:t>
      </w:r>
      <w:r w:rsidRPr="00BE2D22">
        <w:rPr>
          <w:rFonts w:eastAsiaTheme="minorHAnsi"/>
          <w:szCs w:val="24"/>
        </w:rPr>
        <w:t>4905.06</w:t>
      </w:r>
      <w:r w:rsidRPr="00BE2D22" w:rsidR="005D755D">
        <w:rPr>
          <w:rFonts w:eastAsiaTheme="minorHAnsi"/>
          <w:szCs w:val="24"/>
        </w:rPr>
        <w:t>, and 4909.154</w:t>
      </w:r>
      <w:r w:rsidRPr="00BE2D22">
        <w:rPr>
          <w:rFonts w:eastAsiaTheme="minorHAnsi"/>
          <w:szCs w:val="24"/>
        </w:rPr>
        <w:t xml:space="preserve"> to investigate </w:t>
      </w:r>
      <w:r w:rsidRPr="00BE2D22" w:rsidR="00FA3493">
        <w:rPr>
          <w:rFonts w:eastAsiaTheme="minorHAnsi"/>
          <w:szCs w:val="24"/>
        </w:rPr>
        <w:t>FirstEnergy</w:t>
      </w:r>
      <w:r w:rsidRPr="00BE2D22">
        <w:rPr>
          <w:rFonts w:eastAsiaTheme="minorHAnsi"/>
          <w:szCs w:val="24"/>
        </w:rPr>
        <w:t xml:space="preserve"> and</w:t>
      </w:r>
      <w:r w:rsidRPr="00BE2D22" w:rsidR="00764BAF">
        <w:rPr>
          <w:rFonts w:eastAsiaTheme="minorHAnsi"/>
          <w:szCs w:val="24"/>
        </w:rPr>
        <w:t xml:space="preserve"> FirstEnergy</w:t>
      </w:r>
      <w:r w:rsidRPr="00BE2D22" w:rsidR="00EC3121">
        <w:rPr>
          <w:rFonts w:eastAsiaTheme="minorHAnsi"/>
          <w:szCs w:val="24"/>
        </w:rPr>
        <w:t>’s</w:t>
      </w:r>
      <w:r w:rsidRPr="00BE2D22" w:rsidR="006A122B">
        <w:rPr>
          <w:rFonts w:eastAsiaTheme="minorHAnsi"/>
          <w:szCs w:val="24"/>
        </w:rPr>
        <w:t xml:space="preserve"> </w:t>
      </w:r>
      <w:r w:rsidRPr="00BE2D22" w:rsidR="00D911C2">
        <w:rPr>
          <w:rFonts w:eastAsiaTheme="minorHAnsi"/>
          <w:szCs w:val="24"/>
        </w:rPr>
        <w:t>affiliates</w:t>
      </w:r>
      <w:r w:rsidRPr="00BE2D22">
        <w:rPr>
          <w:rFonts w:eastAsiaTheme="minorHAnsi"/>
          <w:szCs w:val="24"/>
        </w:rPr>
        <w:t xml:space="preserve">.  </w:t>
      </w:r>
      <w:r w:rsidRPr="00BE2D22" w:rsidR="005D755D">
        <w:rPr>
          <w:rFonts w:eastAsiaTheme="minorHAnsi"/>
          <w:szCs w:val="24"/>
        </w:rPr>
        <w:t>First, the express language of R.C. § 4905.05 grant</w:t>
      </w:r>
      <w:r w:rsidRPr="00BE2D22" w:rsidR="00FE42BC">
        <w:rPr>
          <w:rFonts w:eastAsiaTheme="minorHAnsi"/>
          <w:szCs w:val="24"/>
        </w:rPr>
        <w:t>s</w:t>
      </w:r>
      <w:r w:rsidRPr="00BE2D22" w:rsidR="005D755D">
        <w:rPr>
          <w:rFonts w:eastAsiaTheme="minorHAnsi"/>
          <w:szCs w:val="24"/>
        </w:rPr>
        <w:t xml:space="preserve"> the PUCO expansive jurisdiction which includes jurisdiction over public utilities </w:t>
      </w:r>
      <w:r w:rsidRPr="00BE2D22" w:rsidR="005D755D">
        <w:rPr>
          <w:rFonts w:eastAsiaTheme="minorHAnsi"/>
          <w:b/>
          <w:bCs/>
          <w:szCs w:val="24"/>
        </w:rPr>
        <w:t>AND</w:t>
      </w:r>
      <w:r w:rsidRPr="00BE2D22" w:rsidR="005D755D">
        <w:rPr>
          <w:rFonts w:eastAsiaTheme="minorHAnsi"/>
          <w:szCs w:val="24"/>
        </w:rPr>
        <w:t xml:space="preserve"> </w:t>
      </w:r>
      <w:r w:rsidRPr="00BE2D22" w:rsidR="00FE42BC">
        <w:rPr>
          <w:rFonts w:eastAsiaTheme="minorHAnsi"/>
          <w:szCs w:val="24"/>
        </w:rPr>
        <w:t xml:space="preserve">over </w:t>
      </w:r>
      <w:r w:rsidRPr="00BE2D22" w:rsidR="005D755D">
        <w:rPr>
          <w:rFonts w:eastAsiaTheme="minorHAnsi"/>
          <w:szCs w:val="24"/>
        </w:rPr>
        <w:t>“persons or companies” “owning” such public utilities.  Specifically, R.C. § 4905.05 states:</w:t>
      </w:r>
    </w:p>
    <w:p w:rsidR="005D755D" w:rsidRPr="00BE2D22" w:rsidP="00C6604C" w14:paraId="17CD6F3A" w14:textId="5F7A56CB">
      <w:pPr>
        <w:ind w:left="1440" w:right="1440"/>
        <w:rPr>
          <w:color w:val="000000"/>
          <w:szCs w:val="24"/>
          <w:shd w:val="clear" w:color="auto" w:fill="FFFFFF"/>
        </w:rPr>
      </w:pPr>
      <w:r w:rsidRPr="00BE2D22">
        <w:rPr>
          <w:b/>
          <w:bCs/>
          <w:color w:val="000000"/>
          <w:szCs w:val="24"/>
          <w:shd w:val="clear" w:color="auto" w:fill="FFFFFF"/>
        </w:rPr>
        <w:t>The jurisdiction</w:t>
      </w:r>
      <w:r w:rsidRPr="00BE2D22">
        <w:rPr>
          <w:color w:val="000000"/>
          <w:szCs w:val="24"/>
          <w:shd w:val="clear" w:color="auto" w:fill="FFFFFF"/>
        </w:rPr>
        <w:t xml:space="preserve">, supervision, powers, and duties </w:t>
      </w:r>
      <w:r w:rsidRPr="00BE2D22">
        <w:rPr>
          <w:b/>
          <w:bCs/>
          <w:color w:val="000000"/>
          <w:szCs w:val="24"/>
          <w:shd w:val="clear" w:color="auto" w:fill="FFFFFF"/>
        </w:rPr>
        <w:t>of the public utilities commission extend to every public utility</w:t>
      </w:r>
      <w:r w:rsidRPr="00BE2D22">
        <w:rPr>
          <w:color w:val="000000"/>
          <w:szCs w:val="24"/>
          <w:shd w:val="clear" w:color="auto" w:fill="FFFFFF"/>
        </w:rPr>
        <w:t xml:space="preserve"> and railroad, the plant or property of which lies wholly within this state and when the property of a public utility or railroad lies partly within and partly without this state to that part of such plant or property which lies within this state; </w:t>
      </w:r>
      <w:r w:rsidRPr="00BE2D22">
        <w:rPr>
          <w:b/>
          <w:bCs/>
          <w:color w:val="000000"/>
          <w:szCs w:val="24"/>
          <w:shd w:val="clear" w:color="auto" w:fill="FFFFFF"/>
        </w:rPr>
        <w:t>to the persons or companies owning, leasing, or operating such public utilities</w:t>
      </w:r>
      <w:r w:rsidRPr="00BE2D22">
        <w:rPr>
          <w:color w:val="000000"/>
          <w:szCs w:val="24"/>
          <w:shd w:val="clear" w:color="auto" w:fill="FFFFFF"/>
        </w:rPr>
        <w:t xml:space="preserve"> and railroads; to the records and accounts of the business thereof done within this state; and to the records and accounts of any companies which are part of an electric utility holding company system exempt under section 3(a)(1) or (2) of the "Public Utility Holding Company Act of 1935," 49 Stat. 803, 15 U.S.C. 79c, and the rules and regulations promulgated thereunder, insofar as such records and accounts may in any way affect or relate to the costs associated with the provision of electric utility service by any public utility operating in this state and part of such holding company system.</w:t>
      </w:r>
    </w:p>
    <w:p w:rsidR="00C6604C" w:rsidRPr="00BE2D22" w:rsidP="00C6604C" w14:paraId="0C5BC313" w14:textId="77777777">
      <w:pPr>
        <w:rPr>
          <w:color w:val="000000"/>
          <w:szCs w:val="24"/>
          <w:shd w:val="clear" w:color="auto" w:fill="FFFFFF"/>
        </w:rPr>
      </w:pPr>
    </w:p>
    <w:p w:rsidR="001D76B9" w:rsidRPr="00BE2D22" w:rsidP="005D755D" w14:paraId="5AA0B54C" w14:textId="757E60FD">
      <w:pPr>
        <w:spacing w:line="480" w:lineRule="auto"/>
        <w:rPr>
          <w:color w:val="000000"/>
          <w:szCs w:val="24"/>
          <w:shd w:val="clear" w:color="auto" w:fill="FFFFFF"/>
        </w:rPr>
      </w:pPr>
      <w:r w:rsidRPr="00BE2D22">
        <w:rPr>
          <w:color w:val="000000"/>
          <w:szCs w:val="24"/>
          <w:shd w:val="clear" w:color="auto" w:fill="FFFFFF"/>
        </w:rPr>
        <w:t xml:space="preserve">(Emphasis </w:t>
      </w:r>
      <w:r w:rsidRPr="00BE2D22" w:rsidR="00C80C73">
        <w:rPr>
          <w:color w:val="000000"/>
          <w:szCs w:val="24"/>
          <w:shd w:val="clear" w:color="auto" w:fill="FFFFFF"/>
        </w:rPr>
        <w:t>a</w:t>
      </w:r>
      <w:r w:rsidRPr="00BE2D22">
        <w:rPr>
          <w:color w:val="000000"/>
          <w:szCs w:val="24"/>
          <w:shd w:val="clear" w:color="auto" w:fill="FFFFFF"/>
        </w:rPr>
        <w:t>dded.)</w:t>
      </w:r>
      <w:r w:rsidRPr="00BE2D22" w:rsidR="000933FE">
        <w:rPr>
          <w:color w:val="000000"/>
          <w:szCs w:val="24"/>
          <w:shd w:val="clear" w:color="auto" w:fill="FFFFFF"/>
        </w:rPr>
        <w:t xml:space="preserve"> </w:t>
      </w:r>
    </w:p>
    <w:p w:rsidR="001D76B9" w:rsidRPr="00BE2D22" w:rsidP="001D76B9" w14:paraId="10D443A7" w14:textId="16312670">
      <w:pPr>
        <w:spacing w:line="480" w:lineRule="auto"/>
        <w:ind w:firstLine="720"/>
        <w:rPr>
          <w:rFonts w:eastAsiaTheme="minorHAnsi"/>
          <w:szCs w:val="24"/>
        </w:rPr>
      </w:pPr>
      <w:r w:rsidRPr="00BE2D22">
        <w:rPr>
          <w:rFonts w:eastAsiaTheme="minorHAnsi"/>
          <w:szCs w:val="24"/>
        </w:rPr>
        <w:t>Similarly, R.C. § 4905.06 grants the PUCO general supervision over public utilities and “all other companies referred to under R.C. 4905.05</w:t>
      </w:r>
      <w:r w:rsidRPr="00BE2D22" w:rsidR="000933FE">
        <w:rPr>
          <w:rFonts w:eastAsiaTheme="minorHAnsi"/>
          <w:szCs w:val="24"/>
        </w:rPr>
        <w:t xml:space="preserve"> …</w:t>
      </w:r>
      <w:r w:rsidRPr="00BE2D22">
        <w:rPr>
          <w:rFonts w:eastAsiaTheme="minorHAnsi"/>
          <w:szCs w:val="24"/>
        </w:rPr>
        <w:t xml:space="preserve"> “and their compliance with all laws, orders of the commission, franchises, and charter requirements.</w:t>
      </w:r>
      <w:r w:rsidRPr="00BE2D22" w:rsidR="000933FE">
        <w:rPr>
          <w:rFonts w:eastAsiaTheme="minorHAnsi"/>
          <w:szCs w:val="24"/>
        </w:rPr>
        <w:t xml:space="preserve">”  </w:t>
      </w:r>
      <w:r w:rsidRPr="00BE2D22" w:rsidR="00BC6557">
        <w:rPr>
          <w:rFonts w:eastAsiaTheme="minorHAnsi"/>
          <w:szCs w:val="24"/>
        </w:rPr>
        <w:t xml:space="preserve">And, </w:t>
      </w:r>
      <w:r w:rsidRPr="00BE2D22">
        <w:rPr>
          <w:rFonts w:eastAsiaTheme="minorHAnsi"/>
          <w:szCs w:val="24"/>
        </w:rPr>
        <w:t xml:space="preserve">the PUCO has the authority to require a public utility to “supply information regarding its management policies, practices, and organization[.]” </w:t>
      </w:r>
      <w:r w:rsidRPr="00BE2D22" w:rsidR="00BC6557">
        <w:rPr>
          <w:rFonts w:eastAsiaTheme="minorHAnsi"/>
          <w:szCs w:val="24"/>
        </w:rPr>
        <w:t xml:space="preserve">under </w:t>
      </w:r>
      <w:r w:rsidRPr="00BE2D22">
        <w:rPr>
          <w:rFonts w:eastAsiaTheme="minorHAnsi"/>
          <w:szCs w:val="24"/>
        </w:rPr>
        <w:t xml:space="preserve">R.C. §4909.154.  </w:t>
      </w:r>
      <w:r w:rsidRPr="00BE2D22" w:rsidR="009C7148">
        <w:rPr>
          <w:rFonts w:eastAsiaTheme="minorHAnsi"/>
          <w:szCs w:val="24"/>
        </w:rPr>
        <w:t>A</w:t>
      </w:r>
      <w:r w:rsidRPr="00BE2D22" w:rsidR="00D15321">
        <w:rPr>
          <w:rFonts w:eastAsiaTheme="minorHAnsi"/>
          <w:szCs w:val="24"/>
        </w:rPr>
        <w:t xml:space="preserve">ll three statutes demonstrate that </w:t>
      </w:r>
      <w:r w:rsidRPr="00BE2D22">
        <w:rPr>
          <w:rFonts w:eastAsiaTheme="minorHAnsi"/>
          <w:szCs w:val="24"/>
        </w:rPr>
        <w:t xml:space="preserve">the PUCO has jurisdiction in this matter because the </w:t>
      </w:r>
      <w:r w:rsidRPr="00BE2D22" w:rsidR="003C079A">
        <w:rPr>
          <w:rFonts w:eastAsiaTheme="minorHAnsi"/>
          <w:szCs w:val="24"/>
        </w:rPr>
        <w:t xml:space="preserve">FirstEnergy </w:t>
      </w:r>
      <w:r w:rsidRPr="00BE2D22">
        <w:rPr>
          <w:rFonts w:eastAsiaTheme="minorHAnsi"/>
          <w:szCs w:val="24"/>
        </w:rPr>
        <w:t>Utilities are public utilities, as defined under R.C. § 4905.02</w:t>
      </w:r>
      <w:r w:rsidRPr="00BE2D22" w:rsidR="00D15321">
        <w:rPr>
          <w:rFonts w:eastAsiaTheme="minorHAnsi"/>
          <w:szCs w:val="24"/>
        </w:rPr>
        <w:t>,</w:t>
      </w:r>
      <w:r w:rsidRPr="00BE2D22">
        <w:rPr>
          <w:rFonts w:eastAsiaTheme="minorHAnsi"/>
          <w:szCs w:val="24"/>
        </w:rPr>
        <w:t xml:space="preserve"> and FirstEnergy </w:t>
      </w:r>
      <w:r w:rsidRPr="00BE2D22" w:rsidR="00BC6557">
        <w:rPr>
          <w:rFonts w:eastAsiaTheme="minorHAnsi"/>
          <w:szCs w:val="24"/>
        </w:rPr>
        <w:t xml:space="preserve">Corp. </w:t>
      </w:r>
      <w:r w:rsidRPr="00BE2D22">
        <w:rPr>
          <w:rFonts w:eastAsiaTheme="minorHAnsi"/>
          <w:szCs w:val="24"/>
        </w:rPr>
        <w:t xml:space="preserve">owns and operates the </w:t>
      </w:r>
      <w:r w:rsidRPr="00BE2D22" w:rsidR="00FA3493">
        <w:rPr>
          <w:rFonts w:eastAsiaTheme="minorHAnsi"/>
          <w:szCs w:val="24"/>
        </w:rPr>
        <w:t xml:space="preserve">FirstEnergy </w:t>
      </w:r>
      <w:r w:rsidRPr="00BE2D22">
        <w:rPr>
          <w:rFonts w:eastAsiaTheme="minorHAnsi"/>
          <w:szCs w:val="24"/>
        </w:rPr>
        <w:t>Utilities.</w:t>
      </w:r>
    </w:p>
    <w:p w:rsidR="00C6604C" w:rsidRPr="00BE2D22" w:rsidP="00C6604C" w14:paraId="1B285B72" w14:textId="03DA9D06">
      <w:pPr>
        <w:spacing w:line="480" w:lineRule="auto"/>
        <w:ind w:firstLine="720"/>
        <w:rPr>
          <w:szCs w:val="24"/>
        </w:rPr>
      </w:pPr>
      <w:r w:rsidRPr="00BE2D22">
        <w:rPr>
          <w:szCs w:val="24"/>
        </w:rPr>
        <w:t>The PUCO has jurisdiction and authority over FirstEnergy’s spending as it relates to HB 6</w:t>
      </w:r>
      <w:r w:rsidRPr="00BE2D22" w:rsidR="001841B5">
        <w:rPr>
          <w:szCs w:val="24"/>
        </w:rPr>
        <w:t>. The PUCO stated as much when</w:t>
      </w:r>
      <w:r w:rsidRPr="00BE2D22">
        <w:rPr>
          <w:szCs w:val="24"/>
        </w:rPr>
        <w:t xml:space="preserve"> it acknowledged in its Entry </w:t>
      </w:r>
      <w:r w:rsidRPr="00BE2D22" w:rsidR="00FA3493">
        <w:rPr>
          <w:szCs w:val="24"/>
        </w:rPr>
        <w:t xml:space="preserve">it was reviewing </w:t>
      </w:r>
      <w:r w:rsidRPr="00BE2D22" w:rsidR="00700C89">
        <w:rPr>
          <w:szCs w:val="24"/>
        </w:rPr>
        <w:t>“</w:t>
      </w:r>
      <w:r w:rsidRPr="00BE2D22" w:rsidR="00FE42BC">
        <w:rPr>
          <w:i/>
          <w:iCs/>
          <w:szCs w:val="24"/>
        </w:rPr>
        <w:t>the political and charitable spending</w:t>
      </w:r>
      <w:r w:rsidRPr="00BE2D22" w:rsidR="00FE42BC">
        <w:rPr>
          <w:szCs w:val="24"/>
        </w:rPr>
        <w:t xml:space="preserve"> by FirstEnergy in support of H.B.6 and the subsequent referendum effort.” </w:t>
      </w:r>
      <w:r w:rsidRPr="00BE2D22">
        <w:rPr>
          <w:szCs w:val="24"/>
        </w:rPr>
        <w:t>To conclude that the PUCO has no jurisdiction over illegal use of customers</w:t>
      </w:r>
      <w:r w:rsidRPr="00BE2D22" w:rsidR="00EC3121">
        <w:rPr>
          <w:szCs w:val="24"/>
        </w:rPr>
        <w:t>’</w:t>
      </w:r>
      <w:r w:rsidRPr="00BE2D22">
        <w:rPr>
          <w:szCs w:val="24"/>
        </w:rPr>
        <w:t xml:space="preserve"> funds collected for the provision of utility service but not used for that purpose is contrary to public integrity and public policy</w:t>
      </w:r>
      <w:r w:rsidRPr="00BE2D22" w:rsidR="00307EE8">
        <w:rPr>
          <w:szCs w:val="24"/>
        </w:rPr>
        <w:t xml:space="preserve"> (in addition to contrary to law)</w:t>
      </w:r>
      <w:r w:rsidRPr="00BE2D22">
        <w:rPr>
          <w:szCs w:val="24"/>
        </w:rPr>
        <w:t xml:space="preserve">.  </w:t>
      </w:r>
      <w:r w:rsidRPr="00BE2D22">
        <w:rPr>
          <w:i/>
          <w:iCs/>
          <w:szCs w:val="24"/>
        </w:rPr>
        <w:t>See, e.g.,</w:t>
      </w:r>
      <w:r w:rsidRPr="00BE2D22">
        <w:rPr>
          <w:szCs w:val="24"/>
        </w:rPr>
        <w:t xml:space="preserve"> </w:t>
      </w:r>
      <w:r w:rsidRPr="00BE2D22">
        <w:rPr>
          <w:i/>
          <w:iCs/>
          <w:szCs w:val="24"/>
        </w:rPr>
        <w:t>In the Matter of the Complaint of the Manchester Group v. Columbia</w:t>
      </w:r>
      <w:r w:rsidRPr="00BE2D22">
        <w:rPr>
          <w:szCs w:val="24"/>
        </w:rPr>
        <w:t xml:space="preserve">, Case No. 08-360-GA-CSS, Entry, (June 3, 2009) (finding that the PUCO had jurisdiction over a complaint against Columbia alleging unfair practices related to an unregulated service offering (warranty service) by the utility).  </w:t>
      </w:r>
    </w:p>
    <w:p w:rsidR="00C6604C" w:rsidRPr="00BE2D22" w:rsidP="00C6604C" w14:paraId="11B2FDB2" w14:textId="77777777">
      <w:pPr>
        <w:spacing w:line="480" w:lineRule="auto"/>
        <w:ind w:firstLine="720"/>
        <w:rPr>
          <w:szCs w:val="24"/>
        </w:rPr>
      </w:pPr>
      <w:r w:rsidRPr="00BE2D22">
        <w:rPr>
          <w:szCs w:val="24"/>
        </w:rPr>
        <w:t>Again, FirstEnergy claims that the PUCO has no jurisdiction to consider whether rates charged to consumers for utility service subsidized HB 6 political and charitable spending.</w:t>
      </w:r>
      <w:r>
        <w:rPr>
          <w:rStyle w:val="FootnoteReference"/>
          <w:szCs w:val="24"/>
        </w:rPr>
        <w:footnoteReference w:id="6"/>
      </w:r>
      <w:r w:rsidRPr="00BE2D22">
        <w:rPr>
          <w:szCs w:val="24"/>
        </w:rPr>
        <w:t xml:space="preserve"> That is wrong, and the cases cited in the motion do not support FirstEnergy Utilities’ argument. </w:t>
      </w:r>
    </w:p>
    <w:p w:rsidR="00E30CDB" w:rsidRPr="00BE2D22" w:rsidP="00E30CDB" w14:paraId="78915FFF" w14:textId="3C6C201A">
      <w:pPr>
        <w:spacing w:line="480" w:lineRule="auto"/>
        <w:ind w:firstLine="720"/>
        <w:rPr>
          <w:szCs w:val="24"/>
        </w:rPr>
      </w:pPr>
      <w:r w:rsidRPr="00BE2D22">
        <w:rPr>
          <w:szCs w:val="24"/>
        </w:rPr>
        <w:t>FirstEnergy cite</w:t>
      </w:r>
      <w:r w:rsidRPr="00BE2D22" w:rsidR="00E738D4">
        <w:rPr>
          <w:szCs w:val="24"/>
        </w:rPr>
        <w:t>s</w:t>
      </w:r>
      <w:r w:rsidRPr="00BE2D22">
        <w:rPr>
          <w:szCs w:val="24"/>
        </w:rPr>
        <w:t xml:space="preserve"> </w:t>
      </w:r>
      <w:r w:rsidRPr="00BE2D22">
        <w:rPr>
          <w:i/>
          <w:iCs/>
          <w:szCs w:val="24"/>
        </w:rPr>
        <w:t>In re Complaint of Direct Energy Business LLC v. Duke Energy Ohio, Inc.</w:t>
      </w:r>
      <w:r w:rsidRPr="00BE2D22">
        <w:rPr>
          <w:szCs w:val="24"/>
        </w:rPr>
        <w:t xml:space="preserve">, 2020-Ohio-4429, but that case is factually distinguishable and does not control here. In the </w:t>
      </w:r>
      <w:r w:rsidRPr="00BE2D22">
        <w:rPr>
          <w:i/>
          <w:iCs/>
          <w:szCs w:val="24"/>
        </w:rPr>
        <w:t xml:space="preserve">Direct Energy </w:t>
      </w:r>
      <w:r w:rsidRPr="00BE2D22">
        <w:rPr>
          <w:szCs w:val="24"/>
        </w:rPr>
        <w:t>case, the Supreme Court of Ohio (“Court”) held that the PUCO did not have jurisdiction over Duke Energy in its role in providing “meter-data-management” services (providing electric usage data about Direct Energy’s customers to the market operator (PJM) from whom Direct Energy purchased wholesale electricity) to Direct Energy.</w:t>
      </w:r>
      <w:r>
        <w:rPr>
          <w:rStyle w:val="FootnoteReference"/>
          <w:szCs w:val="24"/>
        </w:rPr>
        <w:footnoteReference w:id="7"/>
      </w:r>
      <w:r w:rsidRPr="00BE2D22">
        <w:rPr>
          <w:szCs w:val="24"/>
        </w:rPr>
        <w:t xml:space="preserve"> The Court found that Duke Energy was not acting as a public utility within the meaning of R.C. 4905.03(C) when it provided the meter-data-management services to Direct Energy.</w:t>
      </w:r>
      <w:r>
        <w:rPr>
          <w:rStyle w:val="FootnoteReference"/>
          <w:szCs w:val="24"/>
        </w:rPr>
        <w:footnoteReference w:id="8"/>
      </w:r>
      <w:r w:rsidRPr="00BE2D22">
        <w:rPr>
          <w:szCs w:val="24"/>
        </w:rPr>
        <w:t xml:space="preserve"> Thus, the PUCO had no jurisdiction over the dispute between Duke Energy and Direct Energy in that case.</w:t>
      </w:r>
      <w:r>
        <w:rPr>
          <w:rStyle w:val="FootnoteReference"/>
          <w:szCs w:val="24"/>
        </w:rPr>
        <w:footnoteReference w:id="9"/>
      </w:r>
      <w:r w:rsidRPr="00BE2D22">
        <w:rPr>
          <w:szCs w:val="24"/>
        </w:rPr>
        <w:t xml:space="preserve"> The </w:t>
      </w:r>
      <w:r w:rsidRPr="00BE2D22">
        <w:rPr>
          <w:i/>
          <w:iCs/>
          <w:szCs w:val="24"/>
        </w:rPr>
        <w:t xml:space="preserve">Direct Energy </w:t>
      </w:r>
      <w:r w:rsidRPr="00BE2D22">
        <w:rPr>
          <w:szCs w:val="24"/>
        </w:rPr>
        <w:t xml:space="preserve">case says nothing about the PUCO’s jurisdiction to consider the issue in this case, </w:t>
      </w:r>
      <w:r w:rsidRPr="00BE2D22">
        <w:rPr>
          <w:i/>
          <w:iCs/>
          <w:szCs w:val="24"/>
        </w:rPr>
        <w:t>i.e.</w:t>
      </w:r>
      <w:r w:rsidRPr="00BE2D22">
        <w:rPr>
          <w:szCs w:val="24"/>
        </w:rPr>
        <w:t xml:space="preserve"> whether a public utility can use the revenues it receives from consumers for providing electric distribution utility service to fund political or charitable activities.   </w:t>
      </w:r>
    </w:p>
    <w:p w:rsidR="00E30CDB" w:rsidRPr="00BE2D22" w:rsidP="00E30CDB" w14:paraId="7C1CA109" w14:textId="5D8EC531">
      <w:pPr>
        <w:spacing w:line="480" w:lineRule="auto"/>
        <w:ind w:firstLine="720"/>
        <w:rPr>
          <w:szCs w:val="24"/>
        </w:rPr>
      </w:pPr>
      <w:r w:rsidRPr="00BE2D22">
        <w:rPr>
          <w:szCs w:val="24"/>
        </w:rPr>
        <w:t xml:space="preserve">FirstEnergy also cites </w:t>
      </w:r>
      <w:r w:rsidRPr="00BE2D22">
        <w:rPr>
          <w:i/>
          <w:iCs/>
          <w:szCs w:val="24"/>
        </w:rPr>
        <w:t>Cleveland Electric Illuminating Co. v. Public Utilities Comm.</w:t>
      </w:r>
      <w:r w:rsidRPr="00BE2D22">
        <w:rPr>
          <w:szCs w:val="24"/>
        </w:rPr>
        <w:t>, 69 Ohio St.2d 258, 431 N.E.2d 683 (1982).</w:t>
      </w:r>
      <w:r>
        <w:rPr>
          <w:rStyle w:val="FootnoteReference"/>
          <w:szCs w:val="24"/>
        </w:rPr>
        <w:footnoteReference w:id="10"/>
      </w:r>
      <w:r w:rsidRPr="00BE2D22">
        <w:rPr>
          <w:szCs w:val="24"/>
        </w:rPr>
        <w:t xml:space="preserve"> That case also does not support FirstEnergy’</w:t>
      </w:r>
      <w:r w:rsidRPr="00BE2D22" w:rsidR="00EC3121">
        <w:rPr>
          <w:szCs w:val="24"/>
        </w:rPr>
        <w:t>s</w:t>
      </w:r>
      <w:r w:rsidRPr="00BE2D22">
        <w:rPr>
          <w:szCs w:val="24"/>
        </w:rPr>
        <w:t xml:space="preserve"> claim. </w:t>
      </w:r>
      <w:r w:rsidRPr="00BE2D22">
        <w:rPr>
          <w:i/>
          <w:iCs/>
          <w:szCs w:val="24"/>
        </w:rPr>
        <w:t>Cleveland Electric</w:t>
      </w:r>
      <w:r w:rsidRPr="00BE2D22">
        <w:rPr>
          <w:szCs w:val="24"/>
        </w:rPr>
        <w:t xml:space="preserve"> stands for the proposition that a public utility cannot collect the costs of its charitable contributions through rates charged to consumers because doing so would “disproportionately benefit the utility and its owners, not the </w:t>
      </w:r>
      <w:r w:rsidRPr="00BE2D22" w:rsidR="00E738D4">
        <w:rPr>
          <w:szCs w:val="24"/>
        </w:rPr>
        <w:t>[customers]</w:t>
      </w:r>
      <w:r w:rsidRPr="00BE2D22">
        <w:rPr>
          <w:szCs w:val="24"/>
        </w:rPr>
        <w:t>.”</w:t>
      </w:r>
      <w:r>
        <w:rPr>
          <w:rStyle w:val="FootnoteReference"/>
          <w:szCs w:val="24"/>
        </w:rPr>
        <w:footnoteReference w:id="11"/>
      </w:r>
      <w:r w:rsidRPr="00BE2D22">
        <w:rPr>
          <w:szCs w:val="24"/>
        </w:rPr>
        <w:t xml:space="preserve"> Contrary to FirstEnergy’</w:t>
      </w:r>
      <w:r w:rsidRPr="00BE2D22" w:rsidR="00EC3121">
        <w:rPr>
          <w:szCs w:val="24"/>
        </w:rPr>
        <w:t>s</w:t>
      </w:r>
      <w:r w:rsidRPr="00BE2D22">
        <w:rPr>
          <w:szCs w:val="24"/>
        </w:rPr>
        <w:t xml:space="preserve"> claim that the PUCO has no jurisdiction, </w:t>
      </w:r>
      <w:r w:rsidRPr="00BE2D22">
        <w:rPr>
          <w:i/>
          <w:iCs/>
          <w:szCs w:val="24"/>
        </w:rPr>
        <w:t xml:space="preserve">Cleveland Electric </w:t>
      </w:r>
      <w:r w:rsidRPr="00BE2D22">
        <w:rPr>
          <w:szCs w:val="24"/>
        </w:rPr>
        <w:t>suggests that the PUCO does have the authority – and that it should use that authority – to review FirstEnergy’</w:t>
      </w:r>
      <w:r w:rsidRPr="00BE2D22" w:rsidR="00EC3121">
        <w:rPr>
          <w:szCs w:val="24"/>
        </w:rPr>
        <w:t>s</w:t>
      </w:r>
      <w:r w:rsidRPr="00BE2D22">
        <w:rPr>
          <w:szCs w:val="24"/>
        </w:rPr>
        <w:t xml:space="preserve"> HB 6 political and charitable spending to make sure that it was not funded through rates to consumers.</w:t>
      </w:r>
      <w:r>
        <w:rPr>
          <w:rStyle w:val="FootnoteReference"/>
          <w:szCs w:val="24"/>
        </w:rPr>
        <w:footnoteReference w:id="12"/>
      </w:r>
      <w:r w:rsidRPr="00BE2D22">
        <w:rPr>
          <w:szCs w:val="24"/>
        </w:rPr>
        <w:t xml:space="preserve"> </w:t>
      </w:r>
    </w:p>
    <w:p w:rsidR="00E30CDB" w:rsidRPr="00BE2D22" w:rsidP="00E30CDB" w14:paraId="715AC995" w14:textId="492FDA18">
      <w:pPr>
        <w:spacing w:line="480" w:lineRule="auto"/>
        <w:ind w:firstLine="720"/>
        <w:rPr>
          <w:szCs w:val="24"/>
        </w:rPr>
      </w:pPr>
      <w:r w:rsidRPr="00BE2D22">
        <w:rPr>
          <w:szCs w:val="24"/>
        </w:rPr>
        <w:t>FirstEnergy</w:t>
      </w:r>
      <w:r w:rsidRPr="00BE2D22" w:rsidR="00E738D4">
        <w:rPr>
          <w:szCs w:val="24"/>
        </w:rPr>
        <w:t>’s</w:t>
      </w:r>
      <w:r w:rsidRPr="00BE2D22">
        <w:rPr>
          <w:szCs w:val="24"/>
        </w:rPr>
        <w:t xml:space="preserve"> reliance on the PUCO’s decision in </w:t>
      </w:r>
      <w:r w:rsidRPr="00BE2D22">
        <w:rPr>
          <w:i/>
          <w:iCs/>
          <w:szCs w:val="24"/>
        </w:rPr>
        <w:t>In re Chapter 4901:1-20 Ohio Adm. Code</w:t>
      </w:r>
      <w:r w:rsidRPr="00BE2D22">
        <w:rPr>
          <w:szCs w:val="24"/>
        </w:rPr>
        <w:t>, Case No. 04-48-EL-ORD, Finding and Order (July 28, 2004) is also misplaced.</w:t>
      </w:r>
      <w:r>
        <w:rPr>
          <w:rStyle w:val="FootnoteReference"/>
          <w:szCs w:val="24"/>
        </w:rPr>
        <w:footnoteReference w:id="13"/>
      </w:r>
      <w:r w:rsidRPr="00BE2D22">
        <w:rPr>
          <w:szCs w:val="24"/>
        </w:rPr>
        <w:t xml:space="preserve"> In that case, the PUCO held that it lacked jurisdiction to adopt proposed corporate separation rules that would </w:t>
      </w:r>
      <w:r w:rsidRPr="00BE2D22">
        <w:rPr>
          <w:i/>
          <w:iCs/>
          <w:szCs w:val="24"/>
        </w:rPr>
        <w:t>prohibit</w:t>
      </w:r>
      <w:r w:rsidRPr="00BE2D22">
        <w:rPr>
          <w:szCs w:val="24"/>
        </w:rPr>
        <w:t xml:space="preserve"> political and charitable contributions by electric distribution utilities and their competitive retail electric service supplier affiliates.</w:t>
      </w:r>
      <w:r>
        <w:rPr>
          <w:rStyle w:val="FootnoteReference"/>
          <w:szCs w:val="24"/>
        </w:rPr>
        <w:footnoteReference w:id="14"/>
      </w:r>
      <w:r w:rsidRPr="00BE2D22">
        <w:rPr>
          <w:szCs w:val="24"/>
        </w:rPr>
        <w:t xml:space="preserve"> That issue (a prohibition on political and charitable spending) is different from the PUCO’s inquiry in this case as to whether the rates consumers paid for utility service funded alleged illegal political and charitable spending related to HB 6. The PUCO should therefore reject FirstEnergy’</w:t>
      </w:r>
      <w:r w:rsidRPr="00BE2D22" w:rsidR="00EC3121">
        <w:rPr>
          <w:szCs w:val="24"/>
        </w:rPr>
        <w:t>s</w:t>
      </w:r>
      <w:r w:rsidRPr="00BE2D22">
        <w:rPr>
          <w:szCs w:val="24"/>
        </w:rPr>
        <w:t xml:space="preserve"> claim that the PUCO has no jurisdiction to consider HB 6 political spending in this case.  </w:t>
      </w:r>
    </w:p>
    <w:p w:rsidR="00700C89" w:rsidRPr="00BE2D22" w:rsidP="009018B4" w14:paraId="5E162357" w14:textId="72E5D938">
      <w:pPr>
        <w:pStyle w:val="Heading1"/>
        <w:rPr>
          <w:rFonts w:ascii="Times New Roman" w:hAnsi="Times New Roman" w:cs="Times New Roman"/>
          <w:szCs w:val="24"/>
        </w:rPr>
      </w:pPr>
      <w:bookmarkStart w:id="3" w:name="_Toc54881590"/>
      <w:bookmarkStart w:id="4" w:name="_Toc55226825"/>
      <w:r w:rsidRPr="00BE2D22">
        <w:rPr>
          <w:rFonts w:ascii="Times New Roman" w:hAnsi="Times New Roman" w:cs="Times New Roman"/>
          <w:szCs w:val="24"/>
        </w:rPr>
        <w:t xml:space="preserve">THE DEPOSITION OF MR. FANELLI </w:t>
      </w:r>
      <w:r w:rsidRPr="00BE2D22" w:rsidR="0033033D">
        <w:rPr>
          <w:rFonts w:ascii="Times New Roman" w:hAnsi="Times New Roman" w:cs="Times New Roman"/>
          <w:szCs w:val="24"/>
        </w:rPr>
        <w:t xml:space="preserve">IS </w:t>
      </w:r>
      <w:r w:rsidRPr="00BE2D22">
        <w:rPr>
          <w:rFonts w:ascii="Times New Roman" w:hAnsi="Times New Roman" w:cs="Times New Roman"/>
          <w:szCs w:val="24"/>
        </w:rPr>
        <w:t>WITHIN THE SCOPE OF THE PUCO’S REVIEW OF FIRSTEN</w:t>
      </w:r>
      <w:r w:rsidRPr="00BE2D22" w:rsidR="001B60DA">
        <w:rPr>
          <w:rFonts w:ascii="Times New Roman" w:hAnsi="Times New Roman" w:cs="Times New Roman"/>
          <w:szCs w:val="24"/>
        </w:rPr>
        <w:t>E</w:t>
      </w:r>
      <w:r w:rsidRPr="00BE2D22">
        <w:rPr>
          <w:rFonts w:ascii="Times New Roman" w:hAnsi="Times New Roman" w:cs="Times New Roman"/>
          <w:szCs w:val="24"/>
        </w:rPr>
        <w:t>RGY’S HB 6 SPENDING</w:t>
      </w:r>
      <w:bookmarkEnd w:id="3"/>
      <w:bookmarkEnd w:id="4"/>
      <w:r w:rsidRPr="00BE2D22" w:rsidR="00476E28">
        <w:rPr>
          <w:rFonts w:ascii="Times New Roman" w:hAnsi="Times New Roman" w:cs="Times New Roman"/>
          <w:szCs w:val="24"/>
        </w:rPr>
        <w:t xml:space="preserve"> </w:t>
      </w:r>
    </w:p>
    <w:p w:rsidR="007C303E" w:rsidRPr="00BE2D22" w:rsidP="001B60DA" w14:paraId="40BECB22" w14:textId="4BCE96C5">
      <w:pPr>
        <w:pStyle w:val="ListParagraph"/>
        <w:autoSpaceDE w:val="0"/>
        <w:autoSpaceDN w:val="0"/>
        <w:adjustRightInd w:val="0"/>
        <w:spacing w:line="480" w:lineRule="auto"/>
        <w:ind w:left="0"/>
        <w:rPr>
          <w:szCs w:val="24"/>
        </w:rPr>
      </w:pPr>
      <w:r w:rsidRPr="00BE2D22">
        <w:rPr>
          <w:szCs w:val="24"/>
        </w:rPr>
        <w:tab/>
      </w:r>
      <w:r w:rsidRPr="00BE2D22" w:rsidR="00700C89">
        <w:rPr>
          <w:szCs w:val="24"/>
        </w:rPr>
        <w:t>FirstEnergy</w:t>
      </w:r>
      <w:r w:rsidRPr="00BE2D22" w:rsidR="006643AB">
        <w:rPr>
          <w:szCs w:val="24"/>
        </w:rPr>
        <w:t xml:space="preserve"> </w:t>
      </w:r>
      <w:r w:rsidRPr="00BE2D22" w:rsidR="00700C89">
        <w:rPr>
          <w:szCs w:val="24"/>
        </w:rPr>
        <w:t>argue</w:t>
      </w:r>
      <w:r w:rsidRPr="00BE2D22" w:rsidR="00476E28">
        <w:rPr>
          <w:szCs w:val="24"/>
        </w:rPr>
        <w:t>s</w:t>
      </w:r>
      <w:r w:rsidRPr="00BE2D22" w:rsidR="00700C89">
        <w:rPr>
          <w:szCs w:val="24"/>
        </w:rPr>
        <w:t xml:space="preserve"> that the deposition </w:t>
      </w:r>
      <w:r w:rsidRPr="00BE2D22" w:rsidR="00BF7948">
        <w:rPr>
          <w:szCs w:val="24"/>
        </w:rPr>
        <w:t xml:space="preserve">notice </w:t>
      </w:r>
      <w:r w:rsidRPr="00BE2D22" w:rsidR="00700C89">
        <w:rPr>
          <w:szCs w:val="24"/>
        </w:rPr>
        <w:t xml:space="preserve">of Mr. Fanelli </w:t>
      </w:r>
      <w:r w:rsidRPr="00BE2D22" w:rsidR="00BF7948">
        <w:rPr>
          <w:szCs w:val="24"/>
        </w:rPr>
        <w:t>would allow OCC to inquire into matters “well outside the scope” of the PUCO’s Entry.</w:t>
      </w:r>
      <w:r>
        <w:rPr>
          <w:rStyle w:val="FootnoteReference"/>
          <w:szCs w:val="24"/>
        </w:rPr>
        <w:footnoteReference w:id="15"/>
      </w:r>
      <w:r w:rsidRPr="00BE2D22" w:rsidR="00BF7948">
        <w:rPr>
          <w:szCs w:val="24"/>
        </w:rPr>
        <w:t xml:space="preserve"> In this regard,</w:t>
      </w:r>
      <w:r w:rsidRPr="00BE2D22" w:rsidR="006643AB">
        <w:rPr>
          <w:szCs w:val="24"/>
        </w:rPr>
        <w:t xml:space="preserve"> </w:t>
      </w:r>
      <w:r w:rsidRPr="00BE2D22" w:rsidR="00476E28">
        <w:rPr>
          <w:szCs w:val="24"/>
        </w:rPr>
        <w:t>FirstEnergy</w:t>
      </w:r>
      <w:r w:rsidRPr="00BE2D22" w:rsidR="00BF7948">
        <w:rPr>
          <w:szCs w:val="24"/>
        </w:rPr>
        <w:t xml:space="preserve"> </w:t>
      </w:r>
      <w:r w:rsidRPr="00BE2D22" w:rsidR="00EA2A3B">
        <w:rPr>
          <w:szCs w:val="24"/>
        </w:rPr>
        <w:t>appear</w:t>
      </w:r>
      <w:r w:rsidRPr="00BE2D22" w:rsidR="00476E28">
        <w:rPr>
          <w:szCs w:val="24"/>
        </w:rPr>
        <w:t>s</w:t>
      </w:r>
      <w:r w:rsidRPr="00BE2D22" w:rsidR="006643AB">
        <w:rPr>
          <w:szCs w:val="24"/>
        </w:rPr>
        <w:t xml:space="preserve"> </w:t>
      </w:r>
      <w:r w:rsidRPr="00BE2D22" w:rsidR="00EA2A3B">
        <w:rPr>
          <w:szCs w:val="24"/>
        </w:rPr>
        <w:t xml:space="preserve">to believe (as seen in its non-responses to OCC’s written discovery) that discovery should be strictly limited to </w:t>
      </w:r>
      <w:r w:rsidRPr="00BE2D22" w:rsidR="00BF7948">
        <w:rPr>
          <w:szCs w:val="24"/>
        </w:rPr>
        <w:t>the scope of the show cause order, where it was required to demonstrate that the costs of</w:t>
      </w:r>
      <w:r w:rsidRPr="00BE2D22" w:rsidR="00E60188">
        <w:rPr>
          <w:szCs w:val="24"/>
        </w:rPr>
        <w:t xml:space="preserve"> HB 6 activities </w:t>
      </w:r>
      <w:r w:rsidRPr="00BE2D22" w:rsidR="00BF7948">
        <w:rPr>
          <w:szCs w:val="24"/>
        </w:rPr>
        <w:t xml:space="preserve">was not included in customer </w:t>
      </w:r>
      <w:r w:rsidRPr="00BE2D22" w:rsidR="00CF238E">
        <w:rPr>
          <w:szCs w:val="24"/>
        </w:rPr>
        <w:t>charges</w:t>
      </w:r>
      <w:r w:rsidRPr="00BE2D22" w:rsidR="00BF7948">
        <w:rPr>
          <w:szCs w:val="24"/>
        </w:rPr>
        <w:t>.</w:t>
      </w:r>
      <w:r>
        <w:rPr>
          <w:rStyle w:val="FootnoteReference"/>
          <w:szCs w:val="24"/>
        </w:rPr>
        <w:footnoteReference w:id="16"/>
      </w:r>
      <w:r w:rsidRPr="00BE2D22" w:rsidR="00BF7948">
        <w:rPr>
          <w:szCs w:val="24"/>
        </w:rPr>
        <w:t xml:space="preserve">  </w:t>
      </w:r>
      <w:r w:rsidRPr="00BE2D22" w:rsidR="00476E28">
        <w:rPr>
          <w:szCs w:val="24"/>
        </w:rPr>
        <w:t>FirstEnergy</w:t>
      </w:r>
      <w:r w:rsidRPr="00BE2D22" w:rsidR="00EA2A3B">
        <w:rPr>
          <w:szCs w:val="24"/>
        </w:rPr>
        <w:t xml:space="preserve"> also </w:t>
      </w:r>
      <w:r w:rsidRPr="00BE2D22" w:rsidR="00700C89">
        <w:rPr>
          <w:szCs w:val="24"/>
        </w:rPr>
        <w:t>claim</w:t>
      </w:r>
      <w:r w:rsidRPr="00BE2D22" w:rsidR="00476E28">
        <w:rPr>
          <w:szCs w:val="24"/>
        </w:rPr>
        <w:t>s</w:t>
      </w:r>
      <w:r w:rsidRPr="00BE2D22" w:rsidR="00700C89">
        <w:rPr>
          <w:szCs w:val="24"/>
        </w:rPr>
        <w:t xml:space="preserve"> that OCC’s </w:t>
      </w:r>
      <w:r w:rsidRPr="00BE2D22" w:rsidR="00BF7948">
        <w:rPr>
          <w:szCs w:val="24"/>
        </w:rPr>
        <w:t xml:space="preserve">pleadings (its interlocutory appeal) and its written discovery, show that OCC is attempting to delve into </w:t>
      </w:r>
      <w:r w:rsidRPr="00BE2D22" w:rsidR="00700C89">
        <w:rPr>
          <w:szCs w:val="24"/>
        </w:rPr>
        <w:t>discovery</w:t>
      </w:r>
      <w:r w:rsidRPr="00BE2D22" w:rsidR="00EA2A3B">
        <w:rPr>
          <w:szCs w:val="24"/>
        </w:rPr>
        <w:t xml:space="preserve"> that </w:t>
      </w:r>
      <w:r w:rsidRPr="00BE2D22" w:rsidR="00700C89">
        <w:rPr>
          <w:szCs w:val="24"/>
        </w:rPr>
        <w:t xml:space="preserve">involves “the Companies’ </w:t>
      </w:r>
      <w:r w:rsidRPr="00BE2D22" w:rsidR="00EA2A3B">
        <w:rPr>
          <w:szCs w:val="24"/>
        </w:rPr>
        <w:t>political and charitable spending over the course of many years.”</w:t>
      </w:r>
      <w:r>
        <w:rPr>
          <w:rStyle w:val="FootnoteReference"/>
          <w:szCs w:val="24"/>
        </w:rPr>
        <w:footnoteReference w:id="17"/>
      </w:r>
      <w:r w:rsidRPr="00BE2D22" w:rsidR="00EA2A3B">
        <w:rPr>
          <w:szCs w:val="24"/>
        </w:rPr>
        <w:t xml:space="preserve">  </w:t>
      </w:r>
    </w:p>
    <w:p w:rsidR="00D867A4" w:rsidRPr="00BE2D22" w:rsidP="00D867A4" w14:paraId="2DED526D" w14:textId="39A638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left="0"/>
        <w:rPr>
          <w:szCs w:val="24"/>
        </w:rPr>
      </w:pPr>
      <w:r w:rsidRPr="00BE2D22">
        <w:rPr>
          <w:szCs w:val="24"/>
        </w:rPr>
        <w:tab/>
        <w:t xml:space="preserve">The PUCO should resist </w:t>
      </w:r>
      <w:r w:rsidRPr="00BE2D22" w:rsidR="003C079A">
        <w:rPr>
          <w:szCs w:val="24"/>
        </w:rPr>
        <w:t>FirstEnergy</w:t>
      </w:r>
      <w:r w:rsidRPr="00BE2D22" w:rsidR="006643AB">
        <w:rPr>
          <w:szCs w:val="24"/>
        </w:rPr>
        <w:t>’</w:t>
      </w:r>
      <w:r w:rsidRPr="00BE2D22" w:rsidR="00797FB8">
        <w:rPr>
          <w:szCs w:val="24"/>
        </w:rPr>
        <w:t>s</w:t>
      </w:r>
      <w:r w:rsidRPr="00BE2D22">
        <w:rPr>
          <w:szCs w:val="24"/>
        </w:rPr>
        <w:t xml:space="preserve"> efforts to derail its review of FirstEnergy’s spending on HB 6 activities.  The PUCO should not let </w:t>
      </w:r>
      <w:r w:rsidRPr="00BE2D22" w:rsidR="00476E28">
        <w:rPr>
          <w:szCs w:val="24"/>
        </w:rPr>
        <w:t xml:space="preserve">FirstEnergy </w:t>
      </w:r>
      <w:r w:rsidRPr="00BE2D22" w:rsidR="00700C89">
        <w:rPr>
          <w:szCs w:val="24"/>
        </w:rPr>
        <w:t>redefine the subject matter of this proceeding, restricting it to rate impacts</w:t>
      </w:r>
      <w:r w:rsidRPr="00BE2D22">
        <w:rPr>
          <w:szCs w:val="24"/>
        </w:rPr>
        <w:t xml:space="preserve"> </w:t>
      </w:r>
      <w:r w:rsidRPr="00BE2D22" w:rsidR="00700C89">
        <w:rPr>
          <w:szCs w:val="24"/>
        </w:rPr>
        <w:t xml:space="preserve">and not utility expenditures. </w:t>
      </w:r>
      <w:r w:rsidRPr="00BE2D22">
        <w:rPr>
          <w:szCs w:val="24"/>
        </w:rPr>
        <w:t xml:space="preserve">Restricting the PUCO’s review is inconsistent with the broader subject matter of this proceeding, which the PUCO defined as a </w:t>
      </w:r>
      <w:r w:rsidRPr="00BE2D22" w:rsidR="0033033D">
        <w:rPr>
          <w:szCs w:val="24"/>
        </w:rPr>
        <w:t>“</w:t>
      </w:r>
      <w:r w:rsidRPr="00BE2D22">
        <w:rPr>
          <w:szCs w:val="24"/>
        </w:rPr>
        <w:t xml:space="preserve">review </w:t>
      </w:r>
      <w:r w:rsidRPr="00BE2D22" w:rsidR="0033033D">
        <w:rPr>
          <w:szCs w:val="24"/>
        </w:rPr>
        <w:t xml:space="preserve">[of] </w:t>
      </w:r>
      <w:r w:rsidRPr="00BE2D22" w:rsidR="0033033D">
        <w:rPr>
          <w:i/>
          <w:iCs/>
          <w:szCs w:val="24"/>
        </w:rPr>
        <w:t>the political and charitable spending</w:t>
      </w:r>
      <w:r w:rsidRPr="00BE2D22" w:rsidR="0033033D">
        <w:rPr>
          <w:szCs w:val="24"/>
        </w:rPr>
        <w:t xml:space="preserve"> by FirstEnergy in support of H.B.6 and the subsequent referendum effort.”</w:t>
      </w:r>
      <w:r>
        <w:rPr>
          <w:rStyle w:val="FootnoteReference"/>
          <w:szCs w:val="24"/>
        </w:rPr>
        <w:footnoteReference w:id="18"/>
      </w:r>
      <w:r w:rsidRPr="00BE2D22" w:rsidR="0033033D">
        <w:rPr>
          <w:szCs w:val="24"/>
        </w:rPr>
        <w:t xml:space="preserve">  </w:t>
      </w:r>
    </w:p>
    <w:p w:rsidR="00D867A4" w:rsidRPr="00BE2D22" w:rsidP="00D867A4" w14:paraId="5BA9C0F4" w14:textId="7846DE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left="0"/>
        <w:rPr>
          <w:szCs w:val="24"/>
        </w:rPr>
      </w:pPr>
      <w:r w:rsidRPr="00BE2D22">
        <w:rPr>
          <w:szCs w:val="24"/>
        </w:rPr>
        <w:t xml:space="preserve"> </w:t>
      </w:r>
      <w:r w:rsidRPr="00BE2D22">
        <w:rPr>
          <w:szCs w:val="24"/>
        </w:rPr>
        <w:tab/>
        <w:t xml:space="preserve">Additionally, the mere fact that </w:t>
      </w:r>
      <w:r w:rsidRPr="00BE2D22" w:rsidR="009C1ED6">
        <w:rPr>
          <w:szCs w:val="24"/>
        </w:rPr>
        <w:t>a</w:t>
      </w:r>
      <w:r w:rsidRPr="00BE2D22" w:rsidR="00E60188">
        <w:rPr>
          <w:szCs w:val="24"/>
        </w:rPr>
        <w:t xml:space="preserve"> FirstEnergy </w:t>
      </w:r>
      <w:r w:rsidRPr="00BE2D22" w:rsidR="009C1ED6">
        <w:rPr>
          <w:szCs w:val="24"/>
        </w:rPr>
        <w:t xml:space="preserve">executive </w:t>
      </w:r>
      <w:r w:rsidRPr="00BE2D22">
        <w:rPr>
          <w:szCs w:val="24"/>
        </w:rPr>
        <w:t xml:space="preserve">claims </w:t>
      </w:r>
      <w:r w:rsidRPr="00BE2D22" w:rsidR="009C1ED6">
        <w:rPr>
          <w:szCs w:val="24"/>
        </w:rPr>
        <w:t xml:space="preserve">there is </w:t>
      </w:r>
      <w:r w:rsidRPr="00BE2D22">
        <w:rPr>
          <w:szCs w:val="24"/>
        </w:rPr>
        <w:t xml:space="preserve">no rate or rider that collects the distinct political and charitable charges from customers for political and charitable spending is beside the point.  Even if there is not a designated rate component for political and charitable spending, that does not mean that FirstEnergy did not use customer charges (supposed to be used for providing electric service) for political and charitable contributions that funded the illegal activities alleged by federal prosecutors.  If it did so that would be unjust and unreasonable.  </w:t>
      </w:r>
    </w:p>
    <w:p w:rsidR="00D867A4" w:rsidRPr="00BE2D22" w:rsidP="00D867A4" w14:paraId="5E3BF89A" w14:textId="059DE39F">
      <w:pPr>
        <w:spacing w:line="480" w:lineRule="auto"/>
        <w:ind w:firstLine="720"/>
        <w:rPr>
          <w:szCs w:val="24"/>
        </w:rPr>
      </w:pPr>
      <w:r w:rsidRPr="00BE2D22">
        <w:rPr>
          <w:szCs w:val="24"/>
        </w:rPr>
        <w:t>The PUCO has jurisdiction and authority over FirstEnergy’s spending as it relates to HB 6, as it acknowledged in its Entry when it opened a review of First Energy’s spending.  T</w:t>
      </w:r>
      <w:r w:rsidRPr="00BE2D22" w:rsidR="007550B0">
        <w:rPr>
          <w:szCs w:val="24"/>
        </w:rPr>
        <w:t xml:space="preserve">he PUCO should exercise that jurisdiction. </w:t>
      </w:r>
    </w:p>
    <w:p w:rsidR="00024343" w:rsidRPr="00BE2D22" w:rsidP="009018B4" w14:paraId="370505CD" w14:textId="41EE916C">
      <w:pPr>
        <w:pStyle w:val="Heading1"/>
        <w:rPr>
          <w:rFonts w:ascii="Times New Roman" w:hAnsi="Times New Roman" w:cs="Times New Roman"/>
          <w:szCs w:val="24"/>
        </w:rPr>
      </w:pPr>
      <w:bookmarkStart w:id="5" w:name="_Toc54881591"/>
      <w:bookmarkStart w:id="6" w:name="_Toc55226826"/>
      <w:r w:rsidRPr="00BE2D22">
        <w:rPr>
          <w:rFonts w:ascii="Times New Roman" w:hAnsi="Times New Roman" w:cs="Times New Roman"/>
          <w:szCs w:val="24"/>
        </w:rPr>
        <w:t xml:space="preserve">OCC HAS </w:t>
      </w:r>
      <w:r w:rsidRPr="00BE2D22" w:rsidR="00C80C73">
        <w:rPr>
          <w:rFonts w:ascii="Times New Roman" w:hAnsi="Times New Roman" w:cs="Times New Roman"/>
          <w:szCs w:val="24"/>
        </w:rPr>
        <w:t>AUTHORITY TO REPRESENT OHIO RESIDENTIAL CUSTOMERS IN THIS PROCEEDING</w:t>
      </w:r>
      <w:bookmarkEnd w:id="5"/>
      <w:bookmarkEnd w:id="6"/>
    </w:p>
    <w:p w:rsidR="0086004B" w:rsidRPr="00BE2D22" w:rsidP="00101A4F" w14:paraId="5E847ABC" w14:textId="2603648D">
      <w:pPr>
        <w:spacing w:line="480" w:lineRule="auto"/>
        <w:ind w:firstLine="720"/>
        <w:rPr>
          <w:rFonts w:eastAsiaTheme="minorHAnsi"/>
          <w:szCs w:val="24"/>
        </w:rPr>
      </w:pPr>
      <w:r w:rsidRPr="00BE2D22">
        <w:rPr>
          <w:rFonts w:eastAsiaTheme="minorHAnsi"/>
          <w:szCs w:val="24"/>
        </w:rPr>
        <w:t>FirstEnergy</w:t>
      </w:r>
      <w:r w:rsidRPr="00BE2D22" w:rsidR="00380B36">
        <w:rPr>
          <w:rFonts w:eastAsiaTheme="minorHAnsi"/>
          <w:szCs w:val="24"/>
        </w:rPr>
        <w:t xml:space="preserve"> claim</w:t>
      </w:r>
      <w:r w:rsidRPr="00BE2D22">
        <w:rPr>
          <w:rFonts w:eastAsiaTheme="minorHAnsi"/>
          <w:szCs w:val="24"/>
        </w:rPr>
        <w:t>s</w:t>
      </w:r>
      <w:r w:rsidRPr="00BE2D22" w:rsidR="00380B36">
        <w:rPr>
          <w:rFonts w:eastAsiaTheme="minorHAnsi"/>
          <w:szCs w:val="24"/>
        </w:rPr>
        <w:t xml:space="preserve"> that OCC does not have jurisdiction in this case because its authorizing statues do not give it </w:t>
      </w:r>
      <w:r w:rsidRPr="00BE2D22" w:rsidR="00C80C73">
        <w:rPr>
          <w:rFonts w:eastAsiaTheme="minorHAnsi"/>
          <w:szCs w:val="24"/>
        </w:rPr>
        <w:t xml:space="preserve">that </w:t>
      </w:r>
      <w:r w:rsidRPr="00BE2D22" w:rsidR="00380B36">
        <w:rPr>
          <w:rFonts w:eastAsiaTheme="minorHAnsi"/>
          <w:szCs w:val="24"/>
        </w:rPr>
        <w:t>authority</w:t>
      </w:r>
      <w:r w:rsidRPr="00BE2D22" w:rsidR="00BC6557">
        <w:rPr>
          <w:rFonts w:eastAsiaTheme="minorHAnsi"/>
          <w:szCs w:val="24"/>
        </w:rPr>
        <w:t>.</w:t>
      </w:r>
      <w:r>
        <w:rPr>
          <w:rStyle w:val="FootnoteReference"/>
          <w:rFonts w:eastAsiaTheme="minorHAnsi"/>
          <w:szCs w:val="24"/>
        </w:rPr>
        <w:footnoteReference w:id="19"/>
      </w:r>
      <w:r w:rsidRPr="00BE2D22" w:rsidR="00380B36">
        <w:rPr>
          <w:rFonts w:eastAsiaTheme="minorHAnsi"/>
          <w:szCs w:val="24"/>
        </w:rPr>
        <w:t xml:space="preserve">  </w:t>
      </w:r>
      <w:r w:rsidRPr="00BE2D22" w:rsidR="009C1ED6">
        <w:rPr>
          <w:rFonts w:eastAsiaTheme="minorHAnsi"/>
          <w:szCs w:val="24"/>
        </w:rPr>
        <w:t xml:space="preserve">They </w:t>
      </w:r>
      <w:r w:rsidRPr="00BE2D22" w:rsidR="00BC6557">
        <w:rPr>
          <w:rFonts w:eastAsiaTheme="minorHAnsi"/>
          <w:szCs w:val="24"/>
        </w:rPr>
        <w:t xml:space="preserve">point to </w:t>
      </w:r>
      <w:r w:rsidRPr="00BE2D22">
        <w:rPr>
          <w:rFonts w:eastAsiaTheme="minorHAnsi"/>
          <w:szCs w:val="24"/>
        </w:rPr>
        <w:t xml:space="preserve">two of the statutes in Chapter 4911 as constraining OCC’s authority – R.C. 4911.14 and 4911.15.  </w:t>
      </w:r>
      <w:r w:rsidRPr="00BE2D22" w:rsidR="003C079A">
        <w:rPr>
          <w:rFonts w:eastAsiaTheme="minorHAnsi"/>
          <w:szCs w:val="24"/>
        </w:rPr>
        <w:t xml:space="preserve">FirstEnergy </w:t>
      </w:r>
      <w:r w:rsidRPr="00BE2D22">
        <w:rPr>
          <w:rFonts w:eastAsiaTheme="minorHAnsi"/>
          <w:szCs w:val="24"/>
        </w:rPr>
        <w:t>argue</w:t>
      </w:r>
      <w:r w:rsidRPr="00BE2D22" w:rsidR="00762D7D">
        <w:rPr>
          <w:rFonts w:eastAsiaTheme="minorHAnsi"/>
          <w:szCs w:val="24"/>
        </w:rPr>
        <w:t>s</w:t>
      </w:r>
      <w:r w:rsidRPr="00BE2D22">
        <w:rPr>
          <w:rFonts w:eastAsiaTheme="minorHAnsi"/>
          <w:szCs w:val="24"/>
        </w:rPr>
        <w:t xml:space="preserve"> that th</w:t>
      </w:r>
      <w:r w:rsidRPr="00BE2D22" w:rsidR="001B206E">
        <w:rPr>
          <w:rFonts w:eastAsiaTheme="minorHAnsi"/>
          <w:szCs w:val="24"/>
        </w:rPr>
        <w:t xml:space="preserve">ese two statutes preclude OCC from participating in this case because the statutes limit OCC’s jurisdiction to a case that OCC or another party brings before the PUCO, an application that is made by a utility, or  a complaint case.  </w:t>
      </w:r>
      <w:r w:rsidRPr="00BE2D22" w:rsidR="00CF238E">
        <w:rPr>
          <w:rFonts w:eastAsiaTheme="minorHAnsi"/>
          <w:szCs w:val="24"/>
        </w:rPr>
        <w:t xml:space="preserve">Because </w:t>
      </w:r>
      <w:r w:rsidRPr="00BE2D22" w:rsidR="001B206E">
        <w:rPr>
          <w:rFonts w:eastAsiaTheme="minorHAnsi"/>
          <w:szCs w:val="24"/>
        </w:rPr>
        <w:t xml:space="preserve">the PUCO review </w:t>
      </w:r>
      <w:r w:rsidRPr="00BE2D22">
        <w:rPr>
          <w:rFonts w:eastAsiaTheme="minorHAnsi"/>
          <w:szCs w:val="24"/>
        </w:rPr>
        <w:t>proceeding is not</w:t>
      </w:r>
      <w:r w:rsidRPr="00BE2D22" w:rsidR="001B206E">
        <w:rPr>
          <w:rFonts w:eastAsiaTheme="minorHAnsi"/>
          <w:szCs w:val="24"/>
        </w:rPr>
        <w:t xml:space="preserve"> any one of these, </w:t>
      </w:r>
      <w:r w:rsidRPr="00BE2D22">
        <w:rPr>
          <w:rFonts w:eastAsiaTheme="minorHAnsi"/>
          <w:szCs w:val="24"/>
        </w:rPr>
        <w:t>FirstEnergy</w:t>
      </w:r>
      <w:r w:rsidRPr="00BE2D22" w:rsidR="009C1ED6">
        <w:rPr>
          <w:rFonts w:eastAsiaTheme="minorHAnsi"/>
          <w:szCs w:val="24"/>
        </w:rPr>
        <w:t xml:space="preserve"> </w:t>
      </w:r>
      <w:r w:rsidRPr="00BE2D22" w:rsidR="001B206E">
        <w:rPr>
          <w:rFonts w:eastAsiaTheme="minorHAnsi"/>
          <w:szCs w:val="24"/>
        </w:rPr>
        <w:t>argue</w:t>
      </w:r>
      <w:r w:rsidRPr="00BE2D22">
        <w:rPr>
          <w:rFonts w:eastAsiaTheme="minorHAnsi"/>
          <w:szCs w:val="24"/>
        </w:rPr>
        <w:t>s</w:t>
      </w:r>
      <w:r w:rsidRPr="00BE2D22" w:rsidR="001B206E">
        <w:rPr>
          <w:rFonts w:eastAsiaTheme="minorHAnsi"/>
          <w:szCs w:val="24"/>
        </w:rPr>
        <w:t xml:space="preserve"> that </w:t>
      </w:r>
      <w:r w:rsidRPr="00BE2D22">
        <w:rPr>
          <w:rFonts w:eastAsiaTheme="minorHAnsi"/>
          <w:szCs w:val="24"/>
        </w:rPr>
        <w:t xml:space="preserve">OCC </w:t>
      </w:r>
      <w:r w:rsidRPr="00BE2D22" w:rsidR="001B206E">
        <w:rPr>
          <w:rFonts w:eastAsiaTheme="minorHAnsi"/>
          <w:szCs w:val="24"/>
        </w:rPr>
        <w:t xml:space="preserve">has no jurisdiction </w:t>
      </w:r>
      <w:r w:rsidRPr="00BE2D22">
        <w:rPr>
          <w:rFonts w:eastAsiaTheme="minorHAnsi"/>
          <w:szCs w:val="24"/>
        </w:rPr>
        <w:t xml:space="preserve">to participate in this PUCO review. </w:t>
      </w:r>
      <w:r w:rsidRPr="00BE2D22" w:rsidR="00380B36">
        <w:rPr>
          <w:rFonts w:eastAsiaTheme="minorHAnsi"/>
          <w:szCs w:val="24"/>
        </w:rPr>
        <w:t xml:space="preserve">Again, </w:t>
      </w:r>
      <w:r w:rsidRPr="00BE2D22">
        <w:rPr>
          <w:rFonts w:eastAsiaTheme="minorHAnsi"/>
          <w:szCs w:val="24"/>
        </w:rPr>
        <w:t>FirstEnergy</w:t>
      </w:r>
      <w:r w:rsidRPr="00BE2D22" w:rsidR="00380B36">
        <w:rPr>
          <w:rFonts w:eastAsiaTheme="minorHAnsi"/>
          <w:szCs w:val="24"/>
        </w:rPr>
        <w:t>’</w:t>
      </w:r>
      <w:r w:rsidRPr="00BE2D22">
        <w:rPr>
          <w:rFonts w:eastAsiaTheme="minorHAnsi"/>
          <w:szCs w:val="24"/>
        </w:rPr>
        <w:t>s</w:t>
      </w:r>
      <w:r w:rsidRPr="00BE2D22" w:rsidR="00380B36">
        <w:rPr>
          <w:rFonts w:eastAsiaTheme="minorHAnsi"/>
          <w:szCs w:val="24"/>
        </w:rPr>
        <w:t xml:space="preserve"> argument is without merit </w:t>
      </w:r>
      <w:r w:rsidRPr="00BE2D22" w:rsidR="004E22F2">
        <w:rPr>
          <w:rFonts w:eastAsiaTheme="minorHAnsi"/>
          <w:szCs w:val="24"/>
        </w:rPr>
        <w:t xml:space="preserve">and stems </w:t>
      </w:r>
      <w:r w:rsidRPr="00BE2D22" w:rsidR="009C7148">
        <w:rPr>
          <w:rFonts w:eastAsiaTheme="minorHAnsi"/>
          <w:szCs w:val="24"/>
        </w:rPr>
        <w:t>from</w:t>
      </w:r>
      <w:r w:rsidRPr="00BE2D22" w:rsidR="00380B36">
        <w:rPr>
          <w:rFonts w:eastAsiaTheme="minorHAnsi"/>
          <w:szCs w:val="24"/>
        </w:rPr>
        <w:t xml:space="preserve"> </w:t>
      </w:r>
      <w:r w:rsidRPr="00BE2D22">
        <w:rPr>
          <w:rFonts w:eastAsiaTheme="minorHAnsi"/>
          <w:szCs w:val="24"/>
        </w:rPr>
        <w:t>its</w:t>
      </w:r>
      <w:r w:rsidRPr="00BE2D22" w:rsidR="00380B36">
        <w:rPr>
          <w:rFonts w:eastAsiaTheme="minorHAnsi"/>
          <w:szCs w:val="24"/>
        </w:rPr>
        <w:t xml:space="preserve"> overly </w:t>
      </w:r>
      <w:r w:rsidRPr="00BE2D22" w:rsidR="00D15321">
        <w:rPr>
          <w:rFonts w:eastAsiaTheme="minorHAnsi"/>
          <w:szCs w:val="24"/>
        </w:rPr>
        <w:t>narrow</w:t>
      </w:r>
      <w:r w:rsidRPr="00BE2D22" w:rsidR="00380B36">
        <w:rPr>
          <w:rFonts w:eastAsiaTheme="minorHAnsi"/>
          <w:szCs w:val="24"/>
        </w:rPr>
        <w:t xml:space="preserve"> view </w:t>
      </w:r>
      <w:r w:rsidRPr="00BE2D22" w:rsidR="004E22F2">
        <w:rPr>
          <w:rFonts w:eastAsiaTheme="minorHAnsi"/>
          <w:szCs w:val="24"/>
        </w:rPr>
        <w:t xml:space="preserve">of </w:t>
      </w:r>
      <w:r w:rsidRPr="00BE2D22" w:rsidR="00D15321">
        <w:rPr>
          <w:rFonts w:eastAsiaTheme="minorHAnsi"/>
          <w:szCs w:val="24"/>
        </w:rPr>
        <w:t xml:space="preserve">Ohio’s </w:t>
      </w:r>
      <w:r w:rsidRPr="00BE2D22" w:rsidR="00380B36">
        <w:rPr>
          <w:rFonts w:eastAsiaTheme="minorHAnsi"/>
          <w:szCs w:val="24"/>
        </w:rPr>
        <w:t>statutes.</w:t>
      </w:r>
      <w:r w:rsidRPr="00BE2D22" w:rsidR="00101A4F">
        <w:rPr>
          <w:rFonts w:eastAsiaTheme="minorHAnsi"/>
          <w:szCs w:val="24"/>
        </w:rPr>
        <w:t xml:space="preserve">  </w:t>
      </w:r>
    </w:p>
    <w:p w:rsidR="001B206E" w:rsidRPr="00BE2D22" w:rsidP="001B206E" w14:paraId="3623572A" w14:textId="3E76C9B1">
      <w:pPr>
        <w:spacing w:line="480" w:lineRule="auto"/>
        <w:ind w:firstLine="720"/>
        <w:rPr>
          <w:szCs w:val="24"/>
        </w:rPr>
      </w:pPr>
      <w:r w:rsidRPr="00BE2D22">
        <w:rPr>
          <w:szCs w:val="24"/>
        </w:rPr>
        <w:t>This strained reading of two of OCC’s enabling statutes fails to consider that OCC’s “powers and duties”</w:t>
      </w:r>
      <w:r w:rsidRPr="00BE2D22" w:rsidR="00C80C73">
        <w:rPr>
          <w:szCs w:val="24"/>
        </w:rPr>
        <w:t xml:space="preserve"> </w:t>
      </w:r>
      <w:r w:rsidRPr="00BE2D22">
        <w:rPr>
          <w:szCs w:val="24"/>
        </w:rPr>
        <w:t>are more broadly defined under a preceding and controlling enabling statute, R.C. 4911.02(B)(2).  There OCC’s authority is described as “[w]ithout limitation because of enumeration.” The</w:t>
      </w:r>
      <w:r w:rsidRPr="00BE2D22" w:rsidR="009C1ED6">
        <w:rPr>
          <w:szCs w:val="24"/>
        </w:rPr>
        <w:t xml:space="preserve"> PUCO</w:t>
      </w:r>
      <w:r w:rsidRPr="00BE2D22">
        <w:rPr>
          <w:szCs w:val="24"/>
        </w:rPr>
        <w:t xml:space="preserve"> has conceded that this phrase in OCC’s enabling statute “conveys the intent of the legislators that the provisions of Section 4911.02 should be construed as broadly as possible.”</w:t>
      </w:r>
      <w:r w:rsidRPr="00BE2D22">
        <w:rPr>
          <w:i/>
          <w:iCs/>
          <w:szCs w:val="24"/>
        </w:rPr>
        <w:t xml:space="preserve"> In the Matter of the Complaint of the Office of </w:t>
      </w:r>
      <w:r w:rsidRPr="00BE2D22" w:rsidR="00C80C73">
        <w:rPr>
          <w:i/>
          <w:iCs/>
          <w:szCs w:val="24"/>
        </w:rPr>
        <w:t>C</w:t>
      </w:r>
      <w:r w:rsidRPr="00BE2D22">
        <w:rPr>
          <w:i/>
          <w:iCs/>
          <w:szCs w:val="24"/>
        </w:rPr>
        <w:t>onsumers Counsel on Behalf of the Residents of Co</w:t>
      </w:r>
      <w:r w:rsidRPr="00BE2D22" w:rsidR="00C80C73">
        <w:rPr>
          <w:i/>
          <w:iCs/>
          <w:szCs w:val="24"/>
        </w:rPr>
        <w:t>p</w:t>
      </w:r>
      <w:r w:rsidRPr="00BE2D22">
        <w:rPr>
          <w:i/>
          <w:iCs/>
          <w:szCs w:val="24"/>
        </w:rPr>
        <w:t>ley Village Condominium Association v. Ohio Edison Company</w:t>
      </w:r>
      <w:r w:rsidRPr="00BE2D22">
        <w:rPr>
          <w:szCs w:val="24"/>
        </w:rPr>
        <w:t xml:space="preserve">, Case No. 89-1032-EL-CSS, Entry at ¶11 (Oct. 6, 1989). </w:t>
      </w:r>
      <w:r w:rsidRPr="00BE2D22" w:rsidR="00C80C73">
        <w:rPr>
          <w:szCs w:val="24"/>
        </w:rPr>
        <w:t xml:space="preserve"> </w:t>
      </w:r>
    </w:p>
    <w:p w:rsidR="00D5449F" w:rsidRPr="00BE2D22" w:rsidP="00D5449F" w14:paraId="0DB25195" w14:textId="6A1C8C6F">
      <w:pPr>
        <w:spacing w:line="480" w:lineRule="auto"/>
        <w:ind w:firstLine="720"/>
        <w:rPr>
          <w:rFonts w:eastAsiaTheme="minorHAnsi"/>
          <w:szCs w:val="24"/>
        </w:rPr>
      </w:pPr>
      <w:r w:rsidRPr="00BE2D22">
        <w:rPr>
          <w:rFonts w:eastAsiaTheme="minorHAnsi"/>
          <w:szCs w:val="24"/>
        </w:rPr>
        <w:t>And the PUCO has correctly determined that when a statute includes a listing, preceded by words such as “including” or “without limitation” the list that follows does not create an exhaustive list.</w:t>
      </w:r>
      <w:r>
        <w:rPr>
          <w:rStyle w:val="FootnoteReference"/>
          <w:rFonts w:eastAsiaTheme="minorHAnsi"/>
          <w:szCs w:val="24"/>
        </w:rPr>
        <w:footnoteReference w:id="20"/>
      </w:r>
      <w:r w:rsidRPr="00BE2D22">
        <w:rPr>
          <w:rFonts w:eastAsiaTheme="minorHAnsi"/>
          <w:szCs w:val="24"/>
        </w:rPr>
        <w:t xml:space="preserve">  When that rule of statutory interpretation is applied to OCC’s general statutory grant of authority under R.C. 4911.02, FirstEnergy</w:t>
      </w:r>
      <w:r w:rsidRPr="00BE2D22" w:rsidR="009C1ED6">
        <w:rPr>
          <w:rFonts w:eastAsiaTheme="minorHAnsi"/>
          <w:szCs w:val="24"/>
        </w:rPr>
        <w:t>’</w:t>
      </w:r>
      <w:r w:rsidRPr="00BE2D22" w:rsidR="00476E28">
        <w:rPr>
          <w:rFonts w:eastAsiaTheme="minorHAnsi"/>
          <w:szCs w:val="24"/>
        </w:rPr>
        <w:t>s</w:t>
      </w:r>
      <w:r w:rsidRPr="00BE2D22" w:rsidR="009C1ED6">
        <w:rPr>
          <w:rFonts w:eastAsiaTheme="minorHAnsi"/>
          <w:szCs w:val="24"/>
        </w:rPr>
        <w:t xml:space="preserve"> </w:t>
      </w:r>
      <w:r w:rsidRPr="00BE2D22">
        <w:rPr>
          <w:rFonts w:eastAsiaTheme="minorHAnsi"/>
          <w:szCs w:val="24"/>
        </w:rPr>
        <w:t xml:space="preserve">argument fails once again.  OCC’s general statutory authority under R.C. 4911.02 is described as “without limitation because of enumeration” so the conditions that follow ((a) through (d)) must be construed as examples of matters that OCC may participate in, not limits on matters that OCC can participate in. For this very reason, the PUCO has in several cases rejected parties’ attempts to limit OCC’s participation in PUCO hearings, using the same arguments </w:t>
      </w:r>
      <w:r w:rsidRPr="00BE2D22" w:rsidR="00476E28">
        <w:rPr>
          <w:rFonts w:eastAsiaTheme="minorHAnsi"/>
          <w:szCs w:val="24"/>
        </w:rPr>
        <w:t>FirstEnergy</w:t>
      </w:r>
      <w:r w:rsidRPr="00BE2D22" w:rsidR="009C1ED6">
        <w:rPr>
          <w:rFonts w:eastAsiaTheme="minorHAnsi"/>
          <w:szCs w:val="24"/>
        </w:rPr>
        <w:t xml:space="preserve"> </w:t>
      </w:r>
      <w:r w:rsidRPr="00BE2D22">
        <w:rPr>
          <w:rFonts w:eastAsiaTheme="minorHAnsi"/>
          <w:szCs w:val="24"/>
        </w:rPr>
        <w:t>now offer</w:t>
      </w:r>
      <w:r w:rsidRPr="00BE2D22" w:rsidR="00476E28">
        <w:rPr>
          <w:rFonts w:eastAsiaTheme="minorHAnsi"/>
          <w:szCs w:val="24"/>
        </w:rPr>
        <w:t>s</w:t>
      </w:r>
      <w:r w:rsidRPr="00BE2D22">
        <w:rPr>
          <w:rFonts w:eastAsiaTheme="minorHAnsi"/>
          <w:szCs w:val="24"/>
        </w:rPr>
        <w:t>.</w:t>
      </w:r>
      <w:r>
        <w:rPr>
          <w:rStyle w:val="FootnoteReference"/>
          <w:rFonts w:eastAsiaTheme="minorHAnsi"/>
          <w:szCs w:val="24"/>
        </w:rPr>
        <w:footnoteReference w:id="21"/>
      </w:r>
    </w:p>
    <w:p w:rsidR="001B206E" w:rsidRPr="00BE2D22" w:rsidP="001B206E" w14:paraId="04D3A98C" w14:textId="61DF5D91">
      <w:pPr>
        <w:spacing w:line="480" w:lineRule="auto"/>
        <w:ind w:firstLine="720"/>
        <w:rPr>
          <w:szCs w:val="24"/>
        </w:rPr>
      </w:pPr>
      <w:r w:rsidRPr="00BE2D22">
        <w:rPr>
          <w:szCs w:val="24"/>
        </w:rPr>
        <w:t>Additionally, under th</w:t>
      </w:r>
      <w:r w:rsidRPr="00BE2D22" w:rsidR="00C80C73">
        <w:rPr>
          <w:szCs w:val="24"/>
        </w:rPr>
        <w:t xml:space="preserve">at </w:t>
      </w:r>
      <w:r w:rsidRPr="00BE2D22">
        <w:rPr>
          <w:szCs w:val="24"/>
        </w:rPr>
        <w:t xml:space="preserve">general grant of statutory authority to OCC, there is also a more specific grant of authority allowing OCC to represent residential customers in this proceeding:  R.C. 4911.02(B)(2)(b).  There, the Ohio General Assembly gave OCC the power to “take appropriate action with respect to residential customer complaints concerning quality of service, service charges, and </w:t>
      </w:r>
      <w:r w:rsidRPr="00BE2D22">
        <w:rPr>
          <w:i/>
          <w:iCs/>
          <w:szCs w:val="24"/>
        </w:rPr>
        <w:t>the operation of the public utilities commission</w:t>
      </w:r>
      <w:r w:rsidRPr="00BE2D22">
        <w:rPr>
          <w:szCs w:val="24"/>
        </w:rPr>
        <w:t xml:space="preserve">.” </w:t>
      </w:r>
      <w:r w:rsidRPr="00BE2D22" w:rsidR="00C80C73">
        <w:rPr>
          <w:szCs w:val="24"/>
        </w:rPr>
        <w:t xml:space="preserve">(emphasis added).  </w:t>
      </w:r>
      <w:r w:rsidRPr="00BE2D22">
        <w:rPr>
          <w:szCs w:val="24"/>
        </w:rPr>
        <w:t xml:space="preserve">Here where the PUCO is operating in a manner that does not serve the public’s interest (by failing to </w:t>
      </w:r>
      <w:r w:rsidRPr="00BE2D22" w:rsidR="004453C1">
        <w:rPr>
          <w:szCs w:val="24"/>
        </w:rPr>
        <w:t>adequately examine FirstEnergy’s HB 6 activities)</w:t>
      </w:r>
      <w:r>
        <w:rPr>
          <w:rStyle w:val="FootnoteReference"/>
          <w:szCs w:val="24"/>
        </w:rPr>
        <w:footnoteReference w:id="22"/>
      </w:r>
      <w:r w:rsidRPr="00BE2D22" w:rsidR="004453C1">
        <w:rPr>
          <w:szCs w:val="24"/>
        </w:rPr>
        <w:t xml:space="preserve"> </w:t>
      </w:r>
      <w:r w:rsidRPr="00BE2D22">
        <w:rPr>
          <w:szCs w:val="24"/>
        </w:rPr>
        <w:t>OCC has discrete authority to act.</w:t>
      </w:r>
    </w:p>
    <w:p w:rsidR="001B206E" w:rsidRPr="00BE2D22" w:rsidP="001B206E" w14:paraId="471C17AE" w14:textId="721C53F2">
      <w:pPr>
        <w:spacing w:line="480" w:lineRule="auto"/>
        <w:ind w:firstLine="720"/>
        <w:rPr>
          <w:szCs w:val="24"/>
        </w:rPr>
      </w:pPr>
      <w:r w:rsidRPr="00BE2D22">
        <w:rPr>
          <w:szCs w:val="24"/>
        </w:rPr>
        <w:t>OCC’s intervention and participation in this proceeding is also permitted under other provisions of Ohio law (and PUCO rules)</w:t>
      </w:r>
      <w:r w:rsidRPr="00BE2D22" w:rsidR="009C1ED6">
        <w:rPr>
          <w:szCs w:val="24"/>
        </w:rPr>
        <w:t>.</w:t>
      </w:r>
      <w:r>
        <w:rPr>
          <w:rStyle w:val="FootnoteReference"/>
          <w:szCs w:val="24"/>
        </w:rPr>
        <w:footnoteReference w:id="23"/>
      </w:r>
      <w:r w:rsidRPr="00BE2D22">
        <w:rPr>
          <w:szCs w:val="24"/>
        </w:rPr>
        <w:t xml:space="preserve">  Under R.C. 4911.02, OCC </w:t>
      </w:r>
      <w:r w:rsidRPr="00BE2D22" w:rsidR="004453C1">
        <w:rPr>
          <w:szCs w:val="24"/>
        </w:rPr>
        <w:t>“</w:t>
      </w:r>
      <w:r w:rsidRPr="00BE2D22">
        <w:rPr>
          <w:szCs w:val="24"/>
        </w:rPr>
        <w:t>shall have the rights and powers of any party and interest appearing before the public util</w:t>
      </w:r>
      <w:r w:rsidRPr="00BE2D22" w:rsidR="00D95419">
        <w:rPr>
          <w:szCs w:val="24"/>
        </w:rPr>
        <w:t>i</w:t>
      </w:r>
      <w:r w:rsidRPr="00BE2D22">
        <w:rPr>
          <w:szCs w:val="24"/>
        </w:rPr>
        <w:t xml:space="preserve">ties commission.”  R.C. 4903.221 allows </w:t>
      </w:r>
      <w:r w:rsidRPr="00BE2D22" w:rsidR="009C1ED6">
        <w:rPr>
          <w:szCs w:val="24"/>
        </w:rPr>
        <w:t>“</w:t>
      </w:r>
      <w:r w:rsidRPr="00BE2D22">
        <w:rPr>
          <w:szCs w:val="24"/>
        </w:rPr>
        <w:t>any person who may be adversely affected by a public utilities commission proceeding</w:t>
      </w:r>
      <w:r w:rsidRPr="00BE2D22" w:rsidR="009C1ED6">
        <w:rPr>
          <w:szCs w:val="24"/>
        </w:rPr>
        <w:t>”</w:t>
      </w:r>
      <w:r w:rsidRPr="00BE2D22">
        <w:rPr>
          <w:szCs w:val="24"/>
        </w:rPr>
        <w:t xml:space="preserve"> to intervene provided certain conditions are met.  OCC filed its motion to intervene explaining how it met these conditions.  In fact, OCC is one of few parties in this proceeding whose intervention was not been opposed by FirstEnergy.  </w:t>
      </w:r>
      <w:r w:rsidRPr="00BE2D22" w:rsidR="002242DD">
        <w:rPr>
          <w:szCs w:val="24"/>
        </w:rPr>
        <w:t xml:space="preserve">FirstEnergy’s </w:t>
      </w:r>
      <w:r w:rsidRPr="00BE2D22">
        <w:rPr>
          <w:szCs w:val="24"/>
        </w:rPr>
        <w:t xml:space="preserve">failure to object to OCC’s intervention at this </w:t>
      </w:r>
      <w:r w:rsidRPr="00BE2D22" w:rsidR="00FA249B">
        <w:rPr>
          <w:szCs w:val="24"/>
        </w:rPr>
        <w:t xml:space="preserve">time </w:t>
      </w:r>
      <w:r w:rsidRPr="00BE2D22">
        <w:rPr>
          <w:szCs w:val="24"/>
        </w:rPr>
        <w:t xml:space="preserve">should be considered a late-filed memorandum contra OCC’s intervention, which </w:t>
      </w:r>
      <w:r w:rsidRPr="00BE2D22" w:rsidR="00D95419">
        <w:rPr>
          <w:szCs w:val="24"/>
        </w:rPr>
        <w:t xml:space="preserve">should be denied as </w:t>
      </w:r>
      <w:r w:rsidRPr="00BE2D22">
        <w:rPr>
          <w:szCs w:val="24"/>
        </w:rPr>
        <w:t>untimely filed</w:t>
      </w:r>
      <w:r w:rsidRPr="00BE2D22" w:rsidR="00D95419">
        <w:rPr>
          <w:szCs w:val="24"/>
        </w:rPr>
        <w:t xml:space="preserve"> (</w:t>
      </w:r>
      <w:r w:rsidRPr="00BE2D22">
        <w:rPr>
          <w:szCs w:val="24"/>
        </w:rPr>
        <w:t>and filed without leave of the PUCO</w:t>
      </w:r>
      <w:r w:rsidRPr="00BE2D22" w:rsidR="00D95419">
        <w:rPr>
          <w:szCs w:val="24"/>
        </w:rPr>
        <w:t>).</w:t>
      </w:r>
      <w:r w:rsidRPr="00BE2D22">
        <w:rPr>
          <w:szCs w:val="24"/>
        </w:rPr>
        <w:t xml:space="preserve">  </w:t>
      </w:r>
    </w:p>
    <w:p w:rsidR="001B206E" w:rsidRPr="00BE2D22" w:rsidP="001B206E" w14:paraId="1BC5546A" w14:textId="36602004">
      <w:pPr>
        <w:spacing w:line="480" w:lineRule="auto"/>
        <w:ind w:firstLine="720"/>
        <w:rPr>
          <w:szCs w:val="24"/>
        </w:rPr>
      </w:pPr>
      <w:r w:rsidRPr="00BE2D22">
        <w:rPr>
          <w:szCs w:val="24"/>
        </w:rPr>
        <w:t xml:space="preserve">Moreover, this proceeding was initiated to allow a PUCO “review” of FirstEnergy’s HB 6 spending.  The review is akin to a PUCO investigation.  OCC has been permitted to intervene in numerous cases where the PUCO has initiated a review or investigation of utilities’ activities.  </w:t>
      </w:r>
      <w:r w:rsidRPr="00BE2D22">
        <w:rPr>
          <w:i/>
          <w:iCs/>
          <w:szCs w:val="24"/>
        </w:rPr>
        <w:t>See, e.g.,</w:t>
      </w:r>
      <w:r w:rsidRPr="00BE2D22">
        <w:rPr>
          <w:szCs w:val="24"/>
        </w:rPr>
        <w:t xml:space="preserve"> </w:t>
      </w:r>
      <w:r w:rsidRPr="00BE2D22">
        <w:rPr>
          <w:i/>
          <w:iCs/>
          <w:szCs w:val="24"/>
        </w:rPr>
        <w:t xml:space="preserve">In the Matter of the Commission Investigation of the Suburban Fuel Gas Inc., Relating to the Establishment of </w:t>
      </w:r>
      <w:r w:rsidRPr="00BE2D22" w:rsidR="00D95419">
        <w:rPr>
          <w:i/>
          <w:iCs/>
          <w:szCs w:val="24"/>
        </w:rPr>
        <w:t>R</w:t>
      </w:r>
      <w:r w:rsidRPr="00BE2D22">
        <w:rPr>
          <w:i/>
          <w:iCs/>
          <w:szCs w:val="24"/>
        </w:rPr>
        <w:t>ates</w:t>
      </w:r>
      <w:r w:rsidRPr="00BE2D22">
        <w:rPr>
          <w:szCs w:val="24"/>
        </w:rPr>
        <w:t>, Case No. 90-1285-GA-COI</w:t>
      </w:r>
      <w:r w:rsidRPr="00BE2D22" w:rsidR="00D95419">
        <w:rPr>
          <w:szCs w:val="24"/>
        </w:rPr>
        <w:t xml:space="preserve">, Entry </w:t>
      </w:r>
      <w:r w:rsidRPr="00BE2D22">
        <w:rPr>
          <w:szCs w:val="24"/>
        </w:rPr>
        <w:t xml:space="preserve">(Sept. 5, 1991); </w:t>
      </w:r>
      <w:r w:rsidRPr="00BE2D22">
        <w:rPr>
          <w:i/>
          <w:iCs/>
          <w:szCs w:val="24"/>
        </w:rPr>
        <w:t>In the Matter of the Commission’s Investigation of Services Provided by Columbia Gas of Ohio, Inc.</w:t>
      </w:r>
      <w:r w:rsidRPr="00BE2D22">
        <w:rPr>
          <w:szCs w:val="24"/>
        </w:rPr>
        <w:t>, Case No. 89-1586-GA-COI</w:t>
      </w:r>
      <w:r w:rsidRPr="00BE2D22" w:rsidR="00D95419">
        <w:rPr>
          <w:szCs w:val="24"/>
        </w:rPr>
        <w:t xml:space="preserve">, Entry </w:t>
      </w:r>
      <w:r w:rsidRPr="00BE2D22">
        <w:rPr>
          <w:szCs w:val="24"/>
        </w:rPr>
        <w:t xml:space="preserve">(Apr. 5, 1990); and </w:t>
      </w:r>
      <w:r w:rsidRPr="00BE2D22" w:rsidR="002242DD">
        <w:rPr>
          <w:szCs w:val="24"/>
        </w:rPr>
        <w:t xml:space="preserve"> </w:t>
      </w:r>
      <w:r w:rsidRPr="00BE2D22">
        <w:rPr>
          <w:i/>
          <w:iCs/>
          <w:szCs w:val="24"/>
        </w:rPr>
        <w:t>In the Matter of the Investigation into the Management Practices and Policies of GTE North Inc.,</w:t>
      </w:r>
      <w:r w:rsidRPr="00BE2D22">
        <w:rPr>
          <w:szCs w:val="24"/>
        </w:rPr>
        <w:t xml:space="preserve"> Case No. 85-1969-TP-COI</w:t>
      </w:r>
      <w:r w:rsidRPr="00BE2D22" w:rsidR="00D95419">
        <w:rPr>
          <w:szCs w:val="24"/>
        </w:rPr>
        <w:t xml:space="preserve">, Entry </w:t>
      </w:r>
      <w:r w:rsidRPr="00BE2D22">
        <w:rPr>
          <w:szCs w:val="24"/>
        </w:rPr>
        <w:t xml:space="preserve">(Oct. 28, 1988).   </w:t>
      </w:r>
    </w:p>
    <w:p w:rsidR="00305924" w:rsidRPr="00BE2D22" w:rsidP="001B206E" w14:paraId="6CDF5AF7" w14:textId="14F61538">
      <w:pPr>
        <w:spacing w:line="480" w:lineRule="auto"/>
        <w:ind w:firstLine="720"/>
        <w:rPr>
          <w:szCs w:val="24"/>
        </w:rPr>
      </w:pPr>
      <w:r w:rsidRPr="00BE2D22">
        <w:rPr>
          <w:szCs w:val="24"/>
        </w:rPr>
        <w:t xml:space="preserve">FirstEnergy’s arguments to limit OCC’s participation in this proceeding </w:t>
      </w:r>
      <w:r w:rsidRPr="00BE2D22" w:rsidR="002242DD">
        <w:rPr>
          <w:szCs w:val="24"/>
        </w:rPr>
        <w:t>should</w:t>
      </w:r>
      <w:r w:rsidRPr="00BE2D22">
        <w:rPr>
          <w:szCs w:val="24"/>
        </w:rPr>
        <w:t xml:space="preserve"> be denied.</w:t>
      </w:r>
    </w:p>
    <w:p w:rsidR="001630FB" w:rsidRPr="00BE2D22" w:rsidP="009018B4" w14:paraId="063A59F1" w14:textId="4C352A5B">
      <w:pPr>
        <w:pStyle w:val="Heading1"/>
        <w:rPr>
          <w:rFonts w:ascii="Times New Roman" w:hAnsi="Times New Roman" w:cs="Times New Roman"/>
          <w:szCs w:val="24"/>
        </w:rPr>
      </w:pPr>
      <w:bookmarkStart w:id="7" w:name="_Toc54881592"/>
      <w:bookmarkStart w:id="8" w:name="_Toc55226827"/>
      <w:r w:rsidRPr="00BE2D22">
        <w:rPr>
          <w:rFonts w:ascii="Times New Roman" w:hAnsi="Times New Roman" w:cs="Times New Roman"/>
          <w:szCs w:val="24"/>
        </w:rPr>
        <w:t>OCC IS ENTITLED TO AMPLE RIGHTS OF DISCOVERY UNDER OHIO LAW, OHIO SUPREME COURT PRECEDENT AND PUCO RULES</w:t>
      </w:r>
      <w:bookmarkEnd w:id="7"/>
      <w:bookmarkEnd w:id="8"/>
      <w:r w:rsidRPr="00BE2D22">
        <w:rPr>
          <w:rFonts w:ascii="Times New Roman" w:hAnsi="Times New Roman" w:cs="Times New Roman"/>
          <w:szCs w:val="24"/>
        </w:rPr>
        <w:t xml:space="preserve"> </w:t>
      </w:r>
      <w:r w:rsidRPr="00BE2D22">
        <w:rPr>
          <w:rFonts w:ascii="Times New Roman" w:hAnsi="Times New Roman" w:cs="Times New Roman"/>
          <w:bCs/>
          <w:szCs w:val="24"/>
        </w:rPr>
        <w:t xml:space="preserve"> </w:t>
      </w:r>
      <w:r w:rsidRPr="00BE2D22">
        <w:rPr>
          <w:rFonts w:ascii="Times New Roman" w:hAnsi="Times New Roman" w:cs="Times New Roman"/>
          <w:szCs w:val="24"/>
        </w:rPr>
        <w:t xml:space="preserve">  </w:t>
      </w:r>
    </w:p>
    <w:p w:rsidR="00D64758" w:rsidRPr="00BE2D22" w:rsidP="008C6D7C" w14:paraId="4FB68928" w14:textId="77777777">
      <w:pPr>
        <w:spacing w:line="480" w:lineRule="auto"/>
        <w:ind w:firstLine="720"/>
        <w:rPr>
          <w:color w:val="000000"/>
          <w:szCs w:val="24"/>
        </w:rPr>
      </w:pPr>
      <w:r w:rsidRPr="00BE2D22">
        <w:rPr>
          <w:szCs w:val="24"/>
        </w:rPr>
        <w:t>A</w:t>
      </w:r>
      <w:r w:rsidRPr="00BE2D22">
        <w:rPr>
          <w:color w:val="000000"/>
          <w:szCs w:val="24"/>
        </w:rPr>
        <w:t>ccording to the PUCO “the policy of discovery is to allow the parties to prepare cases and to encourage them to prepare thoroughly without taking undue advantage of the other side’s industry or efforts.”</w:t>
      </w:r>
      <w:r>
        <w:rPr>
          <w:szCs w:val="24"/>
          <w:vertAlign w:val="superscript"/>
        </w:rPr>
        <w:footnoteReference w:id="24"/>
      </w:r>
      <w:r w:rsidRPr="00BE2D22">
        <w:rPr>
          <w:color w:val="000000"/>
          <w:szCs w:val="24"/>
        </w:rPr>
        <w:t xml:space="preserve">  The PUCO’s rules on discovery “</w:t>
      </w:r>
      <w:r w:rsidRPr="00BE2D22">
        <w:rPr>
          <w:i/>
          <w:color w:val="000000"/>
          <w:szCs w:val="24"/>
        </w:rPr>
        <w:t>do not create an additional field of combat to delay trials or to appropriate the Commission’s time and resources</w:t>
      </w:r>
      <w:r w:rsidRPr="00BE2D22">
        <w:rPr>
          <w:color w:val="000000"/>
          <w:szCs w:val="24"/>
        </w:rPr>
        <w:t>; they are designed to confine discovery procedures to counsel and to expedite the administration of the Commission proceedings.”</w:t>
      </w:r>
      <w:r>
        <w:rPr>
          <w:szCs w:val="24"/>
          <w:vertAlign w:val="superscript"/>
        </w:rPr>
        <w:footnoteReference w:id="25"/>
      </w:r>
      <w:r w:rsidRPr="00BE2D22">
        <w:rPr>
          <w:color w:val="000000"/>
          <w:szCs w:val="24"/>
        </w:rPr>
        <w:t xml:space="preserve"> </w:t>
      </w:r>
      <w:r w:rsidRPr="00BE2D22" w:rsidR="007F0F08">
        <w:rPr>
          <w:color w:val="000000"/>
          <w:szCs w:val="24"/>
        </w:rPr>
        <w:t xml:space="preserve"> </w:t>
      </w:r>
    </w:p>
    <w:p w:rsidR="00BF2F18" w:rsidRPr="00BE2D22" w:rsidP="008C6D7C" w14:paraId="302EEB10" w14:textId="6B353A9B">
      <w:pPr>
        <w:spacing w:line="480" w:lineRule="auto"/>
        <w:ind w:firstLine="720"/>
        <w:rPr>
          <w:szCs w:val="24"/>
        </w:rPr>
      </w:pPr>
      <w:r w:rsidRPr="00BE2D22">
        <w:rPr>
          <w:szCs w:val="24"/>
        </w:rPr>
        <w:t xml:space="preserve">The PUCO rules allow parties to obtain “discovery on any matter, not privileged, which is relevant to the subject matter of the proceeding.” Ohio Adm. Code 4901-1-16(B).  The PUCO rule setting the scope of discovery is similar to Civ.R. 26(B)(1) which governs the scope of discovery in civil cases.  Civ.R.26(B)(1) has been liberally construed to allow for broad discovery of any unprivileged matter relevant to the subject matter of the pending proceeding.  </w:t>
      </w:r>
      <w:r w:rsidRPr="00BE2D22">
        <w:rPr>
          <w:i/>
          <w:iCs/>
          <w:szCs w:val="24"/>
        </w:rPr>
        <w:t>Moskovitz v. Mt. Sinai Med. Ctr</w:t>
      </w:r>
      <w:r w:rsidRPr="00BE2D22">
        <w:rPr>
          <w:szCs w:val="24"/>
        </w:rPr>
        <w:t>. (1994), 69 Ohio St.3d 638, 661, 1994 Ohio 324</w:t>
      </w:r>
      <w:r w:rsidRPr="00BE2D22" w:rsidR="00660727">
        <w:rPr>
          <w:szCs w:val="24"/>
        </w:rPr>
        <w:t>.</w:t>
      </w:r>
      <w:r w:rsidRPr="00BE2D22">
        <w:rPr>
          <w:szCs w:val="24"/>
        </w:rPr>
        <w:t xml:space="preserve">  </w:t>
      </w:r>
    </w:p>
    <w:p w:rsidR="005E2CC6" w:rsidRPr="00BE2D22" w:rsidP="008C6D7C" w14:paraId="5AD49956" w14:textId="74162DCA">
      <w:pPr>
        <w:autoSpaceDE w:val="0"/>
        <w:autoSpaceDN w:val="0"/>
        <w:adjustRightInd w:val="0"/>
        <w:spacing w:line="480" w:lineRule="auto"/>
        <w:ind w:firstLine="720"/>
        <w:rPr>
          <w:szCs w:val="24"/>
        </w:rPr>
      </w:pPr>
      <w:r w:rsidRPr="00BE2D22">
        <w:rPr>
          <w:rFonts w:eastAsiaTheme="minorHAnsi"/>
          <w:szCs w:val="24"/>
        </w:rPr>
        <w:t xml:space="preserve"> </w:t>
      </w:r>
      <w:r w:rsidRPr="00BE2D22" w:rsidR="00D64758">
        <w:rPr>
          <w:color w:val="000000"/>
          <w:szCs w:val="24"/>
        </w:rPr>
        <w:t xml:space="preserve">The PUCO rules are intended to facilitate full and reasonable discovery, consistent with the statutory discovery rights parties are afforded under Ohio law. </w:t>
      </w:r>
      <w:r w:rsidRPr="00BE2D22" w:rsidR="003219FB">
        <w:rPr>
          <w:color w:val="000000"/>
          <w:szCs w:val="24"/>
        </w:rPr>
        <w:t xml:space="preserve"> Under </w:t>
      </w:r>
      <w:r w:rsidRPr="00BE2D22" w:rsidR="007F0F08">
        <w:rPr>
          <w:rFonts w:eastAsiaTheme="minorHAnsi"/>
          <w:szCs w:val="24"/>
        </w:rPr>
        <w:t xml:space="preserve">Ohio law, </w:t>
      </w:r>
      <w:r w:rsidRPr="00BE2D22" w:rsidR="000B1A9A">
        <w:rPr>
          <w:szCs w:val="24"/>
        </w:rPr>
        <w:t xml:space="preserve">R.C. </w:t>
      </w:r>
      <w:r w:rsidRPr="00BE2D22" w:rsidR="00B825F4">
        <w:rPr>
          <w:szCs w:val="24"/>
        </w:rPr>
        <w:t xml:space="preserve">§ </w:t>
      </w:r>
      <w:r w:rsidRPr="00BE2D22" w:rsidR="000B1A9A">
        <w:rPr>
          <w:szCs w:val="24"/>
        </w:rPr>
        <w:t>4903.082</w:t>
      </w:r>
      <w:r w:rsidRPr="00BE2D22" w:rsidR="007F0F08">
        <w:rPr>
          <w:szCs w:val="24"/>
        </w:rPr>
        <w:t>,</w:t>
      </w:r>
      <w:r w:rsidRPr="00BE2D22" w:rsidR="000B1A9A">
        <w:rPr>
          <w:szCs w:val="24"/>
        </w:rPr>
        <w:t xml:space="preserve"> “[a]ll parties and intervenors shall be granted ample rights of discovery.”</w:t>
      </w:r>
      <w:r w:rsidRPr="00BE2D22" w:rsidR="007F0F08">
        <w:rPr>
          <w:szCs w:val="24"/>
        </w:rPr>
        <w:t xml:space="preserve"> </w:t>
      </w:r>
      <w:r w:rsidRPr="00BE2D22" w:rsidR="007F0F08">
        <w:rPr>
          <w:i/>
          <w:iCs/>
          <w:szCs w:val="24"/>
        </w:rPr>
        <w:t>See</w:t>
      </w:r>
      <w:r w:rsidRPr="00BE2D22" w:rsidR="007F0F08">
        <w:rPr>
          <w:szCs w:val="24"/>
        </w:rPr>
        <w:t xml:space="preserve"> </w:t>
      </w:r>
      <w:r w:rsidRPr="00BE2D22" w:rsidR="007F0F08">
        <w:rPr>
          <w:i/>
          <w:iCs/>
          <w:szCs w:val="24"/>
        </w:rPr>
        <w:t>OCC</w:t>
      </w:r>
      <w:r w:rsidRPr="00BE2D22" w:rsidR="00FA3493">
        <w:rPr>
          <w:i/>
          <w:iCs/>
          <w:szCs w:val="24"/>
        </w:rPr>
        <w:t xml:space="preserve"> </w:t>
      </w:r>
      <w:r w:rsidRPr="00BE2D22" w:rsidR="007F0F08">
        <w:rPr>
          <w:i/>
          <w:iCs/>
          <w:szCs w:val="24"/>
        </w:rPr>
        <w:t xml:space="preserve"> v. PUC,</w:t>
      </w:r>
      <w:r w:rsidRPr="00BE2D22" w:rsidR="007F0F08">
        <w:rPr>
          <w:szCs w:val="24"/>
        </w:rPr>
        <w:t xml:space="preserve"> 111 Ohio St.3d 300, 2006-Ohio-5789</w:t>
      </w:r>
      <w:r w:rsidRPr="00BE2D22" w:rsidR="00FA3493">
        <w:rPr>
          <w:szCs w:val="24"/>
        </w:rPr>
        <w:t>.</w:t>
      </w:r>
      <w:r w:rsidRPr="00BE2D22" w:rsidR="007F0F08">
        <w:rPr>
          <w:szCs w:val="24"/>
        </w:rPr>
        <w:t xml:space="preserve"> </w:t>
      </w:r>
      <w:r w:rsidRPr="00BE2D22" w:rsidR="00B40A96">
        <w:rPr>
          <w:szCs w:val="24"/>
        </w:rPr>
        <w:t>The discovery statute was effective in 1983 as part of a more comprehensive regulatory reform</w:t>
      </w:r>
      <w:r w:rsidRPr="00BE2D22" w:rsidR="005651AF">
        <w:rPr>
          <w:szCs w:val="24"/>
        </w:rPr>
        <w:t>.  R.C. 4903.082</w:t>
      </w:r>
      <w:r w:rsidRPr="00BE2D22" w:rsidR="00B40A96">
        <w:rPr>
          <w:szCs w:val="24"/>
        </w:rPr>
        <w:t xml:space="preserve"> was intended to protect discovery rights for parties in PUCO cases.  Yet all these years later, FirstEnergy is impeding OCC’s discovery efforts. The PUCO should not allow FirstEnergy’s obstructionist tactics being used to deny OCC the ample discovery rights allowed under Ohio law and PUCO rules.</w:t>
      </w:r>
      <w:r w:rsidRPr="00BE2D22" w:rsidR="00D64758">
        <w:rPr>
          <w:szCs w:val="24"/>
        </w:rPr>
        <w:t xml:space="preserve">  </w:t>
      </w:r>
    </w:p>
    <w:p w:rsidR="007132BC" w:rsidRPr="00BE2D22" w:rsidP="005E2CC6" w14:paraId="534CB940" w14:textId="1D9AA939">
      <w:pPr>
        <w:autoSpaceDE w:val="0"/>
        <w:autoSpaceDN w:val="0"/>
        <w:adjustRightInd w:val="0"/>
        <w:spacing w:line="480" w:lineRule="auto"/>
        <w:ind w:firstLine="720"/>
        <w:rPr>
          <w:color w:val="000000"/>
          <w:szCs w:val="24"/>
          <w:shd w:val="clear" w:color="auto" w:fill="FFFFFF"/>
        </w:rPr>
      </w:pPr>
      <w:r w:rsidRPr="00BE2D22">
        <w:rPr>
          <w:szCs w:val="24"/>
        </w:rPr>
        <w:t>O</w:t>
      </w:r>
      <w:r w:rsidRPr="00BE2D22" w:rsidR="001630FB">
        <w:rPr>
          <w:szCs w:val="24"/>
        </w:rPr>
        <w:t xml:space="preserve">CC has moved to intervene in this proceeding, which was unopposed by </w:t>
      </w:r>
      <w:r w:rsidRPr="00BE2D22" w:rsidR="00305924">
        <w:rPr>
          <w:szCs w:val="24"/>
        </w:rPr>
        <w:t>FirstEnergy</w:t>
      </w:r>
      <w:r w:rsidRPr="00BE2D22" w:rsidR="001630FB">
        <w:rPr>
          <w:szCs w:val="24"/>
        </w:rPr>
        <w:t>.  Under PUCO rules</w:t>
      </w:r>
      <w:r w:rsidRPr="00BE2D22" w:rsidR="000B1A9A">
        <w:rPr>
          <w:szCs w:val="24"/>
        </w:rPr>
        <w:t xml:space="preserve"> the OCC</w:t>
      </w:r>
      <w:r w:rsidRPr="00BE2D22" w:rsidR="001630FB">
        <w:rPr>
          <w:szCs w:val="24"/>
        </w:rPr>
        <w:t xml:space="preserve"> is </w:t>
      </w:r>
      <w:r w:rsidRPr="00BE2D22" w:rsidR="000B1A9A">
        <w:rPr>
          <w:szCs w:val="24"/>
        </w:rPr>
        <w:t>a party in this proceeding,</w:t>
      </w:r>
      <w:r>
        <w:rPr>
          <w:color w:val="000000"/>
          <w:szCs w:val="24"/>
          <w:vertAlign w:val="superscript"/>
        </w:rPr>
        <w:footnoteReference w:id="26"/>
      </w:r>
      <w:r w:rsidRPr="00BE2D22" w:rsidR="0017201D">
        <w:rPr>
          <w:szCs w:val="24"/>
        </w:rPr>
        <w:t xml:space="preserve"> </w:t>
      </w:r>
      <w:r w:rsidRPr="00BE2D22" w:rsidR="000B1A9A">
        <w:rPr>
          <w:szCs w:val="24"/>
        </w:rPr>
        <w:t>R.C.</w:t>
      </w:r>
      <w:r w:rsidRPr="00BE2D22" w:rsidR="00B825F4">
        <w:rPr>
          <w:szCs w:val="24"/>
        </w:rPr>
        <w:t xml:space="preserve"> </w:t>
      </w:r>
      <w:r w:rsidRPr="00BE2D22" w:rsidR="000B1A9A">
        <w:rPr>
          <w:szCs w:val="24"/>
        </w:rPr>
        <w:t>§</w:t>
      </w:r>
      <w:r w:rsidRPr="00BE2D22" w:rsidR="00B825F4">
        <w:rPr>
          <w:szCs w:val="24"/>
        </w:rPr>
        <w:t xml:space="preserve"> </w:t>
      </w:r>
      <w:r w:rsidRPr="00BE2D22" w:rsidR="000B1A9A">
        <w:rPr>
          <w:szCs w:val="24"/>
        </w:rPr>
        <w:t xml:space="preserve">4911.02(B)(2)(a) confers the OCC with the rights and powers of any party before the PUCO.  </w:t>
      </w:r>
      <w:r w:rsidRPr="00BE2D22" w:rsidR="004E22F2">
        <w:rPr>
          <w:szCs w:val="24"/>
        </w:rPr>
        <w:t>Those</w:t>
      </w:r>
      <w:r w:rsidRPr="00BE2D22" w:rsidR="000B1A9A">
        <w:rPr>
          <w:szCs w:val="24"/>
        </w:rPr>
        <w:t xml:space="preserve"> rights and powers include the ability to seek discovery in proceedings before the PUCO including </w:t>
      </w:r>
      <w:r w:rsidRPr="00BE2D22">
        <w:rPr>
          <w:szCs w:val="24"/>
        </w:rPr>
        <w:t xml:space="preserve">through </w:t>
      </w:r>
      <w:r w:rsidRPr="00BE2D22" w:rsidR="000B1A9A">
        <w:rPr>
          <w:szCs w:val="24"/>
        </w:rPr>
        <w:t>depositions.</w:t>
      </w:r>
      <w:r>
        <w:rPr>
          <w:rStyle w:val="FootnoteReference"/>
          <w:szCs w:val="24"/>
        </w:rPr>
        <w:footnoteReference w:id="27"/>
      </w:r>
      <w:r w:rsidRPr="00BE2D22" w:rsidR="000B1A9A">
        <w:rPr>
          <w:szCs w:val="24"/>
        </w:rPr>
        <w:t xml:space="preserve">  </w:t>
      </w:r>
      <w:r w:rsidRPr="00BE2D22">
        <w:rPr>
          <w:szCs w:val="24"/>
        </w:rPr>
        <w:t>FirstEnergy’s proposal to limit OCC’s ability to conduct Mr. Fanelli’s deposition is contrary to the PUCO’s rules (Ohio Adm. Code 4901-1-21) allowing any party to take the testimony, by deposition, of any other party or person, “with respect to any matter within the scope of discovery.”</w:t>
      </w:r>
    </w:p>
    <w:p w:rsidR="009C1ED6" w:rsidRPr="00BE2D22" w:rsidP="001B60DA" w14:paraId="449B9F79" w14:textId="6DE899F3">
      <w:pPr>
        <w:spacing w:line="480" w:lineRule="auto"/>
        <w:ind w:firstLine="720"/>
        <w:rPr>
          <w:szCs w:val="24"/>
        </w:rPr>
      </w:pPr>
      <w:r w:rsidRPr="00BE2D22">
        <w:rPr>
          <w:szCs w:val="24"/>
        </w:rPr>
        <w:t>Furthermore, the PUCO has established that “discovery may begin immediately after a proceeding is commenced</w:t>
      </w:r>
      <w:r w:rsidRPr="00BE2D22">
        <w:rPr>
          <w:i/>
          <w:szCs w:val="24"/>
        </w:rPr>
        <w:t>.</w:t>
      </w:r>
      <w:r w:rsidRPr="00BE2D22">
        <w:rPr>
          <w:szCs w:val="24"/>
        </w:rPr>
        <w:t>”</w:t>
      </w:r>
      <w:r>
        <w:rPr>
          <w:color w:val="000000"/>
          <w:szCs w:val="24"/>
          <w:vertAlign w:val="superscript"/>
        </w:rPr>
        <w:footnoteReference w:id="28"/>
      </w:r>
      <w:r w:rsidRPr="00BE2D22">
        <w:rPr>
          <w:szCs w:val="24"/>
        </w:rPr>
        <w:t xml:space="preserve">  This proceeding was commenced when the PUCO opened the docket to “</w:t>
      </w:r>
      <w:r w:rsidRPr="00BE2D22">
        <w:rPr>
          <w:i/>
          <w:iCs/>
          <w:szCs w:val="24"/>
        </w:rPr>
        <w:t>review the political and charitable spending</w:t>
      </w:r>
      <w:r w:rsidRPr="00BE2D22">
        <w:rPr>
          <w:szCs w:val="24"/>
        </w:rPr>
        <w:t xml:space="preserve"> by FirstEnergy in support of H</w:t>
      </w:r>
      <w:r w:rsidRPr="00BE2D22" w:rsidR="002242DD">
        <w:rPr>
          <w:szCs w:val="24"/>
        </w:rPr>
        <w:t xml:space="preserve">.B. </w:t>
      </w:r>
      <w:r w:rsidRPr="00BE2D22">
        <w:rPr>
          <w:szCs w:val="24"/>
        </w:rPr>
        <w:t xml:space="preserve">6 and the subsequent referendum effort.”  </w:t>
      </w:r>
    </w:p>
    <w:p w:rsidR="00EB42C7" w:rsidRPr="00BE2D22" w:rsidP="001B60DA" w14:paraId="1EA32C9C" w14:textId="79CD9F80">
      <w:pPr>
        <w:spacing w:line="480" w:lineRule="auto"/>
        <w:ind w:firstLine="720"/>
        <w:rPr>
          <w:rFonts w:eastAsiaTheme="minorHAnsi"/>
          <w:szCs w:val="24"/>
        </w:rPr>
      </w:pPr>
      <w:r w:rsidRPr="00BE2D22">
        <w:rPr>
          <w:szCs w:val="24"/>
        </w:rPr>
        <w:t xml:space="preserve">OCC filed a notice to take the deposition of Mr. </w:t>
      </w:r>
      <w:r w:rsidRPr="00BE2D22">
        <w:rPr>
          <w:rFonts w:eastAsiaTheme="minorHAnsi"/>
          <w:szCs w:val="24"/>
        </w:rPr>
        <w:t xml:space="preserve">Fanelli (“Notice of Deposition”). Mr. Fanelli’s affidavit was attached to the </w:t>
      </w:r>
      <w:r w:rsidRPr="00BE2D22" w:rsidR="002242DD">
        <w:rPr>
          <w:rFonts w:eastAsiaTheme="minorHAnsi"/>
          <w:szCs w:val="24"/>
        </w:rPr>
        <w:t>FirstEnergy</w:t>
      </w:r>
      <w:r w:rsidRPr="00BE2D22" w:rsidR="00FA249B">
        <w:rPr>
          <w:rFonts w:eastAsiaTheme="minorHAnsi"/>
          <w:szCs w:val="24"/>
        </w:rPr>
        <w:t>’</w:t>
      </w:r>
      <w:r w:rsidRPr="00BE2D22" w:rsidR="00A51A3A">
        <w:rPr>
          <w:rFonts w:eastAsiaTheme="minorHAnsi"/>
          <w:szCs w:val="24"/>
        </w:rPr>
        <w:t>s</w:t>
      </w:r>
      <w:r w:rsidRPr="00BE2D22">
        <w:rPr>
          <w:rFonts w:eastAsiaTheme="minorHAnsi"/>
          <w:szCs w:val="24"/>
        </w:rPr>
        <w:t xml:space="preserve"> Response to the PUCO show cause order and is presently the sole evidence submitted by the </w:t>
      </w:r>
      <w:r w:rsidRPr="00BE2D22" w:rsidR="002242DD">
        <w:rPr>
          <w:rFonts w:eastAsiaTheme="minorHAnsi"/>
          <w:szCs w:val="24"/>
        </w:rPr>
        <w:t xml:space="preserve">FirstEnergy </w:t>
      </w:r>
      <w:r w:rsidRPr="00BE2D22">
        <w:rPr>
          <w:rFonts w:eastAsiaTheme="minorHAnsi"/>
          <w:szCs w:val="24"/>
        </w:rPr>
        <w:t xml:space="preserve">Utilities as proof of their innocence.   </w:t>
      </w:r>
    </w:p>
    <w:p w:rsidR="000B1A9A" w:rsidRPr="00BE2D22" w:rsidP="001B60DA" w14:paraId="3B4F0B23" w14:textId="0102DD8B">
      <w:pPr>
        <w:spacing w:line="480" w:lineRule="auto"/>
        <w:ind w:firstLine="720"/>
        <w:rPr>
          <w:szCs w:val="24"/>
        </w:rPr>
      </w:pPr>
      <w:r w:rsidRPr="00BE2D22">
        <w:rPr>
          <w:rFonts w:eastAsiaTheme="minorHAnsi"/>
          <w:szCs w:val="24"/>
        </w:rPr>
        <w:t xml:space="preserve">And yet, </w:t>
      </w:r>
      <w:r w:rsidRPr="00BE2D22" w:rsidR="00305924">
        <w:rPr>
          <w:rFonts w:eastAsiaTheme="minorHAnsi"/>
          <w:szCs w:val="24"/>
        </w:rPr>
        <w:t>FirstEnergy</w:t>
      </w:r>
      <w:r w:rsidRPr="00BE2D22">
        <w:rPr>
          <w:rFonts w:eastAsiaTheme="minorHAnsi"/>
          <w:szCs w:val="24"/>
        </w:rPr>
        <w:t xml:space="preserve"> contend</w:t>
      </w:r>
      <w:r w:rsidRPr="00BE2D22" w:rsidR="00305924">
        <w:rPr>
          <w:rFonts w:eastAsiaTheme="minorHAnsi"/>
          <w:szCs w:val="24"/>
        </w:rPr>
        <w:t>s</w:t>
      </w:r>
      <w:r w:rsidRPr="00BE2D22">
        <w:rPr>
          <w:rFonts w:eastAsiaTheme="minorHAnsi"/>
          <w:szCs w:val="24"/>
        </w:rPr>
        <w:t xml:space="preserve"> that OCC should not be able to depose Mr. Fanelli and should instead rely on written discovery because: (a) they believe that  discovery</w:t>
      </w:r>
      <w:r w:rsidRPr="00BE2D22" w:rsidR="005D3BB2">
        <w:rPr>
          <w:rFonts w:eastAsiaTheme="minorHAnsi"/>
          <w:szCs w:val="24"/>
        </w:rPr>
        <w:t xml:space="preserve"> in general </w:t>
      </w:r>
      <w:r w:rsidRPr="00BE2D22">
        <w:rPr>
          <w:rFonts w:eastAsiaTheme="minorHAnsi"/>
          <w:szCs w:val="24"/>
        </w:rPr>
        <w:t xml:space="preserve"> is not necessary</w:t>
      </w:r>
      <w:r w:rsidRPr="00BE2D22" w:rsidR="005D3BB2">
        <w:rPr>
          <w:rFonts w:eastAsiaTheme="minorHAnsi"/>
          <w:szCs w:val="24"/>
        </w:rPr>
        <w:t xml:space="preserve"> for the PUCO’s review</w:t>
      </w:r>
      <w:r w:rsidRPr="00BE2D22">
        <w:rPr>
          <w:rFonts w:eastAsiaTheme="minorHAnsi"/>
          <w:szCs w:val="24"/>
        </w:rPr>
        <w:t xml:space="preserve">; and (b) the deposition of their sole affiant (who does not work for any of the </w:t>
      </w:r>
      <w:r w:rsidRPr="00BE2D22" w:rsidR="003C079A">
        <w:rPr>
          <w:rFonts w:eastAsiaTheme="minorHAnsi"/>
          <w:szCs w:val="24"/>
        </w:rPr>
        <w:t xml:space="preserve">FirstEnergy </w:t>
      </w:r>
      <w:r w:rsidRPr="00BE2D22">
        <w:rPr>
          <w:rFonts w:eastAsiaTheme="minorHAnsi"/>
          <w:szCs w:val="24"/>
        </w:rPr>
        <w:t>Utilities but works for a FirstEnergy affiliate named in the Criminal Complaint) is unnecessary</w:t>
      </w:r>
      <w:r w:rsidRPr="00BE2D22" w:rsidR="005D3BB2">
        <w:rPr>
          <w:rFonts w:eastAsiaTheme="minorHAnsi"/>
          <w:szCs w:val="24"/>
        </w:rPr>
        <w:t xml:space="preserve"> and inappropriate</w:t>
      </w:r>
      <w:r w:rsidRPr="00BE2D22">
        <w:rPr>
          <w:rFonts w:eastAsiaTheme="minorHAnsi"/>
          <w:szCs w:val="24"/>
        </w:rPr>
        <w:t xml:space="preserve"> because </w:t>
      </w:r>
      <w:r w:rsidRPr="00BE2D22" w:rsidR="005D3BB2">
        <w:rPr>
          <w:rFonts w:eastAsiaTheme="minorHAnsi"/>
          <w:szCs w:val="24"/>
        </w:rPr>
        <w:t xml:space="preserve">OCC’s </w:t>
      </w:r>
      <w:r w:rsidRPr="00BE2D22">
        <w:rPr>
          <w:rFonts w:eastAsiaTheme="minorHAnsi"/>
          <w:szCs w:val="24"/>
        </w:rPr>
        <w:t xml:space="preserve">written </w:t>
      </w:r>
      <w:r w:rsidRPr="00BE2D22" w:rsidR="005D3BB2">
        <w:rPr>
          <w:rFonts w:eastAsiaTheme="minorHAnsi"/>
          <w:szCs w:val="24"/>
        </w:rPr>
        <w:t>d</w:t>
      </w:r>
      <w:r w:rsidRPr="00BE2D22">
        <w:rPr>
          <w:rFonts w:eastAsiaTheme="minorHAnsi"/>
          <w:szCs w:val="24"/>
        </w:rPr>
        <w:t xml:space="preserve">iscovery requests </w:t>
      </w:r>
      <w:r w:rsidRPr="00BE2D22" w:rsidR="005D3BB2">
        <w:rPr>
          <w:rFonts w:eastAsiaTheme="minorHAnsi"/>
          <w:szCs w:val="24"/>
        </w:rPr>
        <w:t xml:space="preserve">should be good enough for OCC, making </w:t>
      </w:r>
      <w:r w:rsidRPr="00BE2D22" w:rsidR="002242DD">
        <w:rPr>
          <w:rFonts w:eastAsiaTheme="minorHAnsi"/>
          <w:szCs w:val="24"/>
        </w:rPr>
        <w:t>t</w:t>
      </w:r>
      <w:r w:rsidRPr="00BE2D22">
        <w:rPr>
          <w:rFonts w:eastAsiaTheme="minorHAnsi"/>
          <w:szCs w:val="24"/>
        </w:rPr>
        <w:t xml:space="preserve">he deposition of Mr. Fanelli </w:t>
      </w:r>
      <w:r w:rsidRPr="00BE2D22" w:rsidR="00FF092D">
        <w:rPr>
          <w:rFonts w:eastAsiaTheme="minorHAnsi"/>
          <w:szCs w:val="24"/>
        </w:rPr>
        <w:t xml:space="preserve">“redundant” </w:t>
      </w:r>
      <w:r w:rsidRPr="00BE2D22">
        <w:rPr>
          <w:rFonts w:eastAsiaTheme="minorHAnsi"/>
          <w:szCs w:val="24"/>
        </w:rPr>
        <w:t>an</w:t>
      </w:r>
      <w:r w:rsidRPr="00BE2D22" w:rsidR="00FF092D">
        <w:rPr>
          <w:rFonts w:eastAsiaTheme="minorHAnsi"/>
          <w:szCs w:val="24"/>
        </w:rPr>
        <w:t>d</w:t>
      </w:r>
      <w:r w:rsidRPr="00BE2D22">
        <w:rPr>
          <w:rFonts w:eastAsiaTheme="minorHAnsi"/>
          <w:szCs w:val="24"/>
        </w:rPr>
        <w:t xml:space="preserve"> “</w:t>
      </w:r>
      <w:r w:rsidRPr="00BE2D22" w:rsidR="00FF092D">
        <w:rPr>
          <w:rFonts w:eastAsiaTheme="minorHAnsi"/>
          <w:szCs w:val="24"/>
        </w:rPr>
        <w:t xml:space="preserve">oppressive” </w:t>
      </w:r>
      <w:r w:rsidRPr="00BE2D22" w:rsidR="002242DD">
        <w:rPr>
          <w:rFonts w:eastAsiaTheme="minorHAnsi"/>
          <w:szCs w:val="24"/>
        </w:rPr>
        <w:t xml:space="preserve">and </w:t>
      </w:r>
      <w:r w:rsidRPr="00BE2D22" w:rsidR="00FF092D">
        <w:rPr>
          <w:rFonts w:eastAsiaTheme="minorHAnsi"/>
          <w:szCs w:val="24"/>
        </w:rPr>
        <w:t xml:space="preserve">causing </w:t>
      </w:r>
      <w:r w:rsidRPr="00BE2D22">
        <w:rPr>
          <w:rFonts w:eastAsiaTheme="minorHAnsi"/>
          <w:szCs w:val="24"/>
        </w:rPr>
        <w:t>“undu</w:t>
      </w:r>
      <w:r w:rsidRPr="00BE2D22" w:rsidR="00FF092D">
        <w:rPr>
          <w:rFonts w:eastAsiaTheme="minorHAnsi"/>
          <w:szCs w:val="24"/>
        </w:rPr>
        <w:t>e burden and expense”</w:t>
      </w:r>
      <w:r w:rsidRPr="00BE2D22">
        <w:rPr>
          <w:rFonts w:eastAsiaTheme="minorHAnsi"/>
          <w:szCs w:val="24"/>
        </w:rPr>
        <w:t xml:space="preserve"> </w:t>
      </w:r>
      <w:r w:rsidRPr="00BE2D22" w:rsidR="00FF092D">
        <w:rPr>
          <w:rFonts w:eastAsiaTheme="minorHAnsi"/>
          <w:szCs w:val="24"/>
        </w:rPr>
        <w:t xml:space="preserve">on </w:t>
      </w:r>
      <w:r w:rsidRPr="00BE2D22" w:rsidR="00305924">
        <w:rPr>
          <w:rFonts w:eastAsiaTheme="minorHAnsi"/>
          <w:szCs w:val="24"/>
        </w:rPr>
        <w:t>FirstEnergy</w:t>
      </w:r>
      <w:r w:rsidRPr="00BE2D22">
        <w:rPr>
          <w:rFonts w:eastAsiaTheme="minorHAnsi"/>
          <w:szCs w:val="24"/>
        </w:rPr>
        <w:t>.</w:t>
      </w:r>
      <w:r>
        <w:rPr>
          <w:rStyle w:val="FootnoteReference"/>
          <w:rFonts w:eastAsiaTheme="minorHAnsi"/>
          <w:szCs w:val="24"/>
        </w:rPr>
        <w:footnoteReference w:id="29"/>
      </w:r>
      <w:r w:rsidRPr="00BE2D22">
        <w:rPr>
          <w:rFonts w:eastAsiaTheme="minorHAnsi"/>
          <w:szCs w:val="24"/>
        </w:rPr>
        <w:t xml:space="preserve">  </w:t>
      </w:r>
      <w:r w:rsidRPr="00BE2D22" w:rsidR="005D3BB2">
        <w:rPr>
          <w:rFonts w:eastAsiaTheme="minorHAnsi"/>
          <w:szCs w:val="24"/>
        </w:rPr>
        <w:t xml:space="preserve">And </w:t>
      </w:r>
      <w:r w:rsidRPr="00BE2D22" w:rsidR="00305924">
        <w:rPr>
          <w:rFonts w:eastAsiaTheme="minorHAnsi"/>
          <w:szCs w:val="24"/>
        </w:rPr>
        <w:t>FirstEnergy</w:t>
      </w:r>
      <w:r w:rsidRPr="00BE2D22" w:rsidR="005D3BB2">
        <w:rPr>
          <w:rFonts w:eastAsiaTheme="minorHAnsi"/>
          <w:szCs w:val="24"/>
        </w:rPr>
        <w:t xml:space="preserve"> allege</w:t>
      </w:r>
      <w:r w:rsidRPr="00BE2D22" w:rsidR="00305924">
        <w:rPr>
          <w:rFonts w:eastAsiaTheme="minorHAnsi"/>
          <w:szCs w:val="24"/>
        </w:rPr>
        <w:t>s</w:t>
      </w:r>
      <w:r w:rsidRPr="00BE2D22" w:rsidR="005D3BB2">
        <w:rPr>
          <w:rFonts w:eastAsiaTheme="minorHAnsi"/>
          <w:szCs w:val="24"/>
        </w:rPr>
        <w:t xml:space="preserve"> that the scope of OCC’s discovery, inquiring into whether consumers funded HB 6 </w:t>
      </w:r>
      <w:r w:rsidRPr="00BE2D22" w:rsidR="00FA249B">
        <w:rPr>
          <w:rFonts w:eastAsiaTheme="minorHAnsi"/>
          <w:szCs w:val="24"/>
        </w:rPr>
        <w:t>activities</w:t>
      </w:r>
      <w:r w:rsidRPr="00BE2D22" w:rsidR="005D3BB2">
        <w:rPr>
          <w:rFonts w:eastAsiaTheme="minorHAnsi"/>
          <w:szCs w:val="24"/>
        </w:rPr>
        <w:t>, is beyond the scope of the PUCO’s review.  These arguments are without merit</w:t>
      </w:r>
      <w:r w:rsidRPr="00BE2D22" w:rsidR="00305924">
        <w:rPr>
          <w:rFonts w:eastAsiaTheme="minorHAnsi"/>
          <w:szCs w:val="24"/>
        </w:rPr>
        <w:t xml:space="preserve"> and should be denied</w:t>
      </w:r>
      <w:r w:rsidRPr="00BE2D22" w:rsidR="005D3BB2">
        <w:rPr>
          <w:rFonts w:eastAsiaTheme="minorHAnsi"/>
          <w:szCs w:val="24"/>
        </w:rPr>
        <w:t xml:space="preserve">. </w:t>
      </w:r>
    </w:p>
    <w:p w:rsidR="00BF2F18" w:rsidRPr="00BE2D22" w:rsidP="009018B4" w14:paraId="70142150" w14:textId="606CE8C9">
      <w:pPr>
        <w:pStyle w:val="Heading2"/>
        <w:numPr>
          <w:ilvl w:val="0"/>
          <w:numId w:val="6"/>
        </w:numPr>
        <w:rPr>
          <w:rFonts w:ascii="Times New Roman" w:hAnsi="Times New Roman" w:cs="Times New Roman"/>
          <w:szCs w:val="24"/>
        </w:rPr>
      </w:pPr>
      <w:bookmarkStart w:id="9" w:name="_Toc54881593"/>
      <w:bookmarkStart w:id="10" w:name="_Toc55226828"/>
      <w:r w:rsidRPr="00BE2D22">
        <w:rPr>
          <w:rFonts w:ascii="Times New Roman" w:hAnsi="Times New Roman" w:cs="Times New Roman"/>
          <w:szCs w:val="24"/>
        </w:rPr>
        <w:t>Discovery is needed to shed light on FirstEnergy’</w:t>
      </w:r>
      <w:r w:rsidRPr="00BE2D22" w:rsidR="00A51A3A">
        <w:rPr>
          <w:rFonts w:ascii="Times New Roman" w:hAnsi="Times New Roman" w:cs="Times New Roman"/>
          <w:szCs w:val="24"/>
        </w:rPr>
        <w:t>s</w:t>
      </w:r>
      <w:r w:rsidRPr="00BE2D22">
        <w:rPr>
          <w:rFonts w:ascii="Times New Roman" w:hAnsi="Times New Roman" w:cs="Times New Roman"/>
          <w:szCs w:val="24"/>
        </w:rPr>
        <w:t xml:space="preserve"> potential spending of customer-collected funds on HB 6</w:t>
      </w:r>
      <w:r w:rsidRPr="00BE2D22" w:rsidR="001B60DA">
        <w:rPr>
          <w:rFonts w:ascii="Times New Roman" w:hAnsi="Times New Roman" w:cs="Times New Roman"/>
          <w:szCs w:val="24"/>
        </w:rPr>
        <w:t>.</w:t>
      </w:r>
      <w:bookmarkEnd w:id="9"/>
      <w:bookmarkEnd w:id="10"/>
      <w:r w:rsidRPr="00BE2D22">
        <w:rPr>
          <w:rFonts w:ascii="Times New Roman" w:hAnsi="Times New Roman" w:cs="Times New Roman"/>
          <w:szCs w:val="24"/>
        </w:rPr>
        <w:t xml:space="preserve"> </w:t>
      </w:r>
      <w:r w:rsidRPr="00BE2D22" w:rsidR="005D3BB2">
        <w:rPr>
          <w:rFonts w:ascii="Times New Roman" w:hAnsi="Times New Roman" w:cs="Times New Roman"/>
          <w:szCs w:val="24"/>
        </w:rPr>
        <w:t xml:space="preserve"> </w:t>
      </w:r>
    </w:p>
    <w:p w:rsidR="009018B4" w:rsidRPr="00BE2D22" w:rsidP="009018B4" w14:paraId="4DBFB1AF" w14:textId="77777777">
      <w:pPr>
        <w:rPr>
          <w:szCs w:val="24"/>
        </w:rPr>
      </w:pPr>
    </w:p>
    <w:p w:rsidR="00D1576A" w:rsidRPr="00BE2D22" w:rsidP="008C6D7C" w14:paraId="6B7FA9C6" w14:textId="2D7A588D">
      <w:pPr>
        <w:spacing w:line="480" w:lineRule="auto"/>
        <w:ind w:firstLine="720"/>
        <w:rPr>
          <w:szCs w:val="24"/>
        </w:rPr>
      </w:pPr>
      <w:r w:rsidRPr="00BE2D22">
        <w:rPr>
          <w:szCs w:val="24"/>
        </w:rPr>
        <w:t xml:space="preserve">FirstEnergy correctly states, </w:t>
      </w:r>
      <w:r w:rsidRPr="00BE2D22" w:rsidR="004E22F2">
        <w:rPr>
          <w:szCs w:val="24"/>
        </w:rPr>
        <w:t>with</w:t>
      </w:r>
      <w:r w:rsidRPr="00BE2D22">
        <w:rPr>
          <w:szCs w:val="24"/>
        </w:rPr>
        <w:t xml:space="preserve">in its Motion, that the PUCO has determined that there are proceedings before the PUCO in which discovery is not necessary.  However, FirstEnergy incorrectly postulates that this proceeding is one of those cases.  FirstEnergy bases </w:t>
      </w:r>
      <w:r w:rsidRPr="00BE2D22" w:rsidR="00FA3493">
        <w:rPr>
          <w:szCs w:val="24"/>
        </w:rPr>
        <w:t xml:space="preserve">its </w:t>
      </w:r>
      <w:r w:rsidRPr="00BE2D22">
        <w:rPr>
          <w:szCs w:val="24"/>
        </w:rPr>
        <w:t xml:space="preserve">belief on: (a) the fact that the PUCO did not immediately call for a hearing in this matter; and (b) over reliance on </w:t>
      </w:r>
      <w:r w:rsidRPr="00BE2D22">
        <w:rPr>
          <w:i/>
          <w:iCs/>
          <w:szCs w:val="24"/>
        </w:rPr>
        <w:t>In re Triennial Review Regarding Local Circuit Switching</w:t>
      </w:r>
      <w:r w:rsidRPr="00BE2D22">
        <w:rPr>
          <w:szCs w:val="24"/>
        </w:rPr>
        <w:t xml:space="preserve">, Case No. 03-2040-TP-COI.  </w:t>
      </w:r>
    </w:p>
    <w:p w:rsidR="00770B9C" w:rsidRPr="00BE2D22" w:rsidP="009018B4" w14:paraId="0069DE8D" w14:textId="7EB7E787">
      <w:pPr>
        <w:spacing w:line="480" w:lineRule="auto"/>
        <w:ind w:firstLine="720"/>
        <w:rPr>
          <w:szCs w:val="24"/>
        </w:rPr>
      </w:pPr>
      <w:r w:rsidRPr="00BE2D22">
        <w:rPr>
          <w:szCs w:val="24"/>
        </w:rPr>
        <w:t>FirstEnergy</w:t>
      </w:r>
      <w:r w:rsidRPr="00BE2D22" w:rsidR="00D1576A">
        <w:rPr>
          <w:szCs w:val="24"/>
        </w:rPr>
        <w:t>’</w:t>
      </w:r>
      <w:r w:rsidRPr="00BE2D22">
        <w:rPr>
          <w:szCs w:val="24"/>
        </w:rPr>
        <w:t>s</w:t>
      </w:r>
      <w:r w:rsidRPr="00BE2D22" w:rsidR="00D1576A">
        <w:rPr>
          <w:szCs w:val="24"/>
        </w:rPr>
        <w:t xml:space="preserve"> argument that this is not a “proceeding” worthy of discovery </w:t>
      </w:r>
      <w:r w:rsidRPr="00BE2D22" w:rsidR="005D3BB2">
        <w:rPr>
          <w:szCs w:val="24"/>
        </w:rPr>
        <w:t xml:space="preserve">relies heavily upon the fact that </w:t>
      </w:r>
      <w:r w:rsidRPr="00BE2D22" w:rsidR="00D1576A">
        <w:rPr>
          <w:szCs w:val="24"/>
        </w:rPr>
        <w:t xml:space="preserve">the PUCO has not </w:t>
      </w:r>
      <w:r w:rsidRPr="00BE2D22" w:rsidR="005D3BB2">
        <w:rPr>
          <w:szCs w:val="24"/>
        </w:rPr>
        <w:t xml:space="preserve">set </w:t>
      </w:r>
      <w:r w:rsidRPr="00BE2D22" w:rsidR="00D1576A">
        <w:rPr>
          <w:szCs w:val="24"/>
        </w:rPr>
        <w:t>a hearing in this ma</w:t>
      </w:r>
      <w:r w:rsidRPr="00BE2D22" w:rsidR="005D3BB2">
        <w:rPr>
          <w:szCs w:val="24"/>
        </w:rPr>
        <w:t xml:space="preserve">tter.  </w:t>
      </w:r>
      <w:r w:rsidRPr="00BE2D22" w:rsidR="001F2965">
        <w:rPr>
          <w:szCs w:val="24"/>
        </w:rPr>
        <w:t xml:space="preserve">But, </w:t>
      </w:r>
      <w:r w:rsidRPr="00BE2D22" w:rsidR="00D1576A">
        <w:rPr>
          <w:szCs w:val="24"/>
        </w:rPr>
        <w:t>the PUCO has broad discretion on how to conduct its proceedings</w:t>
      </w:r>
      <w:r w:rsidRPr="00BE2D22" w:rsidR="001F2965">
        <w:rPr>
          <w:szCs w:val="24"/>
        </w:rPr>
        <w:t xml:space="preserve">.  </w:t>
      </w:r>
      <w:r w:rsidRPr="00BE2D22" w:rsidR="00D1576A">
        <w:rPr>
          <w:szCs w:val="24"/>
        </w:rPr>
        <w:t xml:space="preserve"> </w:t>
      </w:r>
      <w:r w:rsidRPr="00BE2D22" w:rsidR="001F2965">
        <w:rPr>
          <w:szCs w:val="24"/>
        </w:rPr>
        <w:t xml:space="preserve">This discretion, however, belongs to the PUCO, not </w:t>
      </w:r>
      <w:r w:rsidRPr="00BE2D22">
        <w:rPr>
          <w:szCs w:val="24"/>
        </w:rPr>
        <w:t>FirstEnergy</w:t>
      </w:r>
      <w:r w:rsidRPr="00BE2D22" w:rsidR="001F2965">
        <w:rPr>
          <w:szCs w:val="24"/>
        </w:rPr>
        <w:t>.</w:t>
      </w:r>
    </w:p>
    <w:p w:rsidR="00D1576A" w:rsidRPr="00BE2D22" w:rsidP="009018B4" w14:paraId="1BA0F5B6" w14:textId="2C720728">
      <w:pPr>
        <w:spacing w:line="480" w:lineRule="auto"/>
        <w:ind w:firstLine="720"/>
        <w:rPr>
          <w:szCs w:val="24"/>
        </w:rPr>
      </w:pPr>
      <w:r w:rsidRPr="00BE2D22">
        <w:rPr>
          <w:szCs w:val="24"/>
        </w:rPr>
        <w:t xml:space="preserve"> The PUCO can allow and has allowed discovery in a number of cases even without a scheduled hearing.  </w:t>
      </w:r>
      <w:r w:rsidRPr="00BE2D22" w:rsidR="00770B9C">
        <w:rPr>
          <w:szCs w:val="24"/>
        </w:rPr>
        <w:t>This is consistent with its rules that allow discovery to commence “immediately after a proceeding is commenced.”  Ohio Adm. Code 4909:1-17(A).  The PUCO has also affirmed that a parties’ right to ample and timely discovery exists whether a proceeding is set for comments or an evidentiary hearing.  For example, in a 2012 Entry in PUCO Case No</w:t>
      </w:r>
      <w:r w:rsidRPr="00BE2D22" w:rsidR="00FA3493">
        <w:rPr>
          <w:szCs w:val="24"/>
        </w:rPr>
        <w:t xml:space="preserve">. </w:t>
      </w:r>
      <w:r w:rsidRPr="00BE2D22" w:rsidR="00770B9C">
        <w:rPr>
          <w:szCs w:val="24"/>
        </w:rPr>
        <w:t>11-5351-GA-UNC</w:t>
      </w:r>
      <w:r>
        <w:rPr>
          <w:rStyle w:val="FootnoteReference"/>
          <w:szCs w:val="24"/>
        </w:rPr>
        <w:footnoteReference w:id="30"/>
      </w:r>
      <w:r w:rsidRPr="00BE2D22" w:rsidR="00770B9C">
        <w:rPr>
          <w:szCs w:val="24"/>
        </w:rPr>
        <w:t xml:space="preserve"> the PUCO denied the utility’s request to stay OCC’s discovery rights.  There the PUCO rejected the utility’s argument that discovery was improper and premature, given that the PUCO had not set a procedural schedule.  The PUCO found that that the discovery process is required under law and PUCO rule, may begin immediately after a proceeding commences, and is beneficial because it assists the PUCO in being better informed in its review. </w:t>
      </w:r>
      <w:r w:rsidRPr="00BE2D22" w:rsidR="00770B9C">
        <w:rPr>
          <w:i/>
          <w:szCs w:val="24"/>
        </w:rPr>
        <w:t>Id</w:t>
      </w:r>
      <w:r w:rsidRPr="00BE2D22" w:rsidR="00770B9C">
        <w:rPr>
          <w:szCs w:val="24"/>
        </w:rPr>
        <w:t xml:space="preserve">. at 3.  </w:t>
      </w:r>
    </w:p>
    <w:p w:rsidR="00727843" w:rsidRPr="00BE2D22" w:rsidP="009018B4" w14:paraId="7FB34767" w14:textId="0E2816D9">
      <w:pPr>
        <w:spacing w:line="480" w:lineRule="auto"/>
        <w:ind w:firstLine="720"/>
        <w:rPr>
          <w:szCs w:val="24"/>
        </w:rPr>
      </w:pPr>
      <w:r w:rsidRPr="00BE2D22">
        <w:rPr>
          <w:szCs w:val="24"/>
        </w:rPr>
        <w:t>Additionally, in a 2014 review of the PUCO rules in PUCO C</w:t>
      </w:r>
      <w:r w:rsidRPr="00BE2D22" w:rsidR="00A32887">
        <w:rPr>
          <w:szCs w:val="24"/>
        </w:rPr>
        <w:t>a</w:t>
      </w:r>
      <w:r w:rsidRPr="00BE2D22">
        <w:rPr>
          <w:szCs w:val="24"/>
        </w:rPr>
        <w:t>se No</w:t>
      </w:r>
      <w:r w:rsidRPr="00BE2D22" w:rsidR="00F45527">
        <w:rPr>
          <w:szCs w:val="24"/>
        </w:rPr>
        <w:t>.</w:t>
      </w:r>
      <w:r w:rsidRPr="00BE2D22">
        <w:rPr>
          <w:szCs w:val="24"/>
        </w:rPr>
        <w:t xml:space="preserve"> 11-776-AU-ORD, the PUCO again confirmed that discovery is not just for proceedings in which a hearing is scheduled.</w:t>
      </w:r>
      <w:r>
        <w:rPr>
          <w:rStyle w:val="FootnoteReference"/>
          <w:szCs w:val="24"/>
        </w:rPr>
        <w:footnoteReference w:id="31"/>
      </w:r>
      <w:r w:rsidRPr="00BE2D22" w:rsidR="00A32887">
        <w:rPr>
          <w:szCs w:val="24"/>
        </w:rPr>
        <w:t xml:space="preserve">  In that case, several stakeholders offered comments on Ohio Adm. Code 4909:1-16(B) that advocated for limiting discovery to those proceedings in which a hearing had been scheduled, or in the alternative, requiring a party to obtain PUCO approval to conduct discovery in those proceedings in which there was no hearing. The PUCO rejected those recommendations, stating in part, “The Commission also notes that not all proceedings result in a hearing.</w:t>
      </w:r>
      <w:r w:rsidRPr="00BE2D22" w:rsidR="00A51A3A">
        <w:rPr>
          <w:szCs w:val="24"/>
        </w:rPr>
        <w:t xml:space="preserve">  </w:t>
      </w:r>
      <w:r w:rsidRPr="00BE2D22" w:rsidR="00A32887">
        <w:rPr>
          <w:szCs w:val="24"/>
        </w:rPr>
        <w:t>Thus, discovery is sometimes necessary to obtain sufficient information regarding an application or other pleading in order to provide substantive comments.”</w:t>
      </w:r>
      <w:r>
        <w:rPr>
          <w:rStyle w:val="FootnoteReference"/>
          <w:szCs w:val="24"/>
        </w:rPr>
        <w:footnoteReference w:id="32"/>
      </w:r>
    </w:p>
    <w:p w:rsidR="00770B9C" w:rsidRPr="00BE2D22" w:rsidP="009018B4" w14:paraId="2502A4E0" w14:textId="33013C9A">
      <w:pPr>
        <w:spacing w:line="480" w:lineRule="auto"/>
        <w:ind w:firstLine="720"/>
        <w:rPr>
          <w:szCs w:val="24"/>
        </w:rPr>
      </w:pPr>
      <w:r w:rsidRPr="00BE2D22">
        <w:rPr>
          <w:szCs w:val="24"/>
        </w:rPr>
        <w:t xml:space="preserve">And again in </w:t>
      </w:r>
      <w:r w:rsidRPr="00BE2D22" w:rsidR="00B02DAA">
        <w:rPr>
          <w:szCs w:val="24"/>
        </w:rPr>
        <w:t xml:space="preserve">2017, the PUCO affirmed OCC’s right to discovery in an audit proceeding, prior to the audit report being issued, with no hearing scheduled.  </w:t>
      </w:r>
      <w:r w:rsidRPr="00BE2D22" w:rsidR="00B02DAA">
        <w:rPr>
          <w:i/>
          <w:iCs/>
          <w:szCs w:val="24"/>
        </w:rPr>
        <w:t>In the Matter of the Audit of the Transportation Migration Rider et al.,</w:t>
      </w:r>
      <w:r w:rsidRPr="00BE2D22" w:rsidR="00B02DAA">
        <w:rPr>
          <w:szCs w:val="24"/>
        </w:rPr>
        <w:t xml:space="preserve"> Case No. 17-219-GA-EXR, Entry ¶13 (Sept. 28, 2017).  There the PUCO denied the utility’s motion for an indefinite stay of discovery citing numerous reasons why OCC should be permitted to proceed with its discovery.  It found that there is no statute or PUCO rule that prohibits or limits OCC’s discovery, instead citing to both the law (R.C. 4903.082) and PUCO rules (4901-1-16 and 4901-1-17(A)).  And the PUCO concluded that the discovery process “will assist OCC and any other interested parties in the preparation of their comments and reply comments, which will better inform the Commission’s review.” </w:t>
      </w:r>
      <w:r w:rsidRPr="00BE2D22" w:rsidR="00B02DAA">
        <w:rPr>
          <w:i/>
          <w:szCs w:val="24"/>
        </w:rPr>
        <w:t>Id.</w:t>
      </w:r>
      <w:r w:rsidRPr="00BE2D22" w:rsidR="00B02DAA">
        <w:rPr>
          <w:szCs w:val="24"/>
        </w:rPr>
        <w:t xml:space="preserve">  That is</w:t>
      </w:r>
      <w:r w:rsidRPr="00BE2D22" w:rsidR="00A32887">
        <w:rPr>
          <w:szCs w:val="24"/>
        </w:rPr>
        <w:t xml:space="preserve"> the exact situation in this proceeding</w:t>
      </w:r>
      <w:r w:rsidRPr="00BE2D22" w:rsidR="00B02DAA">
        <w:rPr>
          <w:szCs w:val="24"/>
        </w:rPr>
        <w:t xml:space="preserve"> where OCC seeks discovery from FirstEnergy that will assist it in preparing its comments and reply comments. </w:t>
      </w:r>
      <w:r w:rsidRPr="00BE2D22" w:rsidR="00A32887">
        <w:rPr>
          <w:szCs w:val="24"/>
        </w:rPr>
        <w:t xml:space="preserve"> </w:t>
      </w:r>
    </w:p>
    <w:p w:rsidR="00D1576A" w:rsidRPr="00BE2D22" w:rsidP="009018B4" w14:paraId="08FF066F" w14:textId="0A8BC895">
      <w:pPr>
        <w:spacing w:line="480" w:lineRule="auto"/>
        <w:ind w:firstLine="720"/>
        <w:rPr>
          <w:szCs w:val="24"/>
        </w:rPr>
      </w:pPr>
      <w:r w:rsidRPr="00BE2D22">
        <w:rPr>
          <w:szCs w:val="24"/>
        </w:rPr>
        <w:t xml:space="preserve">But </w:t>
      </w:r>
      <w:r w:rsidRPr="00BE2D22" w:rsidR="00305924">
        <w:rPr>
          <w:szCs w:val="24"/>
        </w:rPr>
        <w:t>FirstEnergy</w:t>
      </w:r>
      <w:r w:rsidRPr="00BE2D22">
        <w:rPr>
          <w:szCs w:val="24"/>
        </w:rPr>
        <w:t xml:space="preserve"> ignore</w:t>
      </w:r>
      <w:r w:rsidRPr="00BE2D22" w:rsidR="00305924">
        <w:rPr>
          <w:szCs w:val="24"/>
        </w:rPr>
        <w:t>s</w:t>
      </w:r>
      <w:r w:rsidRPr="00BE2D22">
        <w:rPr>
          <w:szCs w:val="24"/>
        </w:rPr>
        <w:t xml:space="preserve"> this </w:t>
      </w:r>
      <w:r w:rsidRPr="00BE2D22" w:rsidR="00305924">
        <w:rPr>
          <w:szCs w:val="24"/>
        </w:rPr>
        <w:t>PUCO</w:t>
      </w:r>
      <w:r w:rsidRPr="00BE2D22">
        <w:rPr>
          <w:szCs w:val="24"/>
        </w:rPr>
        <w:t xml:space="preserve"> precedent in their zeal to shut dow</w:t>
      </w:r>
      <w:r w:rsidRPr="00BE2D22" w:rsidR="006B4AE2">
        <w:rPr>
          <w:szCs w:val="24"/>
        </w:rPr>
        <w:t>n the fact-finding process that OCC seeks to purs</w:t>
      </w:r>
      <w:r w:rsidRPr="00BE2D22" w:rsidR="00FA3493">
        <w:rPr>
          <w:szCs w:val="24"/>
        </w:rPr>
        <w:t>u</w:t>
      </w:r>
      <w:r w:rsidRPr="00BE2D22" w:rsidR="006B4AE2">
        <w:rPr>
          <w:szCs w:val="24"/>
        </w:rPr>
        <w:t xml:space="preserve">e.  </w:t>
      </w:r>
      <w:r w:rsidRPr="00BE2D22" w:rsidR="00305924">
        <w:rPr>
          <w:szCs w:val="24"/>
        </w:rPr>
        <w:t>FirstEnergy</w:t>
      </w:r>
      <w:r w:rsidRPr="00BE2D22">
        <w:rPr>
          <w:szCs w:val="24"/>
        </w:rPr>
        <w:t xml:space="preserve"> use</w:t>
      </w:r>
      <w:r w:rsidRPr="00BE2D22" w:rsidR="00305924">
        <w:rPr>
          <w:szCs w:val="24"/>
        </w:rPr>
        <w:t>s</w:t>
      </w:r>
      <w:r w:rsidRPr="00BE2D22">
        <w:rPr>
          <w:szCs w:val="24"/>
        </w:rPr>
        <w:t xml:space="preserve"> Case No. 03-2040</w:t>
      </w:r>
      <w:r>
        <w:rPr>
          <w:rStyle w:val="FootnoteReference"/>
          <w:szCs w:val="24"/>
        </w:rPr>
        <w:footnoteReference w:id="33"/>
      </w:r>
      <w:r w:rsidRPr="00BE2D22">
        <w:rPr>
          <w:szCs w:val="24"/>
        </w:rPr>
        <w:t xml:space="preserve"> as proof that discovery is not always granted to parties in a PUCO proceeding</w:t>
      </w:r>
      <w:r w:rsidRPr="00BE2D22" w:rsidR="00FF092D">
        <w:rPr>
          <w:szCs w:val="24"/>
        </w:rPr>
        <w:t>, and in fact can be limited</w:t>
      </w:r>
      <w:r w:rsidRPr="00BE2D22">
        <w:rPr>
          <w:szCs w:val="24"/>
        </w:rPr>
        <w:t xml:space="preserve">.  Yet, </w:t>
      </w:r>
      <w:r w:rsidRPr="00BE2D22" w:rsidR="00305924">
        <w:rPr>
          <w:szCs w:val="24"/>
        </w:rPr>
        <w:t>FirstEnergy</w:t>
      </w:r>
      <w:r w:rsidRPr="00BE2D22">
        <w:rPr>
          <w:szCs w:val="24"/>
        </w:rPr>
        <w:t xml:space="preserve"> ignore</w:t>
      </w:r>
      <w:r w:rsidRPr="00BE2D22" w:rsidR="00305924">
        <w:rPr>
          <w:szCs w:val="24"/>
        </w:rPr>
        <w:t>s</w:t>
      </w:r>
      <w:r w:rsidRPr="00BE2D22">
        <w:rPr>
          <w:szCs w:val="24"/>
        </w:rPr>
        <w:t xml:space="preserve"> the facts in Case No. 03-2040 that clearly show the PUCO did not ban discovery but </w:t>
      </w:r>
      <w:r w:rsidRPr="00BE2D22" w:rsidR="00FF092D">
        <w:rPr>
          <w:szCs w:val="24"/>
        </w:rPr>
        <w:t xml:space="preserve">instead </w:t>
      </w:r>
      <w:r w:rsidRPr="00BE2D22" w:rsidR="001F2965">
        <w:rPr>
          <w:szCs w:val="24"/>
        </w:rPr>
        <w:t>exercised</w:t>
      </w:r>
      <w:r w:rsidRPr="00BE2D22">
        <w:rPr>
          <w:szCs w:val="24"/>
        </w:rPr>
        <w:t xml:space="preserve"> its discretion to modify the discovery process for judicial efficiency.  Specifically, the PUCO expressly </w:t>
      </w:r>
      <w:r w:rsidRPr="00BE2D22" w:rsidR="00F67F6F">
        <w:rPr>
          <w:szCs w:val="24"/>
        </w:rPr>
        <w:t>adopted a “</w:t>
      </w:r>
      <w:r w:rsidRPr="00BE2D22">
        <w:rPr>
          <w:szCs w:val="24"/>
        </w:rPr>
        <w:t>Commission managed discovery process</w:t>
      </w:r>
      <w:r w:rsidRPr="00BE2D22" w:rsidR="00F67F6F">
        <w:rPr>
          <w:szCs w:val="24"/>
        </w:rPr>
        <w:t>”</w:t>
      </w:r>
      <w:r w:rsidRPr="00BE2D22">
        <w:rPr>
          <w:szCs w:val="24"/>
        </w:rPr>
        <w:t xml:space="preserve"> </w:t>
      </w:r>
      <w:r w:rsidRPr="00BE2D22">
        <w:rPr>
          <w:i/>
          <w:iCs/>
          <w:szCs w:val="24"/>
        </w:rPr>
        <w:t>in lieu</w:t>
      </w:r>
      <w:r w:rsidRPr="00BE2D22">
        <w:rPr>
          <w:szCs w:val="24"/>
        </w:rPr>
        <w:t xml:space="preserve"> of  party initiated discovery</w:t>
      </w:r>
      <w:r w:rsidRPr="00BE2D22" w:rsidR="00FF092D">
        <w:rPr>
          <w:szCs w:val="24"/>
        </w:rPr>
        <w:t>.</w:t>
      </w:r>
      <w:r>
        <w:rPr>
          <w:rStyle w:val="FootnoteReference"/>
          <w:szCs w:val="24"/>
        </w:rPr>
        <w:footnoteReference w:id="34"/>
      </w:r>
      <w:r w:rsidRPr="00BE2D22">
        <w:rPr>
          <w:szCs w:val="24"/>
        </w:rPr>
        <w:t xml:space="preserve"> </w:t>
      </w:r>
      <w:r w:rsidRPr="00BE2D22" w:rsidR="001F2965">
        <w:rPr>
          <w:szCs w:val="24"/>
        </w:rPr>
        <w:t>Notably, in that case, e</w:t>
      </w:r>
      <w:r w:rsidRPr="00BE2D22">
        <w:rPr>
          <w:szCs w:val="24"/>
        </w:rPr>
        <w:t xml:space="preserve">ven </w:t>
      </w:r>
      <w:r w:rsidRPr="00BE2D22" w:rsidR="00F45527">
        <w:rPr>
          <w:szCs w:val="24"/>
        </w:rPr>
        <w:t xml:space="preserve">under </w:t>
      </w:r>
      <w:r w:rsidRPr="00BE2D22">
        <w:rPr>
          <w:szCs w:val="24"/>
        </w:rPr>
        <w:t xml:space="preserve">the PUCO’s </w:t>
      </w:r>
      <w:r w:rsidRPr="00BE2D22" w:rsidR="00F45527">
        <w:rPr>
          <w:szCs w:val="24"/>
        </w:rPr>
        <w:t>managed discovery process</w:t>
      </w:r>
      <w:r w:rsidRPr="00BE2D22">
        <w:rPr>
          <w:szCs w:val="24"/>
        </w:rPr>
        <w:t>, the PUCO still permitted depositions to be conducted on named witnesses.</w:t>
      </w:r>
      <w:r>
        <w:rPr>
          <w:rStyle w:val="FootnoteReference"/>
          <w:szCs w:val="24"/>
        </w:rPr>
        <w:footnoteReference w:id="35"/>
      </w:r>
    </w:p>
    <w:p w:rsidR="00D1576A" w:rsidRPr="00BE2D22" w:rsidP="009018B4" w14:paraId="23E6E0F2" w14:textId="6D3B1AA7">
      <w:pPr>
        <w:spacing w:line="480" w:lineRule="auto"/>
        <w:ind w:firstLine="720"/>
        <w:rPr>
          <w:szCs w:val="24"/>
        </w:rPr>
      </w:pPr>
      <w:r w:rsidRPr="00BE2D22">
        <w:rPr>
          <w:szCs w:val="24"/>
        </w:rPr>
        <w:t xml:space="preserve">FirstEnergy also </w:t>
      </w:r>
      <w:r w:rsidRPr="00BE2D22" w:rsidR="00FF092D">
        <w:rPr>
          <w:szCs w:val="24"/>
        </w:rPr>
        <w:t>presume</w:t>
      </w:r>
      <w:r w:rsidRPr="00BE2D22">
        <w:rPr>
          <w:szCs w:val="24"/>
        </w:rPr>
        <w:t>s</w:t>
      </w:r>
      <w:r w:rsidRPr="00BE2D22" w:rsidR="00FF092D">
        <w:rPr>
          <w:szCs w:val="24"/>
        </w:rPr>
        <w:t xml:space="preserve"> </w:t>
      </w:r>
      <w:r w:rsidRPr="00BE2D22">
        <w:rPr>
          <w:szCs w:val="24"/>
        </w:rPr>
        <w:t>that there will not be a hearing in this proceeding.  Again, it is up to the PUCO</w:t>
      </w:r>
      <w:r w:rsidRPr="00BE2D22" w:rsidR="00F45527">
        <w:rPr>
          <w:szCs w:val="24"/>
        </w:rPr>
        <w:t xml:space="preserve"> </w:t>
      </w:r>
      <w:r w:rsidRPr="00BE2D22">
        <w:rPr>
          <w:szCs w:val="24"/>
        </w:rPr>
        <w:t xml:space="preserve">to determine if a hearing is necessary.  The </w:t>
      </w:r>
      <w:r w:rsidRPr="00BE2D22" w:rsidR="00F45527">
        <w:rPr>
          <w:szCs w:val="24"/>
        </w:rPr>
        <w:t xml:space="preserve">PUCO’s </w:t>
      </w:r>
      <w:r w:rsidRPr="00BE2D22">
        <w:rPr>
          <w:szCs w:val="24"/>
        </w:rPr>
        <w:t xml:space="preserve">Entry, dated October 20, 2020 (“October Entry”), </w:t>
      </w:r>
      <w:r w:rsidRPr="00BE2D22" w:rsidR="001F2965">
        <w:rPr>
          <w:szCs w:val="24"/>
        </w:rPr>
        <w:t>sets up the first steps of this proceeding.  The utility was directed to file a response to the PUCO’s show cause order. Parties will be permitted to file comments and reply comments.  The PUCO in its Entry made no determination that a hearing was not necessary.  It is a premature to assume, as do</w:t>
      </w:r>
      <w:r w:rsidRPr="00BE2D22">
        <w:rPr>
          <w:szCs w:val="24"/>
        </w:rPr>
        <w:t>es</w:t>
      </w:r>
      <w:r w:rsidRPr="00BE2D22" w:rsidR="00FF092D">
        <w:rPr>
          <w:szCs w:val="24"/>
        </w:rPr>
        <w:t xml:space="preserve"> </w:t>
      </w:r>
      <w:r w:rsidRPr="00BE2D22" w:rsidR="001F2965">
        <w:rPr>
          <w:szCs w:val="24"/>
        </w:rPr>
        <w:t>FirstEnergy, that a hearing will not be held and thus, discovery should not be had.  Indeed, the PUCO in a later Entry expressly scheduled</w:t>
      </w:r>
      <w:r w:rsidRPr="00BE2D22" w:rsidR="00783B45">
        <w:rPr>
          <w:szCs w:val="24"/>
        </w:rPr>
        <w:t xml:space="preserve"> </w:t>
      </w:r>
      <w:r w:rsidRPr="00BE2D22">
        <w:rPr>
          <w:szCs w:val="24"/>
        </w:rPr>
        <w:t xml:space="preserve">a </w:t>
      </w:r>
      <w:r w:rsidRPr="00BE2D22">
        <w:rPr>
          <w:b/>
          <w:bCs/>
          <w:szCs w:val="24"/>
        </w:rPr>
        <w:t>pre-hearing conference</w:t>
      </w:r>
      <w:r w:rsidRPr="00BE2D22">
        <w:rPr>
          <w:szCs w:val="24"/>
        </w:rPr>
        <w:t xml:space="preserve"> to discuss FirstEnergy’s Motion</w:t>
      </w:r>
      <w:r w:rsidRPr="00BE2D22" w:rsidR="003C079A">
        <w:rPr>
          <w:szCs w:val="24"/>
        </w:rPr>
        <w:t>.</w:t>
      </w:r>
      <w:r>
        <w:rPr>
          <w:rStyle w:val="FootnoteReference"/>
          <w:szCs w:val="24"/>
        </w:rPr>
        <w:footnoteReference w:id="36"/>
      </w:r>
      <w:r w:rsidRPr="00BE2D22">
        <w:rPr>
          <w:szCs w:val="24"/>
        </w:rPr>
        <w:t xml:space="preserve"> </w:t>
      </w:r>
      <w:r w:rsidRPr="00BE2D22" w:rsidR="00FF092D">
        <w:rPr>
          <w:szCs w:val="24"/>
        </w:rPr>
        <w:t xml:space="preserve">That in itself </w:t>
      </w:r>
      <w:r w:rsidRPr="00BE2D22">
        <w:rPr>
          <w:szCs w:val="24"/>
        </w:rPr>
        <w:t>implies that a hearing is forthcoming in this matter.</w:t>
      </w:r>
    </w:p>
    <w:p w:rsidR="00D1576A" w:rsidRPr="00BE2D22" w:rsidP="008C6D7C" w14:paraId="26936C62" w14:textId="33B4CF5C">
      <w:pPr>
        <w:pStyle w:val="Heading2"/>
        <w:rPr>
          <w:rFonts w:ascii="Times New Roman" w:hAnsi="Times New Roman" w:cs="Times New Roman"/>
          <w:szCs w:val="24"/>
        </w:rPr>
      </w:pPr>
      <w:bookmarkStart w:id="11" w:name="_Toc54881594"/>
      <w:bookmarkStart w:id="12" w:name="_Toc55226829"/>
      <w:r w:rsidRPr="00BE2D22">
        <w:rPr>
          <w:rFonts w:ascii="Times New Roman" w:hAnsi="Times New Roman" w:cs="Times New Roman"/>
          <w:szCs w:val="24"/>
        </w:rPr>
        <w:t>B.</w:t>
      </w:r>
      <w:r w:rsidRPr="00BE2D22">
        <w:rPr>
          <w:rFonts w:ascii="Times New Roman" w:hAnsi="Times New Roman" w:cs="Times New Roman"/>
          <w:szCs w:val="24"/>
        </w:rPr>
        <w:tab/>
      </w:r>
      <w:r w:rsidRPr="00BE2D22" w:rsidR="00D5449F">
        <w:rPr>
          <w:rFonts w:ascii="Times New Roman" w:hAnsi="Times New Roman" w:cs="Times New Roman"/>
          <w:szCs w:val="24"/>
        </w:rPr>
        <w:t>Depositions are fundamental to the fact</w:t>
      </w:r>
      <w:r w:rsidRPr="00BE2D22" w:rsidR="00F67F6F">
        <w:rPr>
          <w:rFonts w:ascii="Times New Roman" w:hAnsi="Times New Roman" w:cs="Times New Roman"/>
          <w:szCs w:val="24"/>
        </w:rPr>
        <w:t>-</w:t>
      </w:r>
      <w:r w:rsidRPr="00BE2D22" w:rsidR="00D5449F">
        <w:rPr>
          <w:rFonts w:ascii="Times New Roman" w:hAnsi="Times New Roman" w:cs="Times New Roman"/>
          <w:szCs w:val="24"/>
        </w:rPr>
        <w:t>finding process</w:t>
      </w:r>
      <w:r w:rsidRPr="00BE2D22">
        <w:rPr>
          <w:rFonts w:ascii="Times New Roman" w:hAnsi="Times New Roman" w:cs="Times New Roman"/>
          <w:szCs w:val="24"/>
        </w:rPr>
        <w:t>.</w:t>
      </w:r>
      <w:bookmarkEnd w:id="11"/>
      <w:bookmarkEnd w:id="12"/>
      <w:r w:rsidRPr="00BE2D22" w:rsidR="00D5449F">
        <w:rPr>
          <w:rFonts w:ascii="Times New Roman" w:hAnsi="Times New Roman" w:cs="Times New Roman"/>
          <w:szCs w:val="24"/>
        </w:rPr>
        <w:t xml:space="preserve"> </w:t>
      </w:r>
    </w:p>
    <w:p w:rsidR="008C6D7C" w:rsidRPr="00BE2D22" w:rsidP="008C6D7C" w14:paraId="3A83CA59" w14:textId="77777777">
      <w:pPr>
        <w:rPr>
          <w:szCs w:val="24"/>
        </w:rPr>
      </w:pPr>
    </w:p>
    <w:p w:rsidR="00931081" w:rsidRPr="00BE2D22" w:rsidP="008C6D7C" w14:paraId="4EDA57EA" w14:textId="4714069C">
      <w:pPr>
        <w:spacing w:line="480" w:lineRule="auto"/>
        <w:ind w:firstLine="720"/>
        <w:rPr>
          <w:szCs w:val="24"/>
        </w:rPr>
      </w:pPr>
      <w:r w:rsidRPr="00BE2D22">
        <w:rPr>
          <w:szCs w:val="24"/>
        </w:rPr>
        <w:t>FirstEnergy</w:t>
      </w:r>
      <w:r w:rsidRPr="00BE2D22" w:rsidR="00D1576A">
        <w:rPr>
          <w:szCs w:val="24"/>
        </w:rPr>
        <w:t xml:space="preserve"> </w:t>
      </w:r>
      <w:r w:rsidRPr="00BE2D22">
        <w:rPr>
          <w:szCs w:val="24"/>
        </w:rPr>
        <w:t>claims that</w:t>
      </w:r>
      <w:r w:rsidRPr="00BE2D22" w:rsidR="00D1576A">
        <w:rPr>
          <w:szCs w:val="24"/>
        </w:rPr>
        <w:t xml:space="preserve"> a deposition of Mr. </w:t>
      </w:r>
      <w:r w:rsidRPr="00BE2D22" w:rsidR="00D1576A">
        <w:rPr>
          <w:rFonts w:eastAsiaTheme="minorHAnsi"/>
          <w:szCs w:val="24"/>
        </w:rPr>
        <w:t>Fanelli</w:t>
      </w:r>
      <w:r w:rsidRPr="00BE2D22" w:rsidR="00D1576A">
        <w:rPr>
          <w:szCs w:val="24"/>
        </w:rPr>
        <w:t xml:space="preserve"> would be “unduly burdensome” and an “annoyance.”</w:t>
      </w:r>
      <w:r w:rsidRPr="00BE2D22">
        <w:rPr>
          <w:szCs w:val="24"/>
        </w:rPr>
        <w:t xml:space="preserve"> FirstEnergy reasons that OCC already has asked enough questions on the issues and deposing Mr. Fanelli would be redundant.  </w:t>
      </w:r>
      <w:r w:rsidRPr="00BE2D22" w:rsidR="00D1576A">
        <w:rPr>
          <w:szCs w:val="24"/>
        </w:rPr>
        <w:t xml:space="preserve"> Once again, </w:t>
      </w:r>
      <w:r w:rsidRPr="00BE2D22">
        <w:rPr>
          <w:szCs w:val="24"/>
        </w:rPr>
        <w:t>FirstEnergy</w:t>
      </w:r>
      <w:r w:rsidRPr="00BE2D22" w:rsidR="00D1576A">
        <w:rPr>
          <w:szCs w:val="24"/>
        </w:rPr>
        <w:t>’</w:t>
      </w:r>
      <w:r w:rsidRPr="00BE2D22" w:rsidR="003C079A">
        <w:rPr>
          <w:szCs w:val="24"/>
        </w:rPr>
        <w:t xml:space="preserve">s </w:t>
      </w:r>
      <w:r w:rsidRPr="00BE2D22" w:rsidR="00D1576A">
        <w:rPr>
          <w:szCs w:val="24"/>
        </w:rPr>
        <w:t xml:space="preserve">position is without merit.  </w:t>
      </w:r>
    </w:p>
    <w:p w:rsidR="008262C2" w:rsidRPr="00BE2D22" w:rsidP="008C6D7C" w14:paraId="5D7DB5A4" w14:textId="58E1A29B">
      <w:pPr>
        <w:spacing w:line="480" w:lineRule="auto"/>
        <w:ind w:firstLine="720"/>
        <w:rPr>
          <w:szCs w:val="24"/>
        </w:rPr>
      </w:pPr>
      <w:r w:rsidRPr="00BE2D22">
        <w:rPr>
          <w:szCs w:val="24"/>
        </w:rPr>
        <w:t>First, O</w:t>
      </w:r>
      <w:r w:rsidRPr="00BE2D22" w:rsidR="00F45527">
        <w:rPr>
          <w:szCs w:val="24"/>
        </w:rPr>
        <w:t xml:space="preserve">hio Admin. Code </w:t>
      </w:r>
      <w:r w:rsidRPr="00BE2D22">
        <w:rPr>
          <w:szCs w:val="24"/>
        </w:rPr>
        <w:t>§ 4901-1-21 expressly permits parties to take depositions in PUCO proceedings.</w:t>
      </w:r>
      <w:r w:rsidRPr="00BE2D22" w:rsidR="00931081">
        <w:rPr>
          <w:szCs w:val="24"/>
        </w:rPr>
        <w:t xml:space="preserve">  Second, t</w:t>
      </w:r>
      <w:r w:rsidRPr="00BE2D22" w:rsidR="000E514D">
        <w:rPr>
          <w:szCs w:val="24"/>
        </w:rPr>
        <w:t>he</w:t>
      </w:r>
      <w:r w:rsidRPr="00BE2D22">
        <w:rPr>
          <w:szCs w:val="24"/>
        </w:rPr>
        <w:t xml:space="preserve"> purpose of discovery is to allow the parties to obtain full knowledge of the issues and facts of a cas</w:t>
      </w:r>
      <w:r w:rsidRPr="00BE2D22" w:rsidR="00931081">
        <w:rPr>
          <w:szCs w:val="24"/>
        </w:rPr>
        <w:t xml:space="preserve">e – not just partial knowledge that the entity feels like imparting. </w:t>
      </w:r>
      <w:r w:rsidRPr="00BE2D22">
        <w:rPr>
          <w:szCs w:val="24"/>
        </w:rPr>
        <w:t>The different methods of discovery exist</w:t>
      </w:r>
      <w:r w:rsidRPr="00BE2D22" w:rsidR="000E514D">
        <w:rPr>
          <w:szCs w:val="24"/>
        </w:rPr>
        <w:t>, in part,</w:t>
      </w:r>
      <w:r w:rsidRPr="00BE2D22">
        <w:rPr>
          <w:szCs w:val="24"/>
        </w:rPr>
        <w:t xml:space="preserve"> to </w:t>
      </w:r>
      <w:r w:rsidRPr="00BE2D22" w:rsidR="000E514D">
        <w:rPr>
          <w:szCs w:val="24"/>
        </w:rPr>
        <w:t xml:space="preserve">reveal </w:t>
      </w:r>
      <w:r w:rsidRPr="00BE2D22">
        <w:rPr>
          <w:szCs w:val="24"/>
        </w:rPr>
        <w:t xml:space="preserve">inconsistencies and/or falsehoods in a party’s position.  </w:t>
      </w:r>
    </w:p>
    <w:p w:rsidR="00931081" w:rsidRPr="00BE2D22" w:rsidP="008C6D7C" w14:paraId="341B068C" w14:textId="72A3FC9A">
      <w:pPr>
        <w:spacing w:line="480" w:lineRule="auto"/>
        <w:ind w:firstLine="720"/>
        <w:rPr>
          <w:szCs w:val="24"/>
        </w:rPr>
      </w:pPr>
      <w:r w:rsidRPr="00BE2D22">
        <w:rPr>
          <w:szCs w:val="24"/>
        </w:rPr>
        <w:t xml:space="preserve">Depositions are </w:t>
      </w:r>
      <w:r w:rsidRPr="00BE2D22" w:rsidR="008262C2">
        <w:rPr>
          <w:szCs w:val="24"/>
        </w:rPr>
        <w:t xml:space="preserve">often considered the most important discovery tool in an attorney’s </w:t>
      </w:r>
      <w:r w:rsidRPr="00BE2D22" w:rsidR="0079764E">
        <w:rPr>
          <w:szCs w:val="24"/>
        </w:rPr>
        <w:t>toolbox</w:t>
      </w:r>
      <w:r w:rsidRPr="00BE2D22" w:rsidR="008262C2">
        <w:rPr>
          <w:szCs w:val="24"/>
        </w:rPr>
        <w:t xml:space="preserve">. They allow for much more information to be gleaned, as compared to written discovery.  Depositions can be used in a number of ways. They can be </w:t>
      </w:r>
      <w:r w:rsidRPr="00BE2D22">
        <w:rPr>
          <w:szCs w:val="24"/>
        </w:rPr>
        <w:t xml:space="preserve">used to ask questions of witnesses to compare actual responses, to </w:t>
      </w:r>
      <w:r w:rsidRPr="00BE2D22" w:rsidR="008262C2">
        <w:rPr>
          <w:szCs w:val="24"/>
        </w:rPr>
        <w:t xml:space="preserve">public </w:t>
      </w:r>
      <w:r w:rsidRPr="00BE2D22">
        <w:rPr>
          <w:szCs w:val="24"/>
        </w:rPr>
        <w:t xml:space="preserve">statements </w:t>
      </w:r>
      <w:r w:rsidRPr="00BE2D22" w:rsidR="007B2CAB">
        <w:rPr>
          <w:szCs w:val="24"/>
        </w:rPr>
        <w:t xml:space="preserve">or </w:t>
      </w:r>
      <w:r w:rsidRPr="00BE2D22">
        <w:rPr>
          <w:szCs w:val="24"/>
        </w:rPr>
        <w:t xml:space="preserve">statements </w:t>
      </w:r>
      <w:r w:rsidRPr="00BE2D22" w:rsidR="00783B45">
        <w:rPr>
          <w:szCs w:val="24"/>
        </w:rPr>
        <w:t xml:space="preserve">that may be </w:t>
      </w:r>
      <w:r w:rsidRPr="00BE2D22">
        <w:rPr>
          <w:szCs w:val="24"/>
        </w:rPr>
        <w:t>drafted by that party’s attorneys</w:t>
      </w:r>
      <w:r w:rsidRPr="00BE2D22" w:rsidR="008262C2">
        <w:rPr>
          <w:szCs w:val="24"/>
        </w:rPr>
        <w:t>.  Depositions allow attorneys to judge the demeanor, truth telling,</w:t>
      </w:r>
      <w:r w:rsidRPr="00BE2D22" w:rsidR="007B2CAB">
        <w:rPr>
          <w:szCs w:val="24"/>
        </w:rPr>
        <w:t xml:space="preserve"> </w:t>
      </w:r>
      <w:r w:rsidRPr="00BE2D22" w:rsidR="008262C2">
        <w:rPr>
          <w:szCs w:val="24"/>
        </w:rPr>
        <w:t xml:space="preserve">and responsiveness of </w:t>
      </w:r>
      <w:r w:rsidRPr="00BE2D22" w:rsidR="00F67F6F">
        <w:rPr>
          <w:szCs w:val="24"/>
        </w:rPr>
        <w:t xml:space="preserve">a </w:t>
      </w:r>
      <w:r w:rsidRPr="00BE2D22" w:rsidR="008262C2">
        <w:rPr>
          <w:szCs w:val="24"/>
        </w:rPr>
        <w:t>potential witness.  D</w:t>
      </w:r>
      <w:r w:rsidRPr="00BE2D22">
        <w:rPr>
          <w:szCs w:val="24"/>
        </w:rPr>
        <w:t>epositions allow instantaneous follow-up to questions that are posed but perhaps misunderstood</w:t>
      </w:r>
      <w:r w:rsidRPr="00BE2D22" w:rsidR="00F67F6F">
        <w:rPr>
          <w:szCs w:val="24"/>
        </w:rPr>
        <w:t xml:space="preserve"> (or better yet dodged)</w:t>
      </w:r>
      <w:r w:rsidRPr="00BE2D22">
        <w:rPr>
          <w:szCs w:val="24"/>
        </w:rPr>
        <w:t>.  Written discovery, while allowing follow-up, does not provide for instantaneous responses.  Instead</w:t>
      </w:r>
      <w:r w:rsidRPr="00BE2D22" w:rsidR="00A43114">
        <w:rPr>
          <w:szCs w:val="24"/>
        </w:rPr>
        <w:t>, under the PUCO rules,</w:t>
      </w:r>
      <w:r w:rsidRPr="00BE2D22">
        <w:rPr>
          <w:szCs w:val="24"/>
        </w:rPr>
        <w:t xml:space="preserve"> parties must wait 21 days to see if the </w:t>
      </w:r>
      <w:r w:rsidRPr="00BE2D22" w:rsidR="008262C2">
        <w:rPr>
          <w:szCs w:val="24"/>
        </w:rPr>
        <w:t xml:space="preserve">questions will be answered or objected to.  </w:t>
      </w:r>
      <w:r w:rsidRPr="00BE2D22" w:rsidR="007B2CAB">
        <w:rPr>
          <w:szCs w:val="24"/>
        </w:rPr>
        <w:t xml:space="preserve">And depositions allow attorneys to press for more information if answers are not detailed or forthcoming.  </w:t>
      </w:r>
      <w:r w:rsidRPr="00BE2D22" w:rsidR="008262C2">
        <w:rPr>
          <w:szCs w:val="24"/>
        </w:rPr>
        <w:t xml:space="preserve">Another important distinction in a deposition is that the witness must answer even if the questions are objected to, so long as the answer does not involve privileged matters.  Not so for written discovery.  </w:t>
      </w:r>
    </w:p>
    <w:p w:rsidR="00C04936" w:rsidRPr="00BE2D22" w:rsidP="001B60DA" w14:paraId="2AA79CE5" w14:textId="7892FB1F">
      <w:pPr>
        <w:spacing w:line="480" w:lineRule="auto"/>
        <w:ind w:firstLine="720"/>
        <w:rPr>
          <w:szCs w:val="24"/>
        </w:rPr>
      </w:pPr>
      <w:r w:rsidRPr="00BE2D22">
        <w:rPr>
          <w:szCs w:val="24"/>
        </w:rPr>
        <w:t>FirstEnergy</w:t>
      </w:r>
      <w:r w:rsidRPr="00BE2D22" w:rsidR="007B2CAB">
        <w:rPr>
          <w:szCs w:val="24"/>
        </w:rPr>
        <w:t xml:space="preserve"> want</w:t>
      </w:r>
      <w:r w:rsidRPr="00BE2D22">
        <w:rPr>
          <w:szCs w:val="24"/>
        </w:rPr>
        <w:t>s</w:t>
      </w:r>
      <w:r w:rsidRPr="00BE2D22" w:rsidR="007B2CAB">
        <w:rPr>
          <w:szCs w:val="24"/>
        </w:rPr>
        <w:t xml:space="preserve"> to replace </w:t>
      </w:r>
      <w:r w:rsidRPr="00BE2D22" w:rsidR="00D1576A">
        <w:rPr>
          <w:szCs w:val="24"/>
        </w:rPr>
        <w:t xml:space="preserve">the tried and tested process of </w:t>
      </w:r>
      <w:r w:rsidRPr="00BE2D22" w:rsidR="00783B45">
        <w:rPr>
          <w:szCs w:val="24"/>
        </w:rPr>
        <w:t>depositions</w:t>
      </w:r>
      <w:r w:rsidRPr="00BE2D22" w:rsidR="007B2CAB">
        <w:rPr>
          <w:szCs w:val="24"/>
        </w:rPr>
        <w:t xml:space="preserve"> with </w:t>
      </w:r>
      <w:r w:rsidRPr="00BE2D22" w:rsidR="00D1576A">
        <w:rPr>
          <w:szCs w:val="24"/>
        </w:rPr>
        <w:t xml:space="preserve">a system that </w:t>
      </w:r>
      <w:r w:rsidRPr="00BE2D22" w:rsidR="007B2CAB">
        <w:rPr>
          <w:szCs w:val="24"/>
        </w:rPr>
        <w:t>allow</w:t>
      </w:r>
      <w:r w:rsidRPr="00BE2D22" w:rsidR="00F67F6F">
        <w:rPr>
          <w:szCs w:val="24"/>
        </w:rPr>
        <w:t>s</w:t>
      </w:r>
      <w:r w:rsidRPr="00BE2D22" w:rsidR="007B2CAB">
        <w:rPr>
          <w:szCs w:val="24"/>
        </w:rPr>
        <w:t xml:space="preserve"> them to choose the form of discovery </w:t>
      </w:r>
      <w:r w:rsidRPr="00BE2D22" w:rsidR="003C079A">
        <w:rPr>
          <w:szCs w:val="24"/>
        </w:rPr>
        <w:t>FirstEnergy</w:t>
      </w:r>
      <w:r w:rsidRPr="00BE2D22" w:rsidR="00F67F6F">
        <w:rPr>
          <w:szCs w:val="24"/>
        </w:rPr>
        <w:t xml:space="preserve"> must respond to. </w:t>
      </w:r>
      <w:r w:rsidRPr="00BE2D22" w:rsidR="007B2CAB">
        <w:rPr>
          <w:szCs w:val="24"/>
        </w:rPr>
        <w:t>Of course, written discovery</w:t>
      </w:r>
      <w:r w:rsidRPr="00BE2D22">
        <w:rPr>
          <w:szCs w:val="24"/>
        </w:rPr>
        <w:t>,</w:t>
      </w:r>
      <w:r w:rsidRPr="00BE2D22" w:rsidR="007B2CAB">
        <w:rPr>
          <w:szCs w:val="24"/>
        </w:rPr>
        <w:t xml:space="preserve"> under which </w:t>
      </w:r>
      <w:r w:rsidRPr="00BE2D22" w:rsidR="003C079A">
        <w:rPr>
          <w:szCs w:val="24"/>
        </w:rPr>
        <w:t xml:space="preserve">FirstEnergy </w:t>
      </w:r>
      <w:r w:rsidRPr="00BE2D22" w:rsidR="007B2CAB">
        <w:rPr>
          <w:szCs w:val="24"/>
        </w:rPr>
        <w:t>control</w:t>
      </w:r>
      <w:r w:rsidRPr="00BE2D22" w:rsidR="00A51A3A">
        <w:rPr>
          <w:szCs w:val="24"/>
        </w:rPr>
        <w:t>s</w:t>
      </w:r>
      <w:r w:rsidRPr="00BE2D22" w:rsidR="007B2CAB">
        <w:rPr>
          <w:szCs w:val="24"/>
        </w:rPr>
        <w:t xml:space="preserve"> whether answers are given or objected to</w:t>
      </w:r>
      <w:r w:rsidRPr="00BE2D22">
        <w:rPr>
          <w:szCs w:val="24"/>
        </w:rPr>
        <w:t>,</w:t>
      </w:r>
      <w:r w:rsidRPr="00BE2D22" w:rsidR="007B2CAB">
        <w:rPr>
          <w:szCs w:val="24"/>
        </w:rPr>
        <w:t xml:space="preserve"> serves their purposes well. </w:t>
      </w:r>
      <w:r w:rsidRPr="00BE2D22" w:rsidR="00F67F6F">
        <w:rPr>
          <w:szCs w:val="24"/>
        </w:rPr>
        <w:t xml:space="preserve">Written discovery allows game playing </w:t>
      </w:r>
      <w:r w:rsidRPr="00BE2D22" w:rsidR="00865F65">
        <w:rPr>
          <w:szCs w:val="24"/>
        </w:rPr>
        <w:t xml:space="preserve">that </w:t>
      </w:r>
      <w:r w:rsidRPr="00BE2D22" w:rsidR="00F67F6F">
        <w:rPr>
          <w:szCs w:val="24"/>
        </w:rPr>
        <w:t xml:space="preserve">can </w:t>
      </w:r>
      <w:r w:rsidRPr="00BE2D22" w:rsidR="00D1576A">
        <w:rPr>
          <w:szCs w:val="24"/>
        </w:rPr>
        <w:t>ultimately frustrate</w:t>
      </w:r>
      <w:r w:rsidRPr="00BE2D22" w:rsidR="00F67F6F">
        <w:rPr>
          <w:szCs w:val="24"/>
        </w:rPr>
        <w:t xml:space="preserve"> truth finding. </w:t>
      </w:r>
      <w:r w:rsidRPr="00BE2D22" w:rsidR="003C079A">
        <w:rPr>
          <w:szCs w:val="24"/>
        </w:rPr>
        <w:t>FirstEnergy</w:t>
      </w:r>
      <w:r w:rsidRPr="00BE2D22" w:rsidR="00D1576A">
        <w:rPr>
          <w:szCs w:val="24"/>
        </w:rPr>
        <w:t xml:space="preserve"> c</w:t>
      </w:r>
      <w:r w:rsidRPr="00BE2D22" w:rsidR="00F67F6F">
        <w:rPr>
          <w:szCs w:val="24"/>
        </w:rPr>
        <w:t>an</w:t>
      </w:r>
      <w:r w:rsidRPr="00BE2D22" w:rsidR="00D1576A">
        <w:rPr>
          <w:szCs w:val="24"/>
        </w:rPr>
        <w:t xml:space="preserve"> </w:t>
      </w:r>
      <w:r w:rsidRPr="00BE2D22" w:rsidR="007B2CAB">
        <w:rPr>
          <w:szCs w:val="24"/>
        </w:rPr>
        <w:t>simply not answer or object to the written discovery, frustrat</w:t>
      </w:r>
      <w:r w:rsidRPr="00BE2D22">
        <w:rPr>
          <w:szCs w:val="24"/>
        </w:rPr>
        <w:t>ing</w:t>
      </w:r>
      <w:r w:rsidRPr="00BE2D22" w:rsidR="00F67F6F">
        <w:rPr>
          <w:szCs w:val="24"/>
        </w:rPr>
        <w:t xml:space="preserve"> or delaying another party from developing evidence to be used to assist the trier of fact. </w:t>
      </w:r>
      <w:r w:rsidRPr="00BE2D22" w:rsidR="007B2CAB">
        <w:rPr>
          <w:szCs w:val="24"/>
        </w:rPr>
        <w:t xml:space="preserve"> </w:t>
      </w:r>
    </w:p>
    <w:p w:rsidR="000E514D" w:rsidRPr="00BE2D22" w:rsidP="001B60DA" w14:paraId="512CC1E0" w14:textId="17F2082A">
      <w:pPr>
        <w:spacing w:line="480" w:lineRule="auto"/>
        <w:ind w:firstLine="720"/>
        <w:rPr>
          <w:szCs w:val="24"/>
        </w:rPr>
      </w:pPr>
      <w:r w:rsidRPr="00BE2D22">
        <w:rPr>
          <w:szCs w:val="24"/>
        </w:rPr>
        <w:t xml:space="preserve">One need only look at </w:t>
      </w:r>
      <w:r w:rsidRPr="00BE2D22" w:rsidR="003C079A">
        <w:rPr>
          <w:szCs w:val="24"/>
        </w:rPr>
        <w:t>FirstEnergy</w:t>
      </w:r>
      <w:r w:rsidRPr="00BE2D22">
        <w:rPr>
          <w:szCs w:val="24"/>
        </w:rPr>
        <w:t>’</w:t>
      </w:r>
      <w:r w:rsidRPr="00BE2D22" w:rsidR="00A51A3A">
        <w:rPr>
          <w:szCs w:val="24"/>
        </w:rPr>
        <w:t>s</w:t>
      </w:r>
      <w:r w:rsidRPr="00BE2D22">
        <w:rPr>
          <w:szCs w:val="24"/>
        </w:rPr>
        <w:t xml:space="preserve"> discovery responses to OCC’s First and Second Set of discovery to see that </w:t>
      </w:r>
      <w:r w:rsidRPr="00BE2D22" w:rsidR="00F67F6F">
        <w:rPr>
          <w:szCs w:val="24"/>
        </w:rPr>
        <w:t xml:space="preserve">tactic is from a page of </w:t>
      </w:r>
      <w:r w:rsidRPr="00BE2D22">
        <w:rPr>
          <w:szCs w:val="24"/>
        </w:rPr>
        <w:t xml:space="preserve">their playbook.  </w:t>
      </w:r>
      <w:r w:rsidRPr="00BE2D22" w:rsidR="00A360EC">
        <w:rPr>
          <w:szCs w:val="24"/>
        </w:rPr>
        <w:t>While</w:t>
      </w:r>
      <w:r w:rsidRPr="00BE2D22">
        <w:rPr>
          <w:szCs w:val="24"/>
        </w:rPr>
        <w:t xml:space="preserve"> </w:t>
      </w:r>
      <w:r w:rsidRPr="00BE2D22" w:rsidR="008C00C4">
        <w:rPr>
          <w:szCs w:val="24"/>
        </w:rPr>
        <w:t>FirstEnergy is</w:t>
      </w:r>
      <w:r w:rsidRPr="00BE2D22">
        <w:rPr>
          <w:szCs w:val="24"/>
        </w:rPr>
        <w:t xml:space="preserve"> telling the PUCO that </w:t>
      </w:r>
      <w:r w:rsidRPr="00BE2D22" w:rsidR="00A360EC">
        <w:rPr>
          <w:szCs w:val="24"/>
        </w:rPr>
        <w:t>they</w:t>
      </w:r>
      <w:r w:rsidRPr="00BE2D22">
        <w:rPr>
          <w:szCs w:val="24"/>
        </w:rPr>
        <w:t xml:space="preserve"> should limit OCC to written discovery, they are </w:t>
      </w:r>
      <w:r w:rsidRPr="00BE2D22" w:rsidR="00BF2F18">
        <w:rPr>
          <w:szCs w:val="24"/>
        </w:rPr>
        <w:t>refus</w:t>
      </w:r>
      <w:r w:rsidRPr="00BE2D22">
        <w:rPr>
          <w:szCs w:val="24"/>
        </w:rPr>
        <w:t>ing to provide answers to most</w:t>
      </w:r>
      <w:r w:rsidRPr="00BE2D22" w:rsidR="00C04936">
        <w:rPr>
          <w:szCs w:val="24"/>
        </w:rPr>
        <w:t xml:space="preserve"> of OCC’s </w:t>
      </w:r>
      <w:r w:rsidRPr="00BE2D22">
        <w:rPr>
          <w:szCs w:val="24"/>
        </w:rPr>
        <w:t xml:space="preserve">written discovery. </w:t>
      </w:r>
      <w:r w:rsidRPr="00BE2D22" w:rsidR="00BF2F18">
        <w:rPr>
          <w:szCs w:val="24"/>
        </w:rPr>
        <w:t xml:space="preserve"> </w:t>
      </w:r>
      <w:r w:rsidRPr="00BE2D22" w:rsidR="008C00C4">
        <w:rPr>
          <w:szCs w:val="24"/>
        </w:rPr>
        <w:t>FirstEnergy</w:t>
      </w:r>
      <w:r w:rsidRPr="00BE2D22" w:rsidR="00202DCA">
        <w:rPr>
          <w:szCs w:val="24"/>
        </w:rPr>
        <w:t xml:space="preserve"> did provide cursory responses to OCC’s </w:t>
      </w:r>
      <w:r w:rsidRPr="00BE2D22" w:rsidR="00783B45">
        <w:rPr>
          <w:szCs w:val="24"/>
        </w:rPr>
        <w:t>w</w:t>
      </w:r>
      <w:r w:rsidRPr="00BE2D22" w:rsidR="00202DCA">
        <w:rPr>
          <w:szCs w:val="24"/>
        </w:rPr>
        <w:t xml:space="preserve">ritten </w:t>
      </w:r>
      <w:r w:rsidRPr="00BE2D22" w:rsidR="00783B45">
        <w:rPr>
          <w:szCs w:val="24"/>
        </w:rPr>
        <w:t>d</w:t>
      </w:r>
      <w:r w:rsidRPr="00BE2D22" w:rsidR="00202DCA">
        <w:rPr>
          <w:szCs w:val="24"/>
        </w:rPr>
        <w:t xml:space="preserve">iscovery requests.  However, those </w:t>
      </w:r>
      <w:r w:rsidRPr="00BE2D22" w:rsidR="00F53B01">
        <w:rPr>
          <w:szCs w:val="24"/>
        </w:rPr>
        <w:t>responses amount</w:t>
      </w:r>
      <w:r w:rsidRPr="00BE2D22" w:rsidR="00202DCA">
        <w:rPr>
          <w:szCs w:val="24"/>
        </w:rPr>
        <w:t xml:space="preserve"> to nothing more than a list of</w:t>
      </w:r>
      <w:r w:rsidRPr="00BE2D22" w:rsidR="00783B45">
        <w:rPr>
          <w:szCs w:val="24"/>
        </w:rPr>
        <w:t xml:space="preserve"> rote objections.  </w:t>
      </w:r>
      <w:r w:rsidRPr="00BE2D22" w:rsidR="00C04936">
        <w:rPr>
          <w:szCs w:val="24"/>
        </w:rPr>
        <w:t>(</w:t>
      </w:r>
      <w:r w:rsidRPr="00BE2D22" w:rsidR="00783B45">
        <w:rPr>
          <w:szCs w:val="24"/>
        </w:rPr>
        <w:t xml:space="preserve">FirstEnergy’s responses (or non-responses) to OCC’s written discovery will be the subject of a soon to be filed </w:t>
      </w:r>
      <w:r w:rsidRPr="00BE2D22" w:rsidR="00202DCA">
        <w:rPr>
          <w:szCs w:val="24"/>
        </w:rPr>
        <w:t>Motion</w:t>
      </w:r>
      <w:r w:rsidRPr="00BE2D22" w:rsidR="00A43114">
        <w:rPr>
          <w:szCs w:val="24"/>
        </w:rPr>
        <w:t xml:space="preserve"> </w:t>
      </w:r>
      <w:r w:rsidRPr="00BE2D22" w:rsidR="00202DCA">
        <w:rPr>
          <w:szCs w:val="24"/>
        </w:rPr>
        <w:t>to Compel</w:t>
      </w:r>
      <w:r w:rsidRPr="00BE2D22" w:rsidR="00783B45">
        <w:rPr>
          <w:szCs w:val="24"/>
        </w:rPr>
        <w:t>.</w:t>
      </w:r>
      <w:r w:rsidRPr="00BE2D22" w:rsidR="00C04936">
        <w:rPr>
          <w:szCs w:val="24"/>
        </w:rPr>
        <w:t>)</w:t>
      </w:r>
      <w:r w:rsidRPr="00BE2D22" w:rsidR="00931081">
        <w:rPr>
          <w:szCs w:val="24"/>
        </w:rPr>
        <w:t xml:space="preserve">  </w:t>
      </w:r>
    </w:p>
    <w:p w:rsidR="00024343" w:rsidRPr="00BE2D22" w:rsidP="009018B4" w14:paraId="755DBE76" w14:textId="40C2B013">
      <w:pPr>
        <w:pStyle w:val="Heading1"/>
        <w:rPr>
          <w:rFonts w:ascii="Times New Roman" w:hAnsi="Times New Roman" w:cs="Times New Roman"/>
          <w:szCs w:val="24"/>
        </w:rPr>
      </w:pPr>
      <w:bookmarkStart w:id="13" w:name="_Toc54881595"/>
      <w:bookmarkStart w:id="14" w:name="_Toc55226830"/>
      <w:r w:rsidRPr="00BE2D22">
        <w:rPr>
          <w:rFonts w:ascii="Times New Roman" w:hAnsi="Times New Roman" w:cs="Times New Roman"/>
          <w:szCs w:val="24"/>
        </w:rPr>
        <w:t>ALLOWING OCC TO DEPOSE MR. FANELLI IS NOT OPPRESSIVE AND WILL NOT IMPOS</w:t>
      </w:r>
      <w:r w:rsidRPr="00BE2D22" w:rsidR="00012A40">
        <w:rPr>
          <w:rFonts w:ascii="Times New Roman" w:hAnsi="Times New Roman" w:cs="Times New Roman"/>
          <w:szCs w:val="24"/>
        </w:rPr>
        <w:t>E</w:t>
      </w:r>
      <w:r w:rsidRPr="00BE2D22">
        <w:rPr>
          <w:rFonts w:ascii="Times New Roman" w:hAnsi="Times New Roman" w:cs="Times New Roman"/>
          <w:szCs w:val="24"/>
        </w:rPr>
        <w:t xml:space="preserve"> AN UNDUE BURDEN OR EXPENSE UPON FIRSTENERGY</w:t>
      </w:r>
      <w:bookmarkEnd w:id="13"/>
      <w:r w:rsidRPr="00BE2D22" w:rsidR="00A51A3A">
        <w:rPr>
          <w:rFonts w:ascii="Times New Roman" w:hAnsi="Times New Roman" w:cs="Times New Roman"/>
          <w:szCs w:val="24"/>
        </w:rPr>
        <w:t>.</w:t>
      </w:r>
      <w:bookmarkEnd w:id="14"/>
    </w:p>
    <w:p w:rsidR="0012014A" w:rsidRPr="00BE2D22" w:rsidP="008C6D7C" w14:paraId="7A511A86" w14:textId="45A02362">
      <w:pPr>
        <w:autoSpaceDE w:val="0"/>
        <w:autoSpaceDN w:val="0"/>
        <w:adjustRightInd w:val="0"/>
        <w:spacing w:line="480" w:lineRule="auto"/>
        <w:ind w:firstLine="720"/>
        <w:rPr>
          <w:szCs w:val="24"/>
        </w:rPr>
      </w:pPr>
      <w:r w:rsidRPr="00BE2D22">
        <w:rPr>
          <w:szCs w:val="24"/>
        </w:rPr>
        <w:t xml:space="preserve">Finally, </w:t>
      </w:r>
      <w:r w:rsidRPr="00BE2D22" w:rsidR="008C00C4">
        <w:rPr>
          <w:szCs w:val="24"/>
        </w:rPr>
        <w:t>FirstEnergy</w:t>
      </w:r>
      <w:r w:rsidRPr="00BE2D22" w:rsidR="0033033D">
        <w:rPr>
          <w:szCs w:val="24"/>
        </w:rPr>
        <w:t xml:space="preserve"> claim</w:t>
      </w:r>
      <w:r w:rsidRPr="00BE2D22" w:rsidR="008C00C4">
        <w:rPr>
          <w:szCs w:val="24"/>
        </w:rPr>
        <w:t>s</w:t>
      </w:r>
      <w:r w:rsidRPr="00BE2D22">
        <w:rPr>
          <w:szCs w:val="24"/>
        </w:rPr>
        <w:t xml:space="preserve"> that it </w:t>
      </w:r>
      <w:r w:rsidRPr="00BE2D22" w:rsidR="002B1FFD">
        <w:rPr>
          <w:szCs w:val="24"/>
        </w:rPr>
        <w:t xml:space="preserve">would </w:t>
      </w:r>
      <w:r w:rsidRPr="00BE2D22" w:rsidR="00C04936">
        <w:rPr>
          <w:szCs w:val="24"/>
        </w:rPr>
        <w:t xml:space="preserve">cause undue burden and expense on them </w:t>
      </w:r>
      <w:r w:rsidRPr="00BE2D22">
        <w:rPr>
          <w:szCs w:val="24"/>
        </w:rPr>
        <w:t xml:space="preserve">to respond to OCC's </w:t>
      </w:r>
      <w:r w:rsidRPr="00BE2D22" w:rsidR="00C41D7E">
        <w:rPr>
          <w:szCs w:val="24"/>
        </w:rPr>
        <w:t>Notice of Deposition</w:t>
      </w:r>
      <w:r w:rsidRPr="00BE2D22" w:rsidR="0033033D">
        <w:rPr>
          <w:szCs w:val="24"/>
        </w:rPr>
        <w:t>.</w:t>
      </w:r>
      <w:r>
        <w:rPr>
          <w:rStyle w:val="FootnoteReference"/>
          <w:szCs w:val="24"/>
        </w:rPr>
        <w:footnoteReference w:id="37"/>
      </w:r>
      <w:r w:rsidRPr="00BE2D22" w:rsidR="0033033D">
        <w:rPr>
          <w:szCs w:val="24"/>
        </w:rPr>
        <w:t xml:space="preserve">  This</w:t>
      </w:r>
      <w:r w:rsidRPr="00BE2D22">
        <w:rPr>
          <w:szCs w:val="24"/>
        </w:rPr>
        <w:t xml:space="preserve"> </w:t>
      </w:r>
      <w:r w:rsidRPr="00BE2D22" w:rsidR="002B1FFD">
        <w:rPr>
          <w:szCs w:val="24"/>
        </w:rPr>
        <w:t>is at best an unsupported,</w:t>
      </w:r>
      <w:r w:rsidRPr="00BE2D22">
        <w:rPr>
          <w:szCs w:val="24"/>
        </w:rPr>
        <w:t xml:space="preserve"> conclusory</w:t>
      </w:r>
      <w:r w:rsidRPr="00BE2D22" w:rsidR="002B1FFD">
        <w:rPr>
          <w:szCs w:val="24"/>
        </w:rPr>
        <w:t xml:space="preserve"> statement</w:t>
      </w:r>
      <w:r w:rsidRPr="00BE2D22">
        <w:rPr>
          <w:szCs w:val="24"/>
        </w:rPr>
        <w:t xml:space="preserve">.  </w:t>
      </w:r>
      <w:r w:rsidRPr="00BE2D22" w:rsidR="00F53B01">
        <w:rPr>
          <w:szCs w:val="24"/>
        </w:rPr>
        <w:t xml:space="preserve">The law requires that </w:t>
      </w:r>
      <w:r w:rsidRPr="00BE2D22" w:rsidR="008C00C4">
        <w:rPr>
          <w:szCs w:val="24"/>
        </w:rPr>
        <w:t>FirstEnergy</w:t>
      </w:r>
      <w:r w:rsidRPr="00BE2D22">
        <w:rPr>
          <w:szCs w:val="24"/>
        </w:rPr>
        <w:t xml:space="preserve"> must do more than simply repeat the familiar litany that the discovery is burdensome. </w:t>
      </w:r>
      <w:r w:rsidRPr="00BE2D22" w:rsidR="00202DCA">
        <w:rPr>
          <w:szCs w:val="24"/>
        </w:rPr>
        <w:t>Federal and state</w:t>
      </w:r>
      <w:r w:rsidRPr="00BE2D22">
        <w:rPr>
          <w:szCs w:val="24"/>
        </w:rPr>
        <w:t xml:space="preserve"> case law</w:t>
      </w:r>
      <w:r>
        <w:rPr>
          <w:rStyle w:val="FootnoteReference"/>
          <w:szCs w:val="24"/>
        </w:rPr>
        <w:footnoteReference w:id="38"/>
      </w:r>
      <w:r w:rsidRPr="00BE2D22">
        <w:rPr>
          <w:szCs w:val="24"/>
        </w:rPr>
        <w:t xml:space="preserve">  </w:t>
      </w:r>
      <w:r w:rsidRPr="00BE2D22" w:rsidR="002B1FFD">
        <w:rPr>
          <w:szCs w:val="24"/>
        </w:rPr>
        <w:t xml:space="preserve">both demonstrate </w:t>
      </w:r>
      <w:r w:rsidRPr="00BE2D22">
        <w:rPr>
          <w:szCs w:val="24"/>
        </w:rPr>
        <w:t xml:space="preserve">that when a party </w:t>
      </w:r>
      <w:r w:rsidRPr="00BE2D22" w:rsidR="00C41D7E">
        <w:rPr>
          <w:szCs w:val="24"/>
        </w:rPr>
        <w:t>seeks a motion for a protective order (or a motion to quash)</w:t>
      </w:r>
      <w:r w:rsidRPr="00BE2D22">
        <w:rPr>
          <w:szCs w:val="24"/>
        </w:rPr>
        <w:t xml:space="preserve"> based on oppressiveness or undue burden, </w:t>
      </w:r>
      <w:r w:rsidRPr="00BE2D22" w:rsidR="00202DCA">
        <w:rPr>
          <w:szCs w:val="24"/>
        </w:rPr>
        <w:t>it is that</w:t>
      </w:r>
      <w:r w:rsidRPr="00BE2D22">
        <w:rPr>
          <w:szCs w:val="24"/>
        </w:rPr>
        <w:t xml:space="preserve"> party</w:t>
      </w:r>
      <w:r w:rsidRPr="00BE2D22" w:rsidR="00202DCA">
        <w:rPr>
          <w:szCs w:val="24"/>
        </w:rPr>
        <w:t xml:space="preserve">’s burden to show </w:t>
      </w:r>
      <w:r w:rsidRPr="00BE2D22">
        <w:rPr>
          <w:szCs w:val="24"/>
        </w:rPr>
        <w:t>specifically how</w:t>
      </w:r>
      <w:r w:rsidRPr="00BE2D22" w:rsidR="00202DCA">
        <w:rPr>
          <w:szCs w:val="24"/>
        </w:rPr>
        <w:t xml:space="preserve"> </w:t>
      </w:r>
      <w:r w:rsidRPr="00BE2D22" w:rsidR="00C41D7E">
        <w:rPr>
          <w:szCs w:val="24"/>
        </w:rPr>
        <w:t>the request for a deposition</w:t>
      </w:r>
      <w:r w:rsidRPr="00BE2D22">
        <w:rPr>
          <w:szCs w:val="24"/>
        </w:rPr>
        <w:t xml:space="preserve"> is overly broad, burdensome, or oppressive.</w:t>
      </w:r>
      <w:r>
        <w:rPr>
          <w:rStyle w:val="FootnoteReference"/>
          <w:szCs w:val="24"/>
        </w:rPr>
        <w:footnoteReference w:id="39"/>
      </w:r>
      <w:r w:rsidRPr="00BE2D22">
        <w:rPr>
          <w:szCs w:val="24"/>
        </w:rPr>
        <w:t xml:space="preserve">  </w:t>
      </w:r>
      <w:r w:rsidRPr="00BE2D22" w:rsidR="00203DDA">
        <w:rPr>
          <w:szCs w:val="24"/>
        </w:rPr>
        <w:t xml:space="preserve">An undue burden is defined as a burden that is “exceeding or </w:t>
      </w:r>
      <w:r w:rsidRPr="00BE2D22" w:rsidR="00BC33FF">
        <w:rPr>
          <w:szCs w:val="24"/>
        </w:rPr>
        <w:t>violating</w:t>
      </w:r>
      <w:r w:rsidRPr="00BE2D22" w:rsidR="00203DDA">
        <w:rPr>
          <w:szCs w:val="24"/>
        </w:rPr>
        <w:t xml:space="preserve"> propriety or fitness; excessive, immoderate, unwarranted, *** contrary to justice, right, or law; unlawful.”</w:t>
      </w:r>
      <w:r>
        <w:rPr>
          <w:rStyle w:val="FootnoteReference"/>
          <w:szCs w:val="24"/>
        </w:rPr>
        <w:footnoteReference w:id="40"/>
      </w:r>
      <w:r w:rsidRPr="00BE2D22" w:rsidR="00203DDA">
        <w:rPr>
          <w:szCs w:val="24"/>
        </w:rPr>
        <w:t xml:space="preserve">  </w:t>
      </w:r>
      <w:r w:rsidRPr="00BE2D22" w:rsidR="002B1FFD">
        <w:rPr>
          <w:szCs w:val="24"/>
        </w:rPr>
        <w:t>T</w:t>
      </w:r>
      <w:r w:rsidRPr="00BE2D22" w:rsidR="00F53B01">
        <w:rPr>
          <w:szCs w:val="24"/>
        </w:rPr>
        <w:t>he party must submit affidavits or offer evidence revealing the nature of the burden in its objections.</w:t>
      </w:r>
      <w:r>
        <w:rPr>
          <w:rStyle w:val="FootnoteReference"/>
          <w:szCs w:val="24"/>
        </w:rPr>
        <w:footnoteReference w:id="41"/>
      </w:r>
      <w:r w:rsidRPr="00BE2D22" w:rsidR="002B1FFD">
        <w:rPr>
          <w:szCs w:val="24"/>
        </w:rPr>
        <w:t xml:space="preserve"> General objections without specific support are generally considered to be without merit.</w:t>
      </w:r>
      <w:r>
        <w:rPr>
          <w:rStyle w:val="FootnoteReference"/>
          <w:szCs w:val="24"/>
        </w:rPr>
        <w:footnoteReference w:id="42"/>
      </w:r>
      <w:r w:rsidRPr="00BE2D22" w:rsidR="002B1FFD">
        <w:rPr>
          <w:szCs w:val="24"/>
        </w:rPr>
        <w:t xml:space="preserve"> </w:t>
      </w:r>
      <w:r w:rsidRPr="00BE2D22" w:rsidR="0033033D">
        <w:rPr>
          <w:szCs w:val="24"/>
        </w:rPr>
        <w:t xml:space="preserve"> </w:t>
      </w:r>
    </w:p>
    <w:p w:rsidR="0033033D" w:rsidRPr="00BE2D22" w:rsidP="008C6D7C" w14:paraId="28886596" w14:textId="09E7B261">
      <w:pPr>
        <w:autoSpaceDE w:val="0"/>
        <w:autoSpaceDN w:val="0"/>
        <w:adjustRightInd w:val="0"/>
        <w:spacing w:line="480" w:lineRule="auto"/>
        <w:rPr>
          <w:szCs w:val="24"/>
        </w:rPr>
      </w:pPr>
      <w:r w:rsidRPr="00BE2D22">
        <w:rPr>
          <w:szCs w:val="24"/>
        </w:rPr>
        <w:tab/>
      </w:r>
      <w:r w:rsidRPr="00BE2D22" w:rsidR="00203DDA">
        <w:rPr>
          <w:szCs w:val="24"/>
        </w:rPr>
        <w:t>In this case,</w:t>
      </w:r>
      <w:r w:rsidRPr="00BE2D22">
        <w:rPr>
          <w:szCs w:val="24"/>
        </w:rPr>
        <w:t xml:space="preserve"> </w:t>
      </w:r>
      <w:r w:rsidRPr="00BE2D22" w:rsidR="008C00C4">
        <w:rPr>
          <w:szCs w:val="24"/>
        </w:rPr>
        <w:t>FirstEnergy</w:t>
      </w:r>
      <w:r w:rsidRPr="00BE2D22">
        <w:rPr>
          <w:szCs w:val="24"/>
        </w:rPr>
        <w:t xml:space="preserve"> </w:t>
      </w:r>
      <w:r w:rsidRPr="00BE2D22" w:rsidR="002B1FFD">
        <w:rPr>
          <w:szCs w:val="24"/>
        </w:rPr>
        <w:t>ha</w:t>
      </w:r>
      <w:r w:rsidRPr="00BE2D22" w:rsidR="008C00C4">
        <w:rPr>
          <w:szCs w:val="24"/>
        </w:rPr>
        <w:t>s</w:t>
      </w:r>
      <w:r w:rsidRPr="00BE2D22" w:rsidR="002B1FFD">
        <w:rPr>
          <w:szCs w:val="24"/>
        </w:rPr>
        <w:t xml:space="preserve"> </w:t>
      </w:r>
      <w:r w:rsidRPr="00BE2D22">
        <w:rPr>
          <w:szCs w:val="24"/>
        </w:rPr>
        <w:t xml:space="preserve">failed to show how the </w:t>
      </w:r>
      <w:r w:rsidRPr="00BE2D22" w:rsidR="00C41D7E">
        <w:rPr>
          <w:szCs w:val="24"/>
        </w:rPr>
        <w:t>Notice of Deposition</w:t>
      </w:r>
      <w:r w:rsidRPr="00BE2D22">
        <w:rPr>
          <w:szCs w:val="24"/>
        </w:rPr>
        <w:t xml:space="preserve"> </w:t>
      </w:r>
      <w:r w:rsidRPr="00BE2D22" w:rsidR="00BC33FF">
        <w:rPr>
          <w:szCs w:val="24"/>
        </w:rPr>
        <w:t xml:space="preserve">creates an undue burden upon </w:t>
      </w:r>
      <w:r w:rsidRPr="00BE2D22" w:rsidR="003C079A">
        <w:rPr>
          <w:szCs w:val="24"/>
        </w:rPr>
        <w:t>FirstEnergy</w:t>
      </w:r>
      <w:r w:rsidRPr="00BE2D22" w:rsidR="00BC33FF">
        <w:rPr>
          <w:szCs w:val="24"/>
        </w:rPr>
        <w:t xml:space="preserve"> or Mr. Fanelli</w:t>
      </w:r>
      <w:r w:rsidRPr="00BE2D22">
        <w:rPr>
          <w:szCs w:val="24"/>
        </w:rPr>
        <w:t xml:space="preserve">. </w:t>
      </w:r>
      <w:r w:rsidRPr="00BE2D22" w:rsidR="003C079A">
        <w:rPr>
          <w:szCs w:val="24"/>
        </w:rPr>
        <w:t xml:space="preserve">FirstEnergy </w:t>
      </w:r>
      <w:r w:rsidRPr="00BE2D22">
        <w:rPr>
          <w:szCs w:val="24"/>
        </w:rPr>
        <w:t>ha</w:t>
      </w:r>
      <w:r w:rsidRPr="00BE2D22" w:rsidR="00A51A3A">
        <w:rPr>
          <w:szCs w:val="24"/>
        </w:rPr>
        <w:t>s</w:t>
      </w:r>
      <w:r w:rsidRPr="00BE2D22">
        <w:rPr>
          <w:szCs w:val="24"/>
        </w:rPr>
        <w:t xml:space="preserve"> therefore failed to meet their burden because they failed to clarify, explain, and provide support to their objections.</w:t>
      </w:r>
      <w:r>
        <w:rPr>
          <w:rStyle w:val="FootnoteReference"/>
          <w:szCs w:val="24"/>
        </w:rPr>
        <w:footnoteReference w:id="43"/>
      </w:r>
    </w:p>
    <w:p w:rsidR="00F53B01" w:rsidRPr="00BE2D22" w:rsidP="008C6D7C" w14:paraId="6C2CDD0D" w14:textId="4F5A628D">
      <w:pPr>
        <w:autoSpaceDE w:val="0"/>
        <w:autoSpaceDN w:val="0"/>
        <w:adjustRightInd w:val="0"/>
        <w:spacing w:line="480" w:lineRule="auto"/>
        <w:ind w:firstLine="720"/>
        <w:rPr>
          <w:szCs w:val="24"/>
        </w:rPr>
      </w:pPr>
      <w:r w:rsidRPr="00BE2D22">
        <w:rPr>
          <w:szCs w:val="24"/>
        </w:rPr>
        <w:t>OCC cannot conceive wha</w:t>
      </w:r>
      <w:r w:rsidRPr="00BE2D22" w:rsidR="00D95419">
        <w:rPr>
          <w:szCs w:val="24"/>
        </w:rPr>
        <w:t xml:space="preserve">t is burdensome about a </w:t>
      </w:r>
      <w:r w:rsidRPr="00BE2D22">
        <w:rPr>
          <w:szCs w:val="24"/>
        </w:rPr>
        <w:t xml:space="preserve">single </w:t>
      </w:r>
      <w:r w:rsidRPr="00BE2D22" w:rsidR="00D95419">
        <w:rPr>
          <w:szCs w:val="24"/>
        </w:rPr>
        <w:t xml:space="preserve">deposition </w:t>
      </w:r>
      <w:r w:rsidRPr="00BE2D22">
        <w:rPr>
          <w:szCs w:val="24"/>
        </w:rPr>
        <w:t xml:space="preserve">(by telephone) </w:t>
      </w:r>
      <w:r w:rsidRPr="00BE2D22" w:rsidR="00D95419">
        <w:rPr>
          <w:szCs w:val="24"/>
        </w:rPr>
        <w:t xml:space="preserve">on matters that include the deponent’s sworn statement that was attached to </w:t>
      </w:r>
      <w:r w:rsidRPr="00BE2D22" w:rsidR="003C079A">
        <w:rPr>
          <w:szCs w:val="24"/>
        </w:rPr>
        <w:t>FirstEnergy</w:t>
      </w:r>
      <w:r w:rsidRPr="00BE2D22" w:rsidR="00D95419">
        <w:rPr>
          <w:szCs w:val="24"/>
        </w:rPr>
        <w:t>’</w:t>
      </w:r>
      <w:r w:rsidRPr="00BE2D22" w:rsidR="00A51A3A">
        <w:rPr>
          <w:szCs w:val="24"/>
        </w:rPr>
        <w:t>s</w:t>
      </w:r>
      <w:r w:rsidRPr="00BE2D22" w:rsidR="00D95419">
        <w:rPr>
          <w:szCs w:val="24"/>
        </w:rPr>
        <w:t xml:space="preserve"> response to the PUCO’s show cause orders</w:t>
      </w:r>
      <w:r w:rsidRPr="00BE2D22">
        <w:rPr>
          <w:szCs w:val="24"/>
        </w:rPr>
        <w:t xml:space="preserve">.  The alternative, as suggested by FirstEnergy is that we are forced to </w:t>
      </w:r>
      <w:r w:rsidRPr="00BE2D22" w:rsidR="00D95419">
        <w:rPr>
          <w:szCs w:val="24"/>
        </w:rPr>
        <w:t>blindly accept its evidence –Mr. Fanelli’s affidavit, without the opportunity to challenge that evidence.</w:t>
      </w:r>
      <w:r w:rsidRPr="00BE2D22" w:rsidR="00D065B4">
        <w:rPr>
          <w:szCs w:val="24"/>
        </w:rPr>
        <w:t xml:space="preserve"> That is fundamentally unfair and </w:t>
      </w:r>
      <w:r w:rsidRPr="00BE2D22">
        <w:rPr>
          <w:szCs w:val="24"/>
        </w:rPr>
        <w:t xml:space="preserve">inconsistent with </w:t>
      </w:r>
      <w:r w:rsidRPr="00BE2D22" w:rsidR="00D065B4">
        <w:rPr>
          <w:szCs w:val="24"/>
        </w:rPr>
        <w:t xml:space="preserve">parties’ </w:t>
      </w:r>
      <w:r w:rsidRPr="00BE2D22">
        <w:rPr>
          <w:szCs w:val="24"/>
        </w:rPr>
        <w:t xml:space="preserve">ample discovery rights under Ohio law. </w:t>
      </w:r>
      <w:r w:rsidRPr="00BE2D22" w:rsidR="00D065B4">
        <w:rPr>
          <w:szCs w:val="24"/>
        </w:rPr>
        <w:t xml:space="preserve"> OCC and others should be able to conduct Mr. Fanelli’s deposition especially </w:t>
      </w:r>
      <w:r w:rsidRPr="00BE2D22" w:rsidR="00865F65">
        <w:rPr>
          <w:szCs w:val="24"/>
        </w:rPr>
        <w:t xml:space="preserve">because </w:t>
      </w:r>
      <w:r w:rsidRPr="00BE2D22" w:rsidR="00D065B4">
        <w:rPr>
          <w:szCs w:val="24"/>
        </w:rPr>
        <w:t xml:space="preserve">his sworn statement will be used as evidence in this proceeding. </w:t>
      </w:r>
      <w:r w:rsidRPr="00BE2D22" w:rsidR="0079764E">
        <w:rPr>
          <w:szCs w:val="24"/>
        </w:rPr>
        <w:t>It’s</w:t>
      </w:r>
      <w:r w:rsidRPr="00BE2D22" w:rsidR="00D065B4">
        <w:rPr>
          <w:szCs w:val="24"/>
        </w:rPr>
        <w:t xml:space="preserve"> that simple.  </w:t>
      </w:r>
      <w:r w:rsidRPr="00BE2D22" w:rsidR="00D95419">
        <w:rPr>
          <w:szCs w:val="24"/>
        </w:rPr>
        <w:t xml:space="preserve"> </w:t>
      </w:r>
    </w:p>
    <w:p w:rsidR="00D1576A" w:rsidRPr="00BE2D22" w:rsidP="009018B4" w14:paraId="0096D2DD" w14:textId="603CDA1E">
      <w:pPr>
        <w:pStyle w:val="Heading1"/>
        <w:rPr>
          <w:rFonts w:ascii="Times New Roman" w:hAnsi="Times New Roman" w:cs="Times New Roman"/>
          <w:szCs w:val="24"/>
        </w:rPr>
      </w:pPr>
      <w:bookmarkStart w:id="15" w:name="_Toc54881596"/>
      <w:bookmarkStart w:id="16" w:name="_Toc55226831"/>
      <w:r w:rsidRPr="00BE2D22">
        <w:rPr>
          <w:rFonts w:ascii="Times New Roman" w:hAnsi="Times New Roman" w:cs="Times New Roman"/>
          <w:szCs w:val="24"/>
        </w:rPr>
        <w:t>CONCLUSION</w:t>
      </w:r>
      <w:bookmarkEnd w:id="15"/>
      <w:bookmarkEnd w:id="16"/>
    </w:p>
    <w:p w:rsidR="00C910CC" w:rsidRPr="00BE2D22" w:rsidP="00F72AD3" w14:paraId="7B4AC184" w14:textId="7FD334FE">
      <w:pPr>
        <w:spacing w:line="480" w:lineRule="auto"/>
        <w:ind w:firstLine="720"/>
        <w:rPr>
          <w:szCs w:val="24"/>
        </w:rPr>
      </w:pPr>
      <w:r w:rsidRPr="00BE2D22">
        <w:rPr>
          <w:szCs w:val="24"/>
        </w:rPr>
        <w:t>FirstEnergy</w:t>
      </w:r>
      <w:r w:rsidRPr="00BE2D22" w:rsidR="00D1576A">
        <w:rPr>
          <w:szCs w:val="24"/>
        </w:rPr>
        <w:t>’</w:t>
      </w:r>
      <w:r w:rsidRPr="00BE2D22">
        <w:rPr>
          <w:szCs w:val="24"/>
        </w:rPr>
        <w:t>s</w:t>
      </w:r>
      <w:r w:rsidRPr="00BE2D22" w:rsidR="00D1576A">
        <w:rPr>
          <w:szCs w:val="24"/>
        </w:rPr>
        <w:t xml:space="preserve"> Motion asks the PUCO to ignore the discovery process established by the </w:t>
      </w:r>
      <w:r w:rsidRPr="00BE2D22">
        <w:rPr>
          <w:szCs w:val="24"/>
        </w:rPr>
        <w:t xml:space="preserve">Ohio law and PUCO rules </w:t>
      </w:r>
      <w:r w:rsidRPr="00BE2D22" w:rsidR="00D1576A">
        <w:rPr>
          <w:szCs w:val="24"/>
        </w:rPr>
        <w:t>to permit the</w:t>
      </w:r>
      <w:r w:rsidRPr="00BE2D22" w:rsidR="00D5449F">
        <w:rPr>
          <w:szCs w:val="24"/>
        </w:rPr>
        <w:t>m</w:t>
      </w:r>
      <w:r w:rsidRPr="00BE2D22" w:rsidR="00D1576A">
        <w:rPr>
          <w:szCs w:val="24"/>
        </w:rPr>
        <w:t xml:space="preserve"> to avoid releasing potentially harmful evidence against it and its affiliate companies.  </w:t>
      </w:r>
      <w:r w:rsidRPr="00BE2D22">
        <w:rPr>
          <w:szCs w:val="24"/>
        </w:rPr>
        <w:t xml:space="preserve">The PUCO should put a stop to FirstEnergy’s tactics.  </w:t>
      </w:r>
    </w:p>
    <w:p w:rsidR="00D1576A" w:rsidRPr="00BE2D22" w:rsidP="00F72AD3" w14:paraId="67E1B7DE" w14:textId="59838E3E">
      <w:pPr>
        <w:spacing w:line="480" w:lineRule="auto"/>
        <w:ind w:firstLine="720"/>
        <w:rPr>
          <w:szCs w:val="24"/>
        </w:rPr>
      </w:pPr>
      <w:r w:rsidRPr="00BE2D22">
        <w:rPr>
          <w:szCs w:val="24"/>
        </w:rPr>
        <w:t xml:space="preserve">The public deserves to hear the full story.  That story should include finding out if funds collected from them </w:t>
      </w:r>
      <w:r w:rsidRPr="00BE2D22" w:rsidR="00A43114">
        <w:rPr>
          <w:szCs w:val="24"/>
        </w:rPr>
        <w:t xml:space="preserve">by FirstEnergy </w:t>
      </w:r>
      <w:r w:rsidRPr="00BE2D22">
        <w:rPr>
          <w:szCs w:val="24"/>
        </w:rPr>
        <w:t xml:space="preserve">were used to fund alleged illegal HB 6 activities, instead of being used to provide utility service.  The PUCO should facilitate, not prevent, the fact-finding process.  FirstEnergy’s Motion for Protection should be denied.  </w:t>
      </w:r>
    </w:p>
    <w:p w:rsidR="00BE2D22" w:rsidRPr="00BE2D22" w14:paraId="2E64A12E" w14:textId="77777777">
      <w:pPr>
        <w:spacing w:after="200" w:line="276" w:lineRule="auto"/>
        <w:rPr>
          <w:szCs w:val="24"/>
        </w:rPr>
      </w:pPr>
      <w:r w:rsidRPr="00BE2D22">
        <w:rPr>
          <w:szCs w:val="24"/>
        </w:rPr>
        <w:br w:type="page"/>
      </w:r>
    </w:p>
    <w:p w:rsidR="00D1576A" w:rsidRPr="00BE2D22" w:rsidP="00D1576A" w14:paraId="59579B0F" w14:textId="3AF6F011">
      <w:pPr>
        <w:suppressLineNumbers/>
        <w:ind w:left="4320"/>
        <w:rPr>
          <w:szCs w:val="24"/>
        </w:rPr>
      </w:pPr>
      <w:r w:rsidRPr="00BE2D22">
        <w:rPr>
          <w:szCs w:val="24"/>
        </w:rPr>
        <w:t>Respectfully submitted,</w:t>
      </w:r>
    </w:p>
    <w:p w:rsidR="00D1576A" w:rsidRPr="00BE2D22" w:rsidP="00D1576A" w14:paraId="10E47F5F" w14:textId="77777777">
      <w:pPr>
        <w:suppressLineNumbers/>
        <w:ind w:left="4320"/>
        <w:rPr>
          <w:szCs w:val="24"/>
        </w:rPr>
      </w:pPr>
      <w:r w:rsidRPr="00BE2D22">
        <w:rPr>
          <w:szCs w:val="24"/>
        </w:rPr>
        <w:t xml:space="preserve"> </w:t>
      </w:r>
    </w:p>
    <w:p w:rsidR="00D1576A" w:rsidRPr="00BE2D22" w:rsidP="00D1576A" w14:paraId="28F708B9" w14:textId="77777777">
      <w:pPr>
        <w:suppressLineNumbers/>
        <w:ind w:left="4320"/>
        <w:rPr>
          <w:szCs w:val="24"/>
        </w:rPr>
      </w:pPr>
      <w:r w:rsidRPr="00BE2D22">
        <w:rPr>
          <w:szCs w:val="24"/>
        </w:rPr>
        <w:t>Bruce Weston (#0016973)</w:t>
      </w:r>
    </w:p>
    <w:p w:rsidR="00D1576A" w:rsidRPr="00BE2D22" w:rsidP="00D1576A" w14:paraId="2816774D" w14:textId="77777777">
      <w:pPr>
        <w:suppressLineNumbers/>
        <w:ind w:left="4320"/>
        <w:rPr>
          <w:szCs w:val="24"/>
        </w:rPr>
      </w:pPr>
      <w:r w:rsidRPr="00BE2D22">
        <w:rPr>
          <w:szCs w:val="24"/>
        </w:rPr>
        <w:t>Ohio Consumers’ Counsel</w:t>
      </w:r>
    </w:p>
    <w:p w:rsidR="00D1576A" w:rsidRPr="00BE2D22" w:rsidP="00D1576A" w14:paraId="00EB9380" w14:textId="77777777">
      <w:pPr>
        <w:suppressLineNumbers/>
        <w:ind w:left="4320"/>
        <w:rPr>
          <w:szCs w:val="24"/>
        </w:rPr>
      </w:pPr>
      <w:r w:rsidRPr="00BE2D22">
        <w:rPr>
          <w:szCs w:val="24"/>
        </w:rPr>
        <w:tab/>
      </w:r>
    </w:p>
    <w:p w:rsidR="00D1576A" w:rsidRPr="00BE2D22" w:rsidP="00D1576A" w14:paraId="688656C3" w14:textId="77777777">
      <w:pPr>
        <w:suppressLineNumbers/>
        <w:ind w:left="4320"/>
        <w:rPr>
          <w:szCs w:val="24"/>
        </w:rPr>
      </w:pPr>
      <w:r w:rsidRPr="00BE2D22">
        <w:rPr>
          <w:i/>
          <w:iCs/>
          <w:szCs w:val="24"/>
          <w:u w:val="single"/>
        </w:rPr>
        <w:t>/s/ Maureen R. Willis</w:t>
      </w:r>
    </w:p>
    <w:p w:rsidR="00D1576A" w:rsidRPr="00BE2D22" w:rsidP="00D1576A" w14:paraId="04BB58B4" w14:textId="77777777">
      <w:pPr>
        <w:suppressLineNumbers/>
        <w:ind w:left="4320"/>
        <w:rPr>
          <w:szCs w:val="24"/>
        </w:rPr>
      </w:pPr>
      <w:r w:rsidRPr="00BE2D22">
        <w:rPr>
          <w:szCs w:val="24"/>
        </w:rPr>
        <w:t>Maureen R. Willis, Senior Counsel</w:t>
      </w:r>
    </w:p>
    <w:p w:rsidR="00D1576A" w:rsidRPr="00BE2D22" w:rsidP="00D1576A" w14:paraId="22469283" w14:textId="77777777">
      <w:pPr>
        <w:suppressLineNumbers/>
        <w:ind w:left="4320"/>
        <w:rPr>
          <w:szCs w:val="24"/>
        </w:rPr>
      </w:pPr>
      <w:r w:rsidRPr="00BE2D22">
        <w:rPr>
          <w:szCs w:val="24"/>
        </w:rPr>
        <w:t xml:space="preserve">Counsel of Record (# 0020847)                      </w:t>
      </w:r>
    </w:p>
    <w:p w:rsidR="00D1576A" w:rsidRPr="00BE2D22" w:rsidP="00D1576A" w14:paraId="086F6A02" w14:textId="77777777">
      <w:pPr>
        <w:suppressLineNumbers/>
        <w:ind w:left="4320"/>
        <w:rPr>
          <w:szCs w:val="24"/>
        </w:rPr>
      </w:pPr>
      <w:r w:rsidRPr="00BE2D22">
        <w:rPr>
          <w:szCs w:val="24"/>
        </w:rPr>
        <w:t>Angela D. O’Brien (#0097579)</w:t>
      </w:r>
      <w:r w:rsidRPr="00BE2D22">
        <w:rPr>
          <w:szCs w:val="24"/>
        </w:rPr>
        <w:tab/>
      </w:r>
    </w:p>
    <w:p w:rsidR="00D1576A" w:rsidRPr="00BE2D22" w:rsidP="00D1576A" w14:paraId="35428DF8" w14:textId="77777777">
      <w:pPr>
        <w:suppressLineNumbers/>
        <w:ind w:left="4320"/>
        <w:rPr>
          <w:szCs w:val="24"/>
        </w:rPr>
      </w:pPr>
      <w:r w:rsidRPr="00BE2D22">
        <w:rPr>
          <w:szCs w:val="24"/>
        </w:rPr>
        <w:t>Assistant Consumers’ Counsel</w:t>
      </w:r>
    </w:p>
    <w:p w:rsidR="00D1576A" w:rsidRPr="00BE2D22" w:rsidP="00D1576A" w14:paraId="554D2242" w14:textId="77777777">
      <w:pPr>
        <w:suppressLineNumbers/>
        <w:ind w:left="4320"/>
        <w:rPr>
          <w:szCs w:val="24"/>
        </w:rPr>
      </w:pPr>
      <w:r w:rsidRPr="00BE2D22">
        <w:rPr>
          <w:szCs w:val="24"/>
        </w:rPr>
        <w:tab/>
      </w:r>
    </w:p>
    <w:p w:rsidR="00D1576A" w:rsidRPr="00BE2D22" w:rsidP="00D1576A" w14:paraId="0B281C8A" w14:textId="77777777">
      <w:pPr>
        <w:suppressLineNumbers/>
        <w:ind w:left="4320"/>
        <w:rPr>
          <w:b/>
          <w:bCs/>
          <w:szCs w:val="24"/>
        </w:rPr>
      </w:pPr>
      <w:r w:rsidRPr="00BE2D22">
        <w:rPr>
          <w:b/>
          <w:bCs/>
          <w:szCs w:val="24"/>
        </w:rPr>
        <w:t>Office of the Ohio Consumers’ Counsel</w:t>
      </w:r>
    </w:p>
    <w:p w:rsidR="00D1576A" w:rsidRPr="00BE2D22" w:rsidP="00D1576A" w14:paraId="1CDB9674" w14:textId="77777777">
      <w:pPr>
        <w:suppressLineNumbers/>
        <w:ind w:left="4320"/>
        <w:rPr>
          <w:bCs/>
          <w:szCs w:val="24"/>
        </w:rPr>
      </w:pPr>
      <w:r w:rsidRPr="00BE2D22">
        <w:rPr>
          <w:bCs/>
          <w:szCs w:val="24"/>
        </w:rPr>
        <w:t>65 East State Street, 7</w:t>
      </w:r>
      <w:r w:rsidRPr="00BE2D22">
        <w:rPr>
          <w:bCs/>
          <w:szCs w:val="24"/>
          <w:vertAlign w:val="superscript"/>
        </w:rPr>
        <w:t>th</w:t>
      </w:r>
      <w:r w:rsidRPr="00BE2D22">
        <w:rPr>
          <w:bCs/>
          <w:szCs w:val="24"/>
        </w:rPr>
        <w:t xml:space="preserve"> Floor</w:t>
      </w:r>
    </w:p>
    <w:p w:rsidR="00D1576A" w:rsidRPr="00BE2D22" w:rsidP="00D1576A" w14:paraId="2F279C16" w14:textId="77777777">
      <w:pPr>
        <w:suppressLineNumbers/>
        <w:ind w:left="4320"/>
        <w:rPr>
          <w:bCs/>
          <w:szCs w:val="24"/>
        </w:rPr>
      </w:pPr>
      <w:r w:rsidRPr="00BE2D22">
        <w:rPr>
          <w:bCs/>
          <w:szCs w:val="24"/>
        </w:rPr>
        <w:t>Columbus, Ohio 43215</w:t>
      </w:r>
    </w:p>
    <w:p w:rsidR="00D1576A" w:rsidRPr="00BE2D22" w:rsidP="00D1576A" w14:paraId="1D9BB775" w14:textId="77777777">
      <w:pPr>
        <w:suppressLineNumbers/>
        <w:ind w:left="4320"/>
        <w:rPr>
          <w:szCs w:val="24"/>
        </w:rPr>
      </w:pPr>
      <w:r w:rsidRPr="00BE2D22">
        <w:rPr>
          <w:szCs w:val="24"/>
        </w:rPr>
        <w:t>Telephone [Willis]: (614) 466-9567</w:t>
      </w:r>
    </w:p>
    <w:p w:rsidR="00D1576A" w:rsidRPr="00BE2D22" w:rsidP="00D1576A" w14:paraId="79D9D792" w14:textId="77777777">
      <w:pPr>
        <w:suppressLineNumbers/>
        <w:ind w:left="4320"/>
        <w:rPr>
          <w:szCs w:val="24"/>
        </w:rPr>
      </w:pPr>
      <w:r w:rsidRPr="00BE2D22">
        <w:rPr>
          <w:szCs w:val="24"/>
        </w:rPr>
        <w:t>Telephone [Obrien]: (614) 466-9531</w:t>
      </w:r>
    </w:p>
    <w:p w:rsidR="00D1576A" w:rsidRPr="00BE2D22" w:rsidP="00D1576A" w14:paraId="352FF49A" w14:textId="77777777">
      <w:pPr>
        <w:suppressLineNumbers/>
        <w:ind w:left="4320"/>
        <w:rPr>
          <w:szCs w:val="24"/>
        </w:rPr>
      </w:pPr>
      <w:hyperlink r:id="rId6" w:history="1">
        <w:r w:rsidRPr="00BE2D22" w:rsidR="00445723">
          <w:rPr>
            <w:rStyle w:val="Hyperlink"/>
            <w:szCs w:val="24"/>
          </w:rPr>
          <w:t>Maureen.willis@occ.ohio.gov</w:t>
        </w:r>
      </w:hyperlink>
    </w:p>
    <w:p w:rsidR="00D1576A" w:rsidRPr="00BE2D22" w:rsidP="00D1576A" w14:paraId="0BC77577" w14:textId="77777777">
      <w:pPr>
        <w:suppressLineNumbers/>
        <w:ind w:left="4320"/>
        <w:rPr>
          <w:szCs w:val="24"/>
        </w:rPr>
      </w:pPr>
      <w:hyperlink r:id="rId7" w:history="1">
        <w:r w:rsidRPr="00BE2D22" w:rsidR="00445723">
          <w:rPr>
            <w:rStyle w:val="Hyperlink"/>
            <w:szCs w:val="24"/>
          </w:rPr>
          <w:t>Angela.obrien@occ.ohio.gov</w:t>
        </w:r>
      </w:hyperlink>
    </w:p>
    <w:p w:rsidR="00D1576A" w:rsidRPr="00BE2D22" w:rsidP="00D1576A" w14:paraId="7DF20E93" w14:textId="77777777">
      <w:pPr>
        <w:suppressLineNumbers/>
        <w:ind w:left="4320"/>
        <w:rPr>
          <w:szCs w:val="24"/>
        </w:rPr>
      </w:pPr>
      <w:r w:rsidRPr="00BE2D22">
        <w:rPr>
          <w:szCs w:val="24"/>
        </w:rPr>
        <w:t>(Willing to accept service by e-mail)</w:t>
      </w:r>
    </w:p>
    <w:p w:rsidR="00D1576A" w:rsidRPr="00BE2D22" w:rsidP="00D1576A" w14:paraId="4A260E05" w14:textId="77777777">
      <w:pPr>
        <w:suppressLineNumbers/>
        <w:ind w:left="4320"/>
        <w:rPr>
          <w:szCs w:val="24"/>
        </w:rPr>
      </w:pPr>
    </w:p>
    <w:p w:rsidR="00BE2D22" w:rsidRPr="00BE2D22" w:rsidP="00BE2D22" w14:paraId="399CA6B5" w14:textId="77777777">
      <w:pPr>
        <w:spacing w:line="276" w:lineRule="auto"/>
        <w:ind w:left="3600" w:firstLine="720"/>
        <w:rPr>
          <w:rFonts w:eastAsiaTheme="minorHAnsi"/>
          <w:color w:val="000000"/>
          <w:szCs w:val="24"/>
        </w:rPr>
      </w:pPr>
    </w:p>
    <w:p w:rsidR="00D1576A" w:rsidRPr="00BE2D22" w:rsidP="00BE2D22" w14:paraId="30F4AFF5" w14:textId="089E3D27">
      <w:pPr>
        <w:spacing w:line="276" w:lineRule="auto"/>
        <w:ind w:left="3600" w:firstLine="720"/>
        <w:rPr>
          <w:rFonts w:eastAsiaTheme="minorHAnsi"/>
          <w:color w:val="000000"/>
          <w:szCs w:val="24"/>
        </w:rPr>
      </w:pPr>
      <w:r w:rsidRPr="00BE2D22">
        <w:rPr>
          <w:rFonts w:eastAsiaTheme="minorHAnsi"/>
          <w:color w:val="000000"/>
          <w:szCs w:val="24"/>
        </w:rPr>
        <w:t>Michael D. Dortch (0043897)</w:t>
      </w:r>
    </w:p>
    <w:p w:rsidR="00D1576A" w:rsidRPr="00BE2D22" w:rsidP="00BE2D22" w14:paraId="360F1130" w14:textId="77777777">
      <w:pPr>
        <w:autoSpaceDE w:val="0"/>
        <w:autoSpaceDN w:val="0"/>
        <w:adjustRightInd w:val="0"/>
        <w:ind w:left="4320"/>
        <w:rPr>
          <w:rFonts w:eastAsiaTheme="minorHAnsi"/>
          <w:color w:val="000000"/>
          <w:szCs w:val="24"/>
        </w:rPr>
      </w:pPr>
      <w:r w:rsidRPr="00BE2D22">
        <w:rPr>
          <w:rFonts w:eastAsiaTheme="minorHAnsi"/>
          <w:color w:val="000000"/>
          <w:szCs w:val="24"/>
        </w:rPr>
        <w:t>Justin M. Dortch (00900048)</w:t>
      </w:r>
    </w:p>
    <w:p w:rsidR="00D1576A" w:rsidRPr="00BE2D22" w:rsidP="00D1576A" w14:paraId="7B132757" w14:textId="77777777">
      <w:pPr>
        <w:autoSpaceDE w:val="0"/>
        <w:autoSpaceDN w:val="0"/>
        <w:adjustRightInd w:val="0"/>
        <w:ind w:left="4320"/>
        <w:rPr>
          <w:rFonts w:eastAsiaTheme="minorHAnsi"/>
          <w:color w:val="000000"/>
          <w:szCs w:val="24"/>
        </w:rPr>
      </w:pPr>
      <w:r w:rsidRPr="00BE2D22">
        <w:rPr>
          <w:rFonts w:eastAsiaTheme="minorHAnsi"/>
          <w:color w:val="000000"/>
          <w:szCs w:val="24"/>
        </w:rPr>
        <w:t>KRAVITZ, BROWN, &amp; DORTCH, LLC</w:t>
      </w:r>
    </w:p>
    <w:p w:rsidR="00D1576A" w:rsidRPr="00BE2D22" w:rsidP="00D1576A" w14:paraId="28D92AB2" w14:textId="77777777">
      <w:pPr>
        <w:autoSpaceDE w:val="0"/>
        <w:autoSpaceDN w:val="0"/>
        <w:adjustRightInd w:val="0"/>
        <w:ind w:left="4320"/>
        <w:rPr>
          <w:rFonts w:eastAsiaTheme="minorHAnsi"/>
          <w:color w:val="000000"/>
          <w:szCs w:val="24"/>
        </w:rPr>
      </w:pPr>
      <w:r w:rsidRPr="00BE2D22">
        <w:rPr>
          <w:rFonts w:eastAsiaTheme="minorHAnsi"/>
          <w:color w:val="000000"/>
          <w:szCs w:val="24"/>
        </w:rPr>
        <w:t>65 East State Street, Suite 200</w:t>
      </w:r>
    </w:p>
    <w:p w:rsidR="00D1576A" w:rsidRPr="00BE2D22" w:rsidP="00D1576A" w14:paraId="2E47AC55" w14:textId="77777777">
      <w:pPr>
        <w:autoSpaceDE w:val="0"/>
        <w:autoSpaceDN w:val="0"/>
        <w:adjustRightInd w:val="0"/>
        <w:ind w:left="4320"/>
        <w:rPr>
          <w:rFonts w:eastAsiaTheme="minorHAnsi"/>
          <w:color w:val="000000"/>
          <w:szCs w:val="24"/>
        </w:rPr>
      </w:pPr>
      <w:r w:rsidRPr="00BE2D22">
        <w:rPr>
          <w:rFonts w:eastAsiaTheme="minorHAnsi"/>
          <w:color w:val="000000"/>
          <w:szCs w:val="24"/>
        </w:rPr>
        <w:t>Columbus, Ohio 43215</w:t>
      </w:r>
    </w:p>
    <w:p w:rsidR="00D1576A" w:rsidRPr="00BE2D22" w:rsidP="00D1576A" w14:paraId="0EAAFF2A" w14:textId="77777777">
      <w:pPr>
        <w:autoSpaceDE w:val="0"/>
        <w:autoSpaceDN w:val="0"/>
        <w:adjustRightInd w:val="0"/>
        <w:ind w:left="4320"/>
        <w:rPr>
          <w:rFonts w:eastAsiaTheme="minorHAnsi"/>
          <w:color w:val="000000"/>
          <w:szCs w:val="24"/>
        </w:rPr>
      </w:pPr>
      <w:r w:rsidRPr="00BE2D22">
        <w:rPr>
          <w:rFonts w:eastAsiaTheme="minorHAnsi"/>
          <w:color w:val="000000"/>
          <w:szCs w:val="24"/>
        </w:rPr>
        <w:t>Phone (614) 464-2000</w:t>
      </w:r>
    </w:p>
    <w:p w:rsidR="00D1576A" w:rsidRPr="00BE2D22" w:rsidP="00D1576A" w14:paraId="510BB045" w14:textId="77777777">
      <w:pPr>
        <w:autoSpaceDE w:val="0"/>
        <w:autoSpaceDN w:val="0"/>
        <w:adjustRightInd w:val="0"/>
        <w:ind w:left="4320"/>
        <w:rPr>
          <w:rFonts w:eastAsiaTheme="minorHAnsi"/>
          <w:color w:val="000000"/>
          <w:szCs w:val="24"/>
        </w:rPr>
      </w:pPr>
      <w:r w:rsidRPr="00BE2D22">
        <w:rPr>
          <w:rFonts w:eastAsiaTheme="minorHAnsi"/>
          <w:color w:val="000000"/>
          <w:szCs w:val="24"/>
        </w:rPr>
        <w:t>Fax: (614) 464-2002</w:t>
      </w:r>
    </w:p>
    <w:p w:rsidR="00D1576A" w:rsidRPr="00BE2D22" w:rsidP="00D1576A" w14:paraId="487621E1" w14:textId="77777777">
      <w:pPr>
        <w:autoSpaceDE w:val="0"/>
        <w:autoSpaceDN w:val="0"/>
        <w:adjustRightInd w:val="0"/>
        <w:ind w:left="4320"/>
        <w:rPr>
          <w:rFonts w:eastAsiaTheme="minorHAnsi"/>
          <w:color w:val="0000FF"/>
          <w:szCs w:val="24"/>
        </w:rPr>
      </w:pPr>
      <w:r w:rsidRPr="00BE2D22">
        <w:rPr>
          <w:rFonts w:eastAsiaTheme="minorHAnsi"/>
          <w:color w:val="000000"/>
          <w:szCs w:val="24"/>
        </w:rPr>
        <w:t xml:space="preserve">E-mail: </w:t>
      </w:r>
      <w:r w:rsidRPr="00BE2D22">
        <w:rPr>
          <w:rFonts w:eastAsiaTheme="minorHAnsi"/>
          <w:color w:val="0000FF"/>
          <w:szCs w:val="24"/>
        </w:rPr>
        <w:t>mdortch@kravitzllc.com</w:t>
      </w:r>
    </w:p>
    <w:p w:rsidR="00D1576A" w:rsidRPr="00BE2D22" w:rsidP="00D1576A" w14:paraId="76FE9445" w14:textId="77777777">
      <w:pPr>
        <w:autoSpaceDE w:val="0"/>
        <w:autoSpaceDN w:val="0"/>
        <w:adjustRightInd w:val="0"/>
        <w:ind w:left="4320"/>
        <w:rPr>
          <w:rFonts w:eastAsiaTheme="minorHAnsi"/>
          <w:color w:val="0000FF"/>
          <w:szCs w:val="24"/>
        </w:rPr>
      </w:pPr>
      <w:r w:rsidRPr="00BE2D22">
        <w:rPr>
          <w:rFonts w:eastAsiaTheme="minorHAnsi"/>
          <w:color w:val="0000FF"/>
          <w:szCs w:val="24"/>
        </w:rPr>
        <w:t>jdortch@kravitzllc.com</w:t>
      </w:r>
    </w:p>
    <w:p w:rsidR="00D1576A" w:rsidRPr="00BE2D22" w:rsidP="00D1576A" w14:paraId="1F8B0B9C" w14:textId="77777777">
      <w:pPr>
        <w:autoSpaceDE w:val="0"/>
        <w:autoSpaceDN w:val="0"/>
        <w:adjustRightInd w:val="0"/>
        <w:ind w:left="4320"/>
        <w:rPr>
          <w:rFonts w:eastAsiaTheme="minorHAnsi"/>
          <w:color w:val="000000"/>
          <w:szCs w:val="24"/>
        </w:rPr>
      </w:pPr>
    </w:p>
    <w:p w:rsidR="00D1576A" w:rsidRPr="00BE2D22" w:rsidP="00D1576A" w14:paraId="344932EB" w14:textId="77777777">
      <w:pPr>
        <w:autoSpaceDE w:val="0"/>
        <w:autoSpaceDN w:val="0"/>
        <w:adjustRightInd w:val="0"/>
        <w:ind w:left="4320"/>
        <w:rPr>
          <w:b/>
          <w:szCs w:val="24"/>
        </w:rPr>
      </w:pPr>
      <w:r w:rsidRPr="00BE2D22">
        <w:rPr>
          <w:rFonts w:eastAsiaTheme="minorHAnsi"/>
          <w:color w:val="000000"/>
          <w:szCs w:val="24"/>
        </w:rPr>
        <w:t>Attorneys for the Ohio Consumers’ Counsel</w:t>
      </w:r>
    </w:p>
    <w:p w:rsidR="00D1576A" w:rsidRPr="00BE2D22" w:rsidP="00D1576A" w14:paraId="773333A4" w14:textId="77777777">
      <w:pPr>
        <w:suppressLineNumbers/>
        <w:ind w:left="810"/>
        <w:jc w:val="center"/>
        <w:rPr>
          <w:b/>
          <w:szCs w:val="24"/>
          <w:u w:val="single"/>
        </w:rPr>
      </w:pPr>
      <w:r w:rsidRPr="00BE2D22">
        <w:rPr>
          <w:b/>
          <w:szCs w:val="24"/>
        </w:rPr>
        <w:br w:type="page"/>
      </w:r>
      <w:r w:rsidRPr="00BE2D22">
        <w:rPr>
          <w:b/>
          <w:szCs w:val="24"/>
          <w:u w:val="single"/>
        </w:rPr>
        <w:t>CERTIFICATE OF SERVICE</w:t>
      </w:r>
    </w:p>
    <w:p w:rsidR="00D1576A" w:rsidRPr="00BE2D22" w:rsidP="00D1576A" w14:paraId="0251055B" w14:textId="77777777">
      <w:pPr>
        <w:suppressLineNumbers/>
        <w:ind w:left="810"/>
        <w:rPr>
          <w:szCs w:val="24"/>
          <w:u w:val="single"/>
        </w:rPr>
      </w:pPr>
    </w:p>
    <w:p w:rsidR="00D1576A" w:rsidRPr="00BE2D22" w:rsidP="00D1576A" w14:paraId="79472163" w14:textId="5C78E6EB">
      <w:pPr>
        <w:suppressLineNumbers/>
        <w:spacing w:line="480" w:lineRule="auto"/>
        <w:rPr>
          <w:szCs w:val="24"/>
        </w:rPr>
      </w:pPr>
      <w:r w:rsidRPr="00BE2D22">
        <w:rPr>
          <w:szCs w:val="24"/>
        </w:rPr>
        <w:tab/>
        <w:t xml:space="preserve">I hereby certify that a copy of this </w:t>
      </w:r>
      <w:r w:rsidRPr="00BE2D22" w:rsidR="00AA3ED9">
        <w:rPr>
          <w:szCs w:val="24"/>
        </w:rPr>
        <w:t>Memorandum Contra FirstEnergy</w:t>
      </w:r>
      <w:r>
        <w:rPr>
          <w:szCs w:val="24"/>
        </w:rPr>
        <w:t>’s Motion for Protective Order to Deny Discovery Information for OCC</w:t>
      </w:r>
      <w:r w:rsidRPr="00BE2D22" w:rsidR="00AA3ED9">
        <w:rPr>
          <w:szCs w:val="24"/>
        </w:rPr>
        <w:t xml:space="preserve"> </w:t>
      </w:r>
      <w:r w:rsidRPr="00BE2D22">
        <w:rPr>
          <w:szCs w:val="24"/>
        </w:rPr>
        <w:t xml:space="preserve">was provided electronically to the persons listed below this </w:t>
      </w:r>
      <w:r w:rsidRPr="00BE2D22" w:rsidR="00AA3ED9">
        <w:rPr>
          <w:szCs w:val="24"/>
        </w:rPr>
        <w:t>2</w:t>
      </w:r>
      <w:r w:rsidRPr="00BE2D22">
        <w:rPr>
          <w:szCs w:val="24"/>
        </w:rPr>
        <w:t xml:space="preserve">nd day of </w:t>
      </w:r>
      <w:r w:rsidRPr="00BE2D22" w:rsidR="00AA3ED9">
        <w:rPr>
          <w:szCs w:val="24"/>
        </w:rPr>
        <w:t>November</w:t>
      </w:r>
      <w:r w:rsidRPr="00BE2D22">
        <w:rPr>
          <w:szCs w:val="24"/>
        </w:rPr>
        <w:t xml:space="preserve"> 2020.</w:t>
      </w:r>
    </w:p>
    <w:p w:rsidR="00D1576A" w:rsidRPr="00BE2D22" w:rsidP="00D1576A" w14:paraId="38D8CF0D" w14:textId="77777777">
      <w:pPr>
        <w:suppressLineNumbers/>
        <w:ind w:left="4320"/>
        <w:rPr>
          <w:i/>
          <w:szCs w:val="24"/>
          <w:u w:val="single"/>
        </w:rPr>
      </w:pPr>
      <w:r w:rsidRPr="00BE2D22">
        <w:rPr>
          <w:i/>
          <w:szCs w:val="24"/>
          <w:u w:val="single"/>
        </w:rPr>
        <w:t>/s/Maureen R. Willis</w:t>
      </w:r>
    </w:p>
    <w:p w:rsidR="00D1576A" w:rsidRPr="00BE2D22" w:rsidP="00D1576A" w14:paraId="708BE87B" w14:textId="77777777">
      <w:pPr>
        <w:suppressLineNumbers/>
        <w:ind w:left="4320"/>
        <w:rPr>
          <w:iCs/>
          <w:szCs w:val="24"/>
        </w:rPr>
      </w:pPr>
      <w:r w:rsidRPr="00BE2D22">
        <w:rPr>
          <w:iCs/>
          <w:szCs w:val="24"/>
        </w:rPr>
        <w:t>Senior Counsel</w:t>
      </w:r>
    </w:p>
    <w:p w:rsidR="00D1576A" w:rsidRPr="00BE2D22" w:rsidP="00D1576A" w14:paraId="4262B0D1" w14:textId="77777777">
      <w:pPr>
        <w:suppressLineNumbers/>
        <w:ind w:left="4320"/>
        <w:rPr>
          <w:szCs w:val="24"/>
        </w:rPr>
      </w:pPr>
      <w:r w:rsidRPr="00BE2D22">
        <w:rPr>
          <w:szCs w:val="24"/>
        </w:rPr>
        <w:t>Assistant Consumers’ Counsel</w:t>
      </w:r>
    </w:p>
    <w:p w:rsidR="00D1576A" w:rsidRPr="00BE2D22" w:rsidP="00D1576A" w14:paraId="5F261EC3" w14:textId="77777777">
      <w:pPr>
        <w:suppressLineNumbers/>
        <w:ind w:left="810"/>
        <w:rPr>
          <w:szCs w:val="24"/>
          <w:u w:val="single"/>
        </w:rPr>
      </w:pPr>
    </w:p>
    <w:p w:rsidR="00D1576A" w:rsidRPr="00BE2D22" w:rsidP="00D1576A" w14:paraId="5476FAB3" w14:textId="77777777">
      <w:pPr>
        <w:suppressLineNumbers/>
        <w:rPr>
          <w:szCs w:val="24"/>
        </w:rPr>
      </w:pPr>
      <w:r w:rsidRPr="00BE2D22">
        <w:rPr>
          <w:szCs w:val="24"/>
        </w:rPr>
        <w:t>The PUCO’s e-filing system will electronically serve notice of the filing of this document on the following parties:</w:t>
      </w:r>
    </w:p>
    <w:p w:rsidR="00D1576A" w:rsidRPr="00BE2D22" w:rsidP="00D1576A" w14:paraId="737C9963" w14:textId="77777777">
      <w:pPr>
        <w:pStyle w:val="CommentText"/>
        <w:suppressLineNumbers/>
        <w:ind w:left="810"/>
        <w:rPr>
          <w:sz w:val="24"/>
          <w:szCs w:val="24"/>
        </w:rPr>
      </w:pPr>
    </w:p>
    <w:p w:rsidR="00D1576A" w:rsidRPr="00BE2D22" w:rsidP="00D1576A" w14:paraId="0E156E8B" w14:textId="77777777">
      <w:pPr>
        <w:suppressLineNumbers/>
        <w:tabs>
          <w:tab w:val="left" w:pos="4320"/>
        </w:tabs>
        <w:ind w:left="810"/>
        <w:rPr>
          <w:szCs w:val="24"/>
        </w:rPr>
      </w:pPr>
    </w:p>
    <w:p w:rsidR="008C6D7C" w:rsidRPr="00BE2D22" w:rsidP="008C6D7C" w14:paraId="7D88C2E9" w14:textId="77777777">
      <w:pPr>
        <w:pStyle w:val="CommentText"/>
        <w:suppressLineNumbers/>
        <w:ind w:left="810"/>
        <w:jc w:val="center"/>
        <w:rPr>
          <w:b/>
          <w:sz w:val="24"/>
          <w:szCs w:val="24"/>
          <w:u w:val="single"/>
        </w:rPr>
      </w:pPr>
      <w:r w:rsidRPr="00BE2D22">
        <w:rPr>
          <w:b/>
          <w:sz w:val="24"/>
          <w:szCs w:val="24"/>
          <w:u w:val="single"/>
        </w:rPr>
        <w:t>SERVICE LIST</w:t>
      </w:r>
    </w:p>
    <w:p w:rsidR="008C6D7C" w:rsidRPr="00BE2D22" w:rsidP="008C6D7C" w14:paraId="02AA6EE4" w14:textId="77777777">
      <w:pPr>
        <w:pStyle w:val="CommentText"/>
        <w:suppressLineNumbers/>
        <w:ind w:left="810"/>
        <w:jc w:val="center"/>
        <w:rPr>
          <w:b/>
          <w:sz w:val="24"/>
          <w:szCs w:val="24"/>
          <w:u w:val="single"/>
        </w:rPr>
      </w:pPr>
    </w:p>
    <w:tbl>
      <w:tblPr>
        <w:tblW w:w="0" w:type="auto"/>
        <w:tblLook w:val="04A0"/>
      </w:tblPr>
      <w:tblGrid>
        <w:gridCol w:w="4428"/>
        <w:gridCol w:w="4428"/>
      </w:tblGrid>
      <w:tr w14:paraId="75C59338" w14:textId="77777777" w:rsidTr="008C00C4">
        <w:tblPrEx>
          <w:tblW w:w="0" w:type="auto"/>
          <w:tblLook w:val="04A0"/>
        </w:tblPrEx>
        <w:tc>
          <w:tcPr>
            <w:tcW w:w="4428" w:type="dxa"/>
            <w:shd w:val="clear" w:color="auto" w:fill="auto"/>
          </w:tcPr>
          <w:p w:rsidR="008C6D7C" w:rsidRPr="00BE2D22" w:rsidP="008C00C4" w14:paraId="5F6CD93F" w14:textId="77777777">
            <w:pPr>
              <w:pStyle w:val="BodyText"/>
              <w:suppressLineNumbers/>
              <w:spacing w:after="0"/>
              <w:rPr>
                <w:szCs w:val="24"/>
              </w:rPr>
            </w:pPr>
            <w:hyperlink r:id="rId13" w:history="1">
              <w:r w:rsidRPr="00BE2D22" w:rsidR="00445723">
                <w:rPr>
                  <w:rStyle w:val="Hyperlink"/>
                  <w:rFonts w:eastAsia="Courier New"/>
                  <w:szCs w:val="24"/>
                </w:rPr>
                <w:t>John.jones@ohioattorneygeneral.gov</w:t>
              </w:r>
            </w:hyperlink>
          </w:p>
          <w:p w:rsidR="008C6D7C" w:rsidRPr="00BE2D22" w:rsidP="008C00C4" w14:paraId="6DD73D79" w14:textId="77777777">
            <w:pPr>
              <w:pStyle w:val="BodyText"/>
              <w:suppressLineNumbers/>
              <w:spacing w:after="0"/>
              <w:rPr>
                <w:color w:val="0000FF"/>
                <w:szCs w:val="24"/>
              </w:rPr>
            </w:pPr>
            <w:hyperlink r:id="rId14" w:history="1">
              <w:r w:rsidRPr="00BE2D22" w:rsidR="00445723">
                <w:rPr>
                  <w:rStyle w:val="Hyperlink"/>
                  <w:rFonts w:eastAsia="Courier New"/>
                  <w:szCs w:val="24"/>
                </w:rPr>
                <w:t>ccox@elpc.org</w:t>
              </w:r>
            </w:hyperlink>
          </w:p>
          <w:p w:rsidR="008C6D7C" w:rsidRPr="00BE2D22" w:rsidP="008C00C4" w14:paraId="755E37E6" w14:textId="77777777">
            <w:pPr>
              <w:pStyle w:val="BodyText"/>
              <w:suppressLineNumbers/>
              <w:spacing w:after="0"/>
              <w:rPr>
                <w:rStyle w:val="Hyperlink"/>
                <w:rFonts w:eastAsia="Courier New"/>
                <w:szCs w:val="24"/>
              </w:rPr>
            </w:pPr>
            <w:hyperlink r:id="rId15" w:history="1">
              <w:r w:rsidRPr="00BE2D22" w:rsidR="00445723">
                <w:rPr>
                  <w:rStyle w:val="Hyperlink"/>
                  <w:rFonts w:eastAsia="Courier New"/>
                  <w:szCs w:val="24"/>
                </w:rPr>
                <w:t>rkelter@elpc.org</w:t>
              </w:r>
            </w:hyperlink>
          </w:p>
          <w:p w:rsidR="008C6D7C" w:rsidRPr="00BE2D22" w:rsidP="008C00C4" w14:paraId="3A9376F4" w14:textId="77777777">
            <w:pPr>
              <w:pStyle w:val="BodyText"/>
              <w:suppressLineNumbers/>
              <w:spacing w:after="0"/>
              <w:rPr>
                <w:rFonts w:eastAsiaTheme="minorHAnsi"/>
                <w:szCs w:val="24"/>
              </w:rPr>
            </w:pPr>
            <w:hyperlink r:id="rId16" w:history="1">
              <w:r w:rsidRPr="00BE2D22" w:rsidR="00445723">
                <w:rPr>
                  <w:rStyle w:val="Hyperlink"/>
                  <w:rFonts w:eastAsiaTheme="minorHAnsi"/>
                  <w:szCs w:val="24"/>
                </w:rPr>
                <w:t>trhayslaw@gmail.com</w:t>
              </w:r>
            </w:hyperlink>
          </w:p>
          <w:p w:rsidR="008C6D7C" w:rsidRPr="00BE2D22" w:rsidP="008C00C4" w14:paraId="464746FB" w14:textId="77777777">
            <w:pPr>
              <w:pStyle w:val="BodyText"/>
              <w:suppressLineNumbers/>
              <w:spacing w:after="0"/>
              <w:rPr>
                <w:rFonts w:eastAsiaTheme="minorHAnsi"/>
                <w:szCs w:val="24"/>
              </w:rPr>
            </w:pPr>
            <w:hyperlink r:id="rId17" w:history="1">
              <w:r w:rsidRPr="00BE2D22" w:rsidR="00445723">
                <w:rPr>
                  <w:rStyle w:val="Hyperlink"/>
                  <w:rFonts w:eastAsiaTheme="minorHAnsi"/>
                  <w:szCs w:val="24"/>
                </w:rPr>
                <w:t>leslie.kovacik@toledo.oh.gov</w:t>
              </w:r>
            </w:hyperlink>
          </w:p>
          <w:p w:rsidR="008C6D7C" w:rsidRPr="00BE2D22" w:rsidP="008C00C4" w14:paraId="377AEAF1" w14:textId="77777777">
            <w:pPr>
              <w:autoSpaceDE w:val="0"/>
              <w:autoSpaceDN w:val="0"/>
              <w:adjustRightInd w:val="0"/>
              <w:rPr>
                <w:color w:val="0563C2"/>
                <w:szCs w:val="24"/>
              </w:rPr>
            </w:pPr>
            <w:hyperlink r:id="rId18" w:history="1">
              <w:r w:rsidRPr="00BE2D22" w:rsidR="00445723">
                <w:rPr>
                  <w:rStyle w:val="Hyperlink"/>
                  <w:rFonts w:eastAsia="Courier New"/>
                  <w:szCs w:val="24"/>
                </w:rPr>
                <w:t>bojko@carpenterlipps.com</w:t>
              </w:r>
            </w:hyperlink>
          </w:p>
          <w:p w:rsidR="008C6D7C" w:rsidRPr="00BE2D22" w:rsidP="008C00C4" w14:paraId="0193FEA4" w14:textId="77777777">
            <w:pPr>
              <w:autoSpaceDE w:val="0"/>
              <w:autoSpaceDN w:val="0"/>
              <w:adjustRightInd w:val="0"/>
              <w:rPr>
                <w:color w:val="0000FF"/>
                <w:szCs w:val="24"/>
              </w:rPr>
            </w:pPr>
            <w:hyperlink r:id="rId19" w:history="1">
              <w:r w:rsidRPr="00BE2D22" w:rsidR="00445723">
                <w:rPr>
                  <w:rStyle w:val="Hyperlink"/>
                  <w:rFonts w:eastAsia="Courier New"/>
                  <w:szCs w:val="24"/>
                </w:rPr>
                <w:t>bethany.allen@igs.com</w:t>
              </w:r>
            </w:hyperlink>
          </w:p>
          <w:p w:rsidR="008C6D7C" w:rsidRPr="00BE2D22" w:rsidP="008C00C4" w14:paraId="259C79F3" w14:textId="77777777">
            <w:pPr>
              <w:autoSpaceDE w:val="0"/>
              <w:autoSpaceDN w:val="0"/>
              <w:adjustRightInd w:val="0"/>
              <w:rPr>
                <w:color w:val="0000FF"/>
                <w:szCs w:val="24"/>
              </w:rPr>
            </w:pPr>
            <w:hyperlink r:id="rId20" w:history="1">
              <w:r w:rsidRPr="00BE2D22" w:rsidR="00445723">
                <w:rPr>
                  <w:rStyle w:val="Hyperlink"/>
                  <w:rFonts w:eastAsia="Courier New"/>
                  <w:szCs w:val="24"/>
                </w:rPr>
                <w:t>joe.oliker@igs.com</w:t>
              </w:r>
            </w:hyperlink>
          </w:p>
          <w:p w:rsidR="008C6D7C" w:rsidRPr="00BE2D22" w:rsidP="008C00C4" w14:paraId="7EFF24BC" w14:textId="77777777">
            <w:pPr>
              <w:autoSpaceDE w:val="0"/>
              <w:autoSpaceDN w:val="0"/>
              <w:adjustRightInd w:val="0"/>
              <w:rPr>
                <w:color w:val="0000FF"/>
                <w:szCs w:val="24"/>
              </w:rPr>
            </w:pPr>
            <w:hyperlink r:id="rId21" w:history="1">
              <w:r w:rsidRPr="00BE2D22" w:rsidR="00445723">
                <w:rPr>
                  <w:rStyle w:val="Hyperlink"/>
                  <w:rFonts w:eastAsia="Courier New"/>
                  <w:szCs w:val="24"/>
                </w:rPr>
                <w:t>michael.nugent@igs.com</w:t>
              </w:r>
            </w:hyperlink>
          </w:p>
          <w:p w:rsidR="008C6D7C" w:rsidRPr="00BE2D22" w:rsidP="008C00C4" w14:paraId="1D313440" w14:textId="77777777">
            <w:pPr>
              <w:autoSpaceDE w:val="0"/>
              <w:autoSpaceDN w:val="0"/>
              <w:adjustRightInd w:val="0"/>
              <w:rPr>
                <w:color w:val="0000FF"/>
                <w:szCs w:val="24"/>
              </w:rPr>
            </w:pPr>
            <w:hyperlink r:id="rId22" w:history="1">
              <w:r w:rsidRPr="00BE2D22" w:rsidR="00445723">
                <w:rPr>
                  <w:rStyle w:val="Hyperlink"/>
                  <w:rFonts w:eastAsia="Courier New"/>
                  <w:szCs w:val="24"/>
                </w:rPr>
                <w:t>mkurtz@BKLlawfirm.com</w:t>
              </w:r>
            </w:hyperlink>
          </w:p>
          <w:p w:rsidR="008C6D7C" w:rsidRPr="00BE2D22" w:rsidP="008C00C4" w14:paraId="03AE455C" w14:textId="77777777">
            <w:pPr>
              <w:autoSpaceDE w:val="0"/>
              <w:autoSpaceDN w:val="0"/>
              <w:adjustRightInd w:val="0"/>
              <w:rPr>
                <w:color w:val="0000FF"/>
                <w:szCs w:val="24"/>
              </w:rPr>
            </w:pPr>
            <w:hyperlink r:id="rId23" w:history="1">
              <w:r w:rsidRPr="00BE2D22" w:rsidR="00445723">
                <w:rPr>
                  <w:rStyle w:val="Hyperlink"/>
                  <w:rFonts w:eastAsia="Courier New"/>
                  <w:szCs w:val="24"/>
                </w:rPr>
                <w:t>kboehm@BKLlawfirm.com</w:t>
              </w:r>
            </w:hyperlink>
          </w:p>
          <w:p w:rsidR="008C6D7C" w:rsidRPr="00BE2D22" w:rsidP="008C00C4" w14:paraId="4FA7802F" w14:textId="77777777">
            <w:pPr>
              <w:autoSpaceDE w:val="0"/>
              <w:autoSpaceDN w:val="0"/>
              <w:adjustRightInd w:val="0"/>
              <w:rPr>
                <w:color w:val="0000FF"/>
                <w:szCs w:val="24"/>
              </w:rPr>
            </w:pPr>
            <w:hyperlink r:id="rId24" w:history="1">
              <w:r w:rsidRPr="00BE2D22" w:rsidR="00445723">
                <w:rPr>
                  <w:rStyle w:val="Hyperlink"/>
                  <w:rFonts w:eastAsia="Courier New"/>
                  <w:szCs w:val="24"/>
                </w:rPr>
                <w:t>kylercohn@BKLlawfirm.com</w:t>
              </w:r>
            </w:hyperlink>
          </w:p>
          <w:p w:rsidR="008C6D7C" w:rsidRPr="00BE2D22" w:rsidP="008C00C4" w14:paraId="67ED79E4" w14:textId="77777777">
            <w:pPr>
              <w:pStyle w:val="BodyText"/>
              <w:suppressLineNumbers/>
              <w:spacing w:after="0"/>
              <w:rPr>
                <w:szCs w:val="24"/>
              </w:rPr>
            </w:pPr>
          </w:p>
          <w:p w:rsidR="008C6D7C" w:rsidRPr="00BE2D22" w:rsidP="008C00C4" w14:paraId="1C6A1279" w14:textId="77777777">
            <w:pPr>
              <w:pStyle w:val="BodyText"/>
              <w:suppressLineNumbers/>
              <w:spacing w:after="0"/>
              <w:rPr>
                <w:szCs w:val="24"/>
              </w:rPr>
            </w:pPr>
            <w:r w:rsidRPr="00BE2D22">
              <w:rPr>
                <w:szCs w:val="24"/>
              </w:rPr>
              <w:t>Attorney Examiner:</w:t>
            </w:r>
          </w:p>
          <w:p w:rsidR="008C6D7C" w:rsidRPr="00BE2D22" w:rsidP="008C00C4" w14:paraId="2C535BFD" w14:textId="77777777">
            <w:pPr>
              <w:pStyle w:val="BodyText"/>
              <w:suppressLineNumbers/>
              <w:spacing w:after="0"/>
              <w:rPr>
                <w:rStyle w:val="Hyperlink"/>
                <w:rFonts w:eastAsia="Courier New"/>
                <w:szCs w:val="24"/>
              </w:rPr>
            </w:pPr>
            <w:hyperlink r:id="rId25" w:history="1">
              <w:r w:rsidRPr="00BE2D22" w:rsidR="00445723">
                <w:rPr>
                  <w:rStyle w:val="Hyperlink"/>
                  <w:rFonts w:eastAsia="Courier New"/>
                  <w:szCs w:val="24"/>
                </w:rPr>
                <w:t>Gregory.price@puco.ohio.gov</w:t>
              </w:r>
            </w:hyperlink>
          </w:p>
          <w:p w:rsidR="008C6D7C" w:rsidRPr="00BE2D22" w:rsidP="008C00C4" w14:paraId="14FCBCF3" w14:textId="77777777">
            <w:pPr>
              <w:pStyle w:val="BodyText"/>
              <w:suppressLineNumbers/>
              <w:spacing w:after="0"/>
              <w:rPr>
                <w:rStyle w:val="Hyperlink"/>
                <w:rFonts w:eastAsia="Courier New"/>
                <w:szCs w:val="24"/>
              </w:rPr>
            </w:pPr>
            <w:hyperlink r:id="rId26" w:history="1">
              <w:r w:rsidRPr="00BE2D22" w:rsidR="00445723">
                <w:rPr>
                  <w:rStyle w:val="Hyperlink"/>
                  <w:rFonts w:eastAsia="Courier New"/>
                  <w:szCs w:val="24"/>
                </w:rPr>
                <w:t>Megan.addison@puco.ohio.gov</w:t>
              </w:r>
            </w:hyperlink>
          </w:p>
          <w:p w:rsidR="008C6D7C" w:rsidRPr="00BE2D22" w:rsidP="008C00C4" w14:paraId="3EE9670E" w14:textId="77777777">
            <w:pPr>
              <w:pStyle w:val="BodyText"/>
              <w:suppressLineNumbers/>
              <w:spacing w:after="0"/>
              <w:rPr>
                <w:szCs w:val="24"/>
              </w:rPr>
            </w:pPr>
            <w:hyperlink r:id="rId27" w:history="1">
              <w:r w:rsidRPr="00BE2D22" w:rsidR="00445723">
                <w:rPr>
                  <w:rStyle w:val="Hyperlink"/>
                  <w:rFonts w:eastAsia="Courier New"/>
                  <w:szCs w:val="24"/>
                </w:rPr>
                <w:t>Jacky.stjohn@puco.ohio.gov</w:t>
              </w:r>
            </w:hyperlink>
          </w:p>
        </w:tc>
        <w:tc>
          <w:tcPr>
            <w:tcW w:w="4428" w:type="dxa"/>
            <w:shd w:val="clear" w:color="auto" w:fill="auto"/>
          </w:tcPr>
          <w:p w:rsidR="008C6D7C" w:rsidRPr="00BE2D22" w:rsidP="008C00C4" w14:paraId="1B236772" w14:textId="77777777">
            <w:pPr>
              <w:autoSpaceDE w:val="0"/>
              <w:autoSpaceDN w:val="0"/>
              <w:adjustRightInd w:val="0"/>
              <w:ind w:left="1332"/>
              <w:rPr>
                <w:szCs w:val="24"/>
              </w:rPr>
            </w:pPr>
            <w:hyperlink r:id="rId28" w:history="1">
              <w:r w:rsidRPr="00BE2D22" w:rsidR="00445723">
                <w:rPr>
                  <w:rStyle w:val="Hyperlink"/>
                  <w:rFonts w:eastAsia="Courier New"/>
                  <w:szCs w:val="24"/>
                </w:rPr>
                <w:t>bknipe@firstenergycorp.com</w:t>
              </w:r>
            </w:hyperlink>
          </w:p>
          <w:p w:rsidR="008C6D7C" w:rsidRPr="00BE2D22" w:rsidP="008C00C4" w14:paraId="38442E59" w14:textId="77777777">
            <w:pPr>
              <w:autoSpaceDE w:val="0"/>
              <w:autoSpaceDN w:val="0"/>
              <w:adjustRightInd w:val="0"/>
              <w:ind w:left="1332"/>
              <w:rPr>
                <w:szCs w:val="24"/>
              </w:rPr>
            </w:pPr>
            <w:hyperlink r:id="rId29" w:history="1">
              <w:r w:rsidRPr="00BE2D22" w:rsidR="00445723">
                <w:rPr>
                  <w:rStyle w:val="Hyperlink"/>
                  <w:rFonts w:eastAsia="Courier New"/>
                  <w:szCs w:val="24"/>
                </w:rPr>
                <w:t>jlang@calfee.com</w:t>
              </w:r>
            </w:hyperlink>
          </w:p>
          <w:p w:rsidR="008C6D7C" w:rsidRPr="00BE2D22" w:rsidP="008C00C4" w14:paraId="2AB2CD12" w14:textId="77777777">
            <w:pPr>
              <w:autoSpaceDE w:val="0"/>
              <w:autoSpaceDN w:val="0"/>
              <w:adjustRightInd w:val="0"/>
              <w:ind w:left="1332"/>
              <w:rPr>
                <w:szCs w:val="24"/>
              </w:rPr>
            </w:pPr>
            <w:hyperlink r:id="rId30" w:history="1">
              <w:r w:rsidRPr="00BE2D22" w:rsidR="00445723">
                <w:rPr>
                  <w:rStyle w:val="Hyperlink"/>
                  <w:rFonts w:eastAsia="Courier New"/>
                  <w:szCs w:val="24"/>
                </w:rPr>
                <w:t>khehmeyer@calfee.com</w:t>
              </w:r>
            </w:hyperlink>
          </w:p>
          <w:p w:rsidR="008C6D7C" w:rsidRPr="00BE2D22" w:rsidP="008C00C4" w14:paraId="287202FB" w14:textId="77777777">
            <w:pPr>
              <w:autoSpaceDE w:val="0"/>
              <w:autoSpaceDN w:val="0"/>
              <w:adjustRightInd w:val="0"/>
              <w:ind w:left="1332"/>
              <w:rPr>
                <w:color w:val="0000FF"/>
                <w:szCs w:val="24"/>
              </w:rPr>
            </w:pPr>
            <w:hyperlink r:id="rId31" w:history="1">
              <w:r w:rsidRPr="00BE2D22" w:rsidR="00445723">
                <w:rPr>
                  <w:rStyle w:val="Hyperlink"/>
                  <w:rFonts w:eastAsia="Courier New"/>
                  <w:szCs w:val="24"/>
                </w:rPr>
                <w:t>dborchers@bricker.com</w:t>
              </w:r>
            </w:hyperlink>
          </w:p>
          <w:p w:rsidR="008C6D7C" w:rsidRPr="00BE2D22" w:rsidP="008C00C4" w14:paraId="38E9300D" w14:textId="77777777">
            <w:pPr>
              <w:autoSpaceDE w:val="0"/>
              <w:autoSpaceDN w:val="0"/>
              <w:adjustRightInd w:val="0"/>
              <w:ind w:left="1332"/>
              <w:rPr>
                <w:color w:val="0000FF"/>
                <w:szCs w:val="24"/>
              </w:rPr>
            </w:pPr>
            <w:hyperlink r:id="rId32" w:history="1">
              <w:r w:rsidRPr="00BE2D22" w:rsidR="00445723">
                <w:rPr>
                  <w:rStyle w:val="Hyperlink"/>
                  <w:rFonts w:eastAsia="Courier New"/>
                  <w:szCs w:val="24"/>
                </w:rPr>
                <w:t>dparram@bricker.com</w:t>
              </w:r>
            </w:hyperlink>
          </w:p>
          <w:p w:rsidR="008C6D7C" w:rsidRPr="00BE2D22" w:rsidP="008C00C4" w14:paraId="64E52688" w14:textId="77777777">
            <w:pPr>
              <w:pStyle w:val="BodyText"/>
              <w:suppressLineNumbers/>
              <w:spacing w:after="0"/>
              <w:ind w:left="1332"/>
              <w:rPr>
                <w:rFonts w:eastAsiaTheme="minorHAnsi"/>
                <w:color w:val="0000FF"/>
                <w:szCs w:val="24"/>
              </w:rPr>
            </w:pPr>
            <w:hyperlink r:id="rId33" w:history="1">
              <w:r w:rsidRPr="00BE2D22" w:rsidR="00445723">
                <w:rPr>
                  <w:rStyle w:val="Hyperlink"/>
                  <w:rFonts w:eastAsiaTheme="minorHAnsi"/>
                  <w:szCs w:val="24"/>
                </w:rPr>
                <w:t>jspottswood@bricker.com</w:t>
              </w:r>
            </w:hyperlink>
          </w:p>
          <w:p w:rsidR="008C6D7C" w:rsidRPr="00BE2D22" w:rsidP="008C00C4" w14:paraId="46041802" w14:textId="77777777">
            <w:pPr>
              <w:autoSpaceDE w:val="0"/>
              <w:autoSpaceDN w:val="0"/>
              <w:adjustRightInd w:val="0"/>
              <w:ind w:left="1332"/>
              <w:rPr>
                <w:color w:val="3C79D9"/>
                <w:szCs w:val="24"/>
              </w:rPr>
            </w:pPr>
            <w:hyperlink r:id="rId34" w:history="1">
              <w:r w:rsidRPr="00BE2D22" w:rsidR="00445723">
                <w:rPr>
                  <w:rStyle w:val="Hyperlink"/>
                  <w:rFonts w:eastAsia="Courier New"/>
                  <w:szCs w:val="24"/>
                </w:rPr>
                <w:t>mleppla@theOEC.org</w:t>
              </w:r>
            </w:hyperlink>
          </w:p>
          <w:p w:rsidR="008C6D7C" w:rsidRPr="00BE2D22" w:rsidP="008C00C4" w14:paraId="2619CE15" w14:textId="77777777">
            <w:pPr>
              <w:autoSpaceDE w:val="0"/>
              <w:autoSpaceDN w:val="0"/>
              <w:adjustRightInd w:val="0"/>
              <w:ind w:left="1332"/>
              <w:rPr>
                <w:color w:val="1155CD"/>
                <w:szCs w:val="24"/>
              </w:rPr>
            </w:pPr>
            <w:hyperlink r:id="rId35" w:history="1">
              <w:r w:rsidRPr="00BE2D22" w:rsidR="00445723">
                <w:rPr>
                  <w:rStyle w:val="Hyperlink"/>
                  <w:rFonts w:eastAsia="Courier New"/>
                  <w:szCs w:val="24"/>
                </w:rPr>
                <w:t>tdougherty@theOEC.org</w:t>
              </w:r>
            </w:hyperlink>
          </w:p>
          <w:p w:rsidR="008C6D7C" w:rsidRPr="00BE2D22" w:rsidP="008C00C4" w14:paraId="4703CECD" w14:textId="77777777">
            <w:pPr>
              <w:pStyle w:val="BodyText"/>
              <w:suppressLineNumbers/>
              <w:spacing w:after="0"/>
              <w:ind w:left="1332"/>
              <w:rPr>
                <w:rFonts w:eastAsiaTheme="minorHAnsi"/>
                <w:color w:val="1155CD"/>
                <w:szCs w:val="24"/>
              </w:rPr>
            </w:pPr>
            <w:hyperlink r:id="rId36" w:history="1">
              <w:r w:rsidRPr="00BE2D22" w:rsidR="00445723">
                <w:rPr>
                  <w:rStyle w:val="Hyperlink"/>
                  <w:rFonts w:eastAsiaTheme="minorHAnsi"/>
                  <w:szCs w:val="24"/>
                </w:rPr>
                <w:t>ctavenor@theOEC.org</w:t>
              </w:r>
            </w:hyperlink>
          </w:p>
          <w:p w:rsidR="008C6D7C" w:rsidRPr="00BE2D22" w:rsidP="008C00C4" w14:paraId="782159C6" w14:textId="77777777">
            <w:pPr>
              <w:pStyle w:val="BodyText"/>
              <w:suppressLineNumbers/>
              <w:spacing w:after="0"/>
              <w:ind w:left="1332"/>
              <w:rPr>
                <w:rStyle w:val="Hyperlink"/>
                <w:rFonts w:eastAsiaTheme="minorHAnsi"/>
                <w:szCs w:val="24"/>
              </w:rPr>
            </w:pPr>
            <w:hyperlink r:id="rId37" w:history="1">
              <w:r w:rsidRPr="00BE2D22" w:rsidR="00445723">
                <w:rPr>
                  <w:rStyle w:val="Hyperlink"/>
                  <w:rFonts w:eastAsiaTheme="minorHAnsi"/>
                  <w:szCs w:val="24"/>
                </w:rPr>
                <w:t>rdove@keglerbrown.com</w:t>
              </w:r>
            </w:hyperlink>
          </w:p>
          <w:p w:rsidR="008C6D7C" w:rsidRPr="00BE2D22" w:rsidP="008C00C4" w14:paraId="327DEFD3" w14:textId="77777777">
            <w:pPr>
              <w:autoSpaceDE w:val="0"/>
              <w:autoSpaceDN w:val="0"/>
              <w:adjustRightInd w:val="0"/>
              <w:ind w:left="1332"/>
              <w:rPr>
                <w:szCs w:val="24"/>
              </w:rPr>
            </w:pPr>
            <w:hyperlink r:id="rId38" w:history="1">
              <w:r w:rsidRPr="00BE2D22" w:rsidR="00445723">
                <w:rPr>
                  <w:rStyle w:val="Hyperlink"/>
                  <w:rFonts w:eastAsia="Courier New"/>
                  <w:szCs w:val="24"/>
                </w:rPr>
                <w:t>mpritchard@mcneeslaw.com</w:t>
              </w:r>
            </w:hyperlink>
          </w:p>
          <w:p w:rsidR="008C6D7C" w:rsidRPr="00BE2D22" w:rsidP="008C00C4" w14:paraId="246644E6" w14:textId="77777777">
            <w:pPr>
              <w:pStyle w:val="BodyText"/>
              <w:suppressLineNumbers/>
              <w:spacing w:after="0"/>
              <w:ind w:left="1332"/>
              <w:rPr>
                <w:szCs w:val="24"/>
              </w:rPr>
            </w:pPr>
            <w:hyperlink r:id="rId39" w:history="1">
              <w:r w:rsidRPr="00BE2D22" w:rsidR="00445723">
                <w:rPr>
                  <w:rStyle w:val="Hyperlink"/>
                  <w:rFonts w:eastAsia="Courier New"/>
                  <w:szCs w:val="24"/>
                </w:rPr>
                <w:t>rglover@mcneeslaw.com</w:t>
              </w:r>
            </w:hyperlink>
          </w:p>
          <w:p w:rsidR="008C6D7C" w:rsidRPr="00BE2D22" w:rsidP="008C00C4" w14:paraId="026DFDD4" w14:textId="77777777">
            <w:pPr>
              <w:pStyle w:val="BodyText"/>
              <w:suppressLineNumbers/>
              <w:spacing w:after="0"/>
              <w:ind w:left="1332"/>
              <w:rPr>
                <w:rFonts w:eastAsiaTheme="minorHAnsi"/>
                <w:color w:val="1155CD"/>
                <w:szCs w:val="24"/>
              </w:rPr>
            </w:pPr>
          </w:p>
          <w:p w:rsidR="008C6D7C" w:rsidRPr="00BE2D22" w:rsidP="008C00C4" w14:paraId="50AF726D" w14:textId="77777777">
            <w:pPr>
              <w:pStyle w:val="BodyText"/>
              <w:suppressLineNumbers/>
              <w:spacing w:after="0"/>
              <w:rPr>
                <w:b/>
                <w:bCs/>
                <w:szCs w:val="24"/>
              </w:rPr>
            </w:pPr>
          </w:p>
        </w:tc>
      </w:tr>
    </w:tbl>
    <w:p w:rsidR="003A7EF0" w:rsidRPr="00BE2D22" w:rsidP="008C6D7C" w14:paraId="09E76824" w14:textId="06E80E99">
      <w:pPr>
        <w:pStyle w:val="CommentText"/>
        <w:suppressLineNumbers/>
        <w:ind w:left="810"/>
        <w:jc w:val="center"/>
        <w:rPr>
          <w:sz w:val="24"/>
          <w:szCs w:val="24"/>
        </w:rPr>
      </w:pPr>
    </w:p>
    <w:sectPr w:rsidSect="004A7521">
      <w:headerReference w:type="first" r:id="rId40"/>
      <w:footerReference w:type="first" r:id="rId41"/>
      <w:pgSz w:w="12240" w:h="15840"/>
      <w:pgMar w:top="1440" w:right="1440" w:bottom="1440" w:left="144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1471238"/>
      <w:docPartObj>
        <w:docPartGallery w:val="Page Numbers (Bottom of Page)"/>
        <w:docPartUnique/>
      </w:docPartObj>
    </w:sdtPr>
    <w:sdtEndPr>
      <w:rPr>
        <w:noProof/>
      </w:rPr>
    </w:sdtEndPr>
    <w:sdtContent>
      <w:p w:rsidR="00AA3ED9" w14:paraId="67AA2D98" w14:textId="61A4DF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3ED9" w14:paraId="491AC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6378063"/>
      <w:docPartObj>
        <w:docPartGallery w:val="Page Numbers (Bottom of Page)"/>
        <w:docPartUnique/>
      </w:docPartObj>
    </w:sdtPr>
    <w:sdtEndPr>
      <w:rPr>
        <w:noProof/>
      </w:rPr>
    </w:sdtEndPr>
    <w:sdtContent>
      <w:p w:rsidR="00AA3ED9" w14:paraId="2F3A2867" w14:textId="394CAFAB">
        <w:pPr>
          <w:pStyle w:val="Footer"/>
          <w:jc w:val="center"/>
        </w:pPr>
      </w:p>
    </w:sdtContent>
  </w:sdt>
  <w:p w:rsidR="00AA3ED9" w14:paraId="4A2B7CF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14959"/>
      <w:docPartObj>
        <w:docPartGallery w:val="Page Numbers (Bottom of Page)"/>
        <w:docPartUnique/>
      </w:docPartObj>
    </w:sdtPr>
    <w:sdtEndPr>
      <w:rPr>
        <w:noProof/>
      </w:rPr>
    </w:sdtEndPr>
    <w:sdtContent>
      <w:p w:rsidR="00BE2D22" w14:paraId="66C06935" w14:textId="1EFD8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3ED9" w14:paraId="3BF2D09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04C" w14:paraId="6B181C04" w14:textId="40063355">
    <w:pPr>
      <w:pStyle w:val="Footer"/>
      <w:jc w:val="center"/>
    </w:pPr>
  </w:p>
  <w:p w:rsidR="00C6604C" w14:paraId="16F7BD9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296469"/>
      <w:docPartObj>
        <w:docPartGallery w:val="Page Numbers (Bottom of Page)"/>
        <w:docPartUnique/>
      </w:docPartObj>
    </w:sdtPr>
    <w:sdtEndPr>
      <w:rPr>
        <w:noProof/>
      </w:rPr>
    </w:sdtEndPr>
    <w:sdtContent>
      <w:p w:rsidR="00BE2D22" w14:paraId="6ACD5361" w14:textId="67FD5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2D22" w14:paraId="4E8EE6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442C" w:rsidP="005F4A38" w14:paraId="0A1338EB" w14:textId="77777777">
      <w:r>
        <w:separator/>
      </w:r>
    </w:p>
  </w:footnote>
  <w:footnote w:type="continuationSeparator" w:id="1">
    <w:p w:rsidR="00C9442C" w:rsidP="005F4A38" w14:paraId="7B4A1EC8" w14:textId="77777777">
      <w:r>
        <w:continuationSeparator/>
      </w:r>
    </w:p>
  </w:footnote>
  <w:footnote w:id="2">
    <w:p w:rsidR="00142CC0" w:rsidRPr="00212071" w:rsidP="00BE2D22" w14:paraId="5067A457" w14:textId="4750BCCB">
      <w:pPr>
        <w:pStyle w:val="NormalWeb"/>
        <w:shd w:val="clear" w:color="auto" w:fill="FEFEFE"/>
        <w:spacing w:before="0" w:beforeAutospacing="0" w:after="120" w:afterAutospacing="0"/>
        <w:rPr>
          <w:b/>
          <w:bCs/>
          <w:color w:val="0A0A0A"/>
          <w:sz w:val="20"/>
          <w:szCs w:val="20"/>
        </w:rPr>
      </w:pPr>
      <w:r w:rsidRPr="00212071">
        <w:rPr>
          <w:rStyle w:val="FootnoteReference"/>
          <w:sz w:val="20"/>
          <w:szCs w:val="20"/>
        </w:rPr>
        <w:footnoteRef/>
      </w:r>
      <w:r w:rsidRPr="00212071">
        <w:rPr>
          <w:sz w:val="20"/>
          <w:szCs w:val="20"/>
        </w:rPr>
        <w:t xml:space="preserve"> On October 29, 2020, FirstEnergy</w:t>
      </w:r>
      <w:r w:rsidR="00EB14B1">
        <w:rPr>
          <w:sz w:val="20"/>
          <w:szCs w:val="20"/>
        </w:rPr>
        <w:t xml:space="preserve"> Corp.</w:t>
      </w:r>
      <w:r w:rsidRPr="00212071">
        <w:rPr>
          <w:color w:val="0A0A0A"/>
          <w:sz w:val="20"/>
          <w:szCs w:val="20"/>
        </w:rPr>
        <w:t xml:space="preserve"> announced the termination of </w:t>
      </w:r>
      <w:r w:rsidR="00937274">
        <w:rPr>
          <w:color w:val="0A0A0A"/>
          <w:sz w:val="20"/>
          <w:szCs w:val="20"/>
        </w:rPr>
        <w:t>its</w:t>
      </w:r>
      <w:r w:rsidRPr="00212071">
        <w:rPr>
          <w:color w:val="0A0A0A"/>
          <w:sz w:val="20"/>
          <w:szCs w:val="20"/>
        </w:rPr>
        <w:t xml:space="preserve"> Chief Executive Officer </w:t>
      </w:r>
      <w:r w:rsidR="00937274">
        <w:rPr>
          <w:color w:val="0A0A0A"/>
          <w:sz w:val="20"/>
          <w:szCs w:val="20"/>
        </w:rPr>
        <w:t>(</w:t>
      </w:r>
      <w:r w:rsidRPr="00212071">
        <w:rPr>
          <w:color w:val="0A0A0A"/>
          <w:sz w:val="20"/>
          <w:szCs w:val="20"/>
        </w:rPr>
        <w:t>Charles E. Jones</w:t>
      </w:r>
      <w:r w:rsidR="00937274">
        <w:rPr>
          <w:color w:val="0A0A0A"/>
          <w:sz w:val="20"/>
          <w:szCs w:val="20"/>
        </w:rPr>
        <w:t>)</w:t>
      </w:r>
      <w:r w:rsidRPr="00212071">
        <w:rPr>
          <w:color w:val="0A0A0A"/>
          <w:sz w:val="20"/>
          <w:szCs w:val="20"/>
        </w:rPr>
        <w:t>, its Senior Vice President of Product Development, Marketing</w:t>
      </w:r>
      <w:r w:rsidR="00937274">
        <w:rPr>
          <w:color w:val="0A0A0A"/>
          <w:sz w:val="20"/>
          <w:szCs w:val="20"/>
        </w:rPr>
        <w:t xml:space="preserve"> </w:t>
      </w:r>
      <w:r w:rsidRPr="00212071">
        <w:rPr>
          <w:color w:val="0A0A0A"/>
          <w:sz w:val="20"/>
          <w:szCs w:val="20"/>
        </w:rPr>
        <w:t>and Branding</w:t>
      </w:r>
      <w:r w:rsidR="00937274">
        <w:rPr>
          <w:color w:val="0A0A0A"/>
          <w:sz w:val="20"/>
          <w:szCs w:val="20"/>
        </w:rPr>
        <w:t xml:space="preserve"> (</w:t>
      </w:r>
      <w:r w:rsidR="00C30074">
        <w:rPr>
          <w:color w:val="0A0A0A"/>
          <w:sz w:val="20"/>
          <w:szCs w:val="20"/>
        </w:rPr>
        <w:t>Dennis Chack</w:t>
      </w:r>
      <w:r w:rsidR="00937274">
        <w:rPr>
          <w:color w:val="0A0A0A"/>
          <w:sz w:val="20"/>
          <w:szCs w:val="20"/>
        </w:rPr>
        <w:t>)</w:t>
      </w:r>
      <w:r w:rsidR="0067020A">
        <w:rPr>
          <w:color w:val="0A0A0A"/>
          <w:sz w:val="20"/>
          <w:szCs w:val="20"/>
        </w:rPr>
        <w:t>,</w:t>
      </w:r>
      <w:r w:rsidRPr="00212071">
        <w:rPr>
          <w:color w:val="0A0A0A"/>
          <w:sz w:val="20"/>
          <w:szCs w:val="20"/>
        </w:rPr>
        <w:t xml:space="preserve"> and its Senior Vice President of External Affairs</w:t>
      </w:r>
      <w:r w:rsidR="00937274">
        <w:rPr>
          <w:color w:val="0A0A0A"/>
          <w:sz w:val="20"/>
          <w:szCs w:val="20"/>
        </w:rPr>
        <w:t xml:space="preserve"> (</w:t>
      </w:r>
      <w:r w:rsidR="00C30074">
        <w:rPr>
          <w:color w:val="0A0A0A"/>
          <w:sz w:val="20"/>
          <w:szCs w:val="20"/>
        </w:rPr>
        <w:t>Michael Dowling</w:t>
      </w:r>
      <w:r w:rsidR="00937274">
        <w:rPr>
          <w:color w:val="0A0A0A"/>
          <w:sz w:val="20"/>
          <w:szCs w:val="20"/>
        </w:rPr>
        <w:t>)</w:t>
      </w:r>
      <w:r w:rsidR="00C30074">
        <w:rPr>
          <w:color w:val="0A0A0A"/>
          <w:sz w:val="20"/>
          <w:szCs w:val="20"/>
        </w:rPr>
        <w:t>.</w:t>
      </w:r>
      <w:r w:rsidRPr="00212071">
        <w:rPr>
          <w:color w:val="0A0A0A"/>
          <w:sz w:val="20"/>
          <w:szCs w:val="20"/>
        </w:rPr>
        <w:t xml:space="preserve"> </w:t>
      </w:r>
      <w:r w:rsidR="00937274">
        <w:rPr>
          <w:color w:val="0A0A0A"/>
          <w:sz w:val="20"/>
          <w:szCs w:val="20"/>
        </w:rPr>
        <w:t xml:space="preserve">FirstEnergy announced that </w:t>
      </w:r>
      <w:r w:rsidRPr="00212071">
        <w:rPr>
          <w:color w:val="0A0A0A"/>
          <w:sz w:val="20"/>
          <w:szCs w:val="20"/>
        </w:rPr>
        <w:t xml:space="preserve">the Independent Review Committee of </w:t>
      </w:r>
      <w:r w:rsidR="0067020A">
        <w:rPr>
          <w:color w:val="0A0A0A"/>
          <w:sz w:val="20"/>
          <w:szCs w:val="20"/>
        </w:rPr>
        <w:t xml:space="preserve">its </w:t>
      </w:r>
      <w:r w:rsidRPr="00212071">
        <w:rPr>
          <w:color w:val="0A0A0A"/>
          <w:sz w:val="20"/>
          <w:szCs w:val="20"/>
        </w:rPr>
        <w:t>Board</w:t>
      </w:r>
      <w:r w:rsidR="0067020A">
        <w:rPr>
          <w:color w:val="0A0A0A"/>
          <w:sz w:val="20"/>
          <w:szCs w:val="20"/>
        </w:rPr>
        <w:t xml:space="preserve"> of Directors</w:t>
      </w:r>
      <w:r w:rsidRPr="00212071">
        <w:rPr>
          <w:color w:val="0A0A0A"/>
          <w:sz w:val="20"/>
          <w:szCs w:val="20"/>
        </w:rPr>
        <w:t xml:space="preserve"> determined that these executives violated certain FirstEnergy policies and its code of conduc</w:t>
      </w:r>
      <w:r w:rsidR="00937274">
        <w:rPr>
          <w:color w:val="0A0A0A"/>
          <w:sz w:val="20"/>
          <w:szCs w:val="20"/>
        </w:rPr>
        <w:t>t.</w:t>
      </w:r>
      <w:r w:rsidR="00937274">
        <w:rPr>
          <w:b/>
          <w:bCs/>
          <w:color w:val="0A0A0A"/>
          <w:sz w:val="20"/>
          <w:szCs w:val="20"/>
        </w:rPr>
        <w:t xml:space="preserve"> </w:t>
      </w:r>
    </w:p>
    <w:p w:rsidR="00142CC0" w:rsidP="00BE2D22" w14:paraId="33188B27" w14:textId="0DE62708">
      <w:pPr>
        <w:pStyle w:val="FootnoteText"/>
        <w:spacing w:after="120"/>
      </w:pPr>
    </w:p>
  </w:footnote>
  <w:footnote w:id="3">
    <w:p w:rsidR="00C63965" w:rsidRPr="00D23B20" w:rsidP="00BE2D22" w14:paraId="509CB262" w14:textId="77777777">
      <w:pPr>
        <w:pStyle w:val="FootnoteText"/>
        <w:spacing w:after="120"/>
      </w:pPr>
      <w:r>
        <w:rPr>
          <w:rStyle w:val="FootnoteReference"/>
        </w:rPr>
        <w:footnoteRef/>
      </w:r>
      <w:r>
        <w:t xml:space="preserve"> </w:t>
      </w:r>
      <w:r w:rsidRPr="00D23B20">
        <w:t>OCC filed its motions in both Case 17-2474-EL-RDR and Case 17-974-EL-UNC.  OCC’s motions were prompted by a Criminal Complaint filed by the U.S. Attorney for the Southern District of Ohio, where it is alleged that  “Company A”  entities paid $60 million to “Householder’s Enterprise” in exchange for a billion dollar bailout for two failing nuclear plants in Ohio affiliated with Company A. (Company A is widely known to be FirstEnergy Corp.).</w:t>
      </w:r>
    </w:p>
  </w:footnote>
  <w:footnote w:id="4">
    <w:p w:rsidR="00C63965" w:rsidP="00BE2D22" w14:paraId="26742F3F" w14:textId="7FD6C77D">
      <w:pPr>
        <w:pStyle w:val="FootnoteText"/>
        <w:spacing w:after="120"/>
      </w:pPr>
      <w:r>
        <w:rPr>
          <w:rStyle w:val="FootnoteReference"/>
        </w:rPr>
        <w:footnoteRef/>
      </w:r>
      <w:r>
        <w:t xml:space="preserve"> The FirstEnergy Utilities</w:t>
      </w:r>
      <w:r w:rsidR="00C5151C">
        <w:t xml:space="preserve"> (“FirstEnergy”)</w:t>
      </w:r>
      <w:r>
        <w:t xml:space="preserve"> are the Ohio Edison Company, the Cleveland Electric Illuminating Company, and the Toledo Edison Company.</w:t>
      </w:r>
    </w:p>
  </w:footnote>
  <w:footnote w:id="5">
    <w:p w:rsidR="00AA3ED9" w:rsidRPr="00D336DA" w:rsidP="00BE2D22" w14:paraId="479E8C4C" w14:textId="6AE53064">
      <w:pPr>
        <w:pStyle w:val="FootnoteText"/>
        <w:spacing w:after="120"/>
      </w:pPr>
      <w:r w:rsidRPr="00D336DA">
        <w:rPr>
          <w:rStyle w:val="FootnoteReference"/>
        </w:rPr>
        <w:footnoteRef/>
      </w:r>
      <w:r w:rsidR="00C6604C">
        <w:rPr>
          <w:i/>
        </w:rPr>
        <w:t xml:space="preserve"> </w:t>
      </w:r>
      <w:r w:rsidRPr="00D336DA" w:rsidR="000A06EF">
        <w:rPr>
          <w:i/>
        </w:rPr>
        <w:t>In the Matter of the Review of the Political and Charitable Spending by Ohio Edison Company, The Cleveland Electric Illuminating Company and the Toledo Edison Company</w:t>
      </w:r>
      <w:r w:rsidRPr="00D336DA" w:rsidR="000A06EF">
        <w:t xml:space="preserve">, Case No. 20-1502-EL-UNC, FirstEnergy Motion for Protective Order, Memo in Support </w:t>
      </w:r>
      <w:r w:rsidRPr="00D336DA">
        <w:t>at 6</w:t>
      </w:r>
      <w:r w:rsidRPr="00D336DA" w:rsidR="000A06EF">
        <w:t xml:space="preserve"> (Oct. 16, 2020)</w:t>
      </w:r>
      <w:r w:rsidRPr="00D336DA">
        <w:t>.</w:t>
      </w:r>
    </w:p>
  </w:footnote>
  <w:footnote w:id="6">
    <w:p w:rsidR="00C6604C" w:rsidRPr="00D336DA" w:rsidP="00BE2D22" w14:paraId="1ABB3FDA" w14:textId="77777777">
      <w:pPr>
        <w:pStyle w:val="FootnoteText"/>
        <w:spacing w:after="120"/>
      </w:pPr>
      <w:r w:rsidRPr="00D336DA">
        <w:rPr>
          <w:rStyle w:val="FootnoteReference"/>
        </w:rPr>
        <w:footnoteRef/>
      </w:r>
      <w:r w:rsidRPr="00D336DA">
        <w:t xml:space="preserve"> </w:t>
      </w:r>
      <w:r w:rsidRPr="00D336DA">
        <w:rPr>
          <w:i/>
        </w:rPr>
        <w:t>Id,</w:t>
      </w:r>
      <w:r w:rsidRPr="00D336DA">
        <w:t xml:space="preserve"> FirstEnergy Motion for Protective Order, Memo in Support at 6, note 12.</w:t>
      </w:r>
    </w:p>
  </w:footnote>
  <w:footnote w:id="7">
    <w:p w:rsidR="00AA3ED9" w:rsidRPr="00D336DA" w:rsidP="00BE2D22" w14:paraId="18EA1D1D" w14:textId="2CE8A4CB">
      <w:pPr>
        <w:pStyle w:val="FootnoteText"/>
        <w:spacing w:after="120"/>
      </w:pPr>
      <w:r w:rsidRPr="00D336DA">
        <w:rPr>
          <w:rStyle w:val="FootnoteReference"/>
        </w:rPr>
        <w:footnoteRef/>
      </w:r>
      <w:r w:rsidRPr="00D336DA">
        <w:t xml:space="preserve"> </w:t>
      </w:r>
      <w:r w:rsidRPr="00D336DA">
        <w:rPr>
          <w:i/>
          <w:iCs/>
        </w:rPr>
        <w:t>In re Complaint of Direct Energy Business LLC</w:t>
      </w:r>
      <w:r w:rsidRPr="00D336DA">
        <w:t>, 2020-Ohio-4429, ¶11.</w:t>
      </w:r>
    </w:p>
  </w:footnote>
  <w:footnote w:id="8">
    <w:p w:rsidR="00AA3ED9" w:rsidRPr="00D336DA" w:rsidP="00BE2D22" w14:paraId="01E749C6" w14:textId="7406CCFF">
      <w:pPr>
        <w:pStyle w:val="FootnoteText"/>
        <w:spacing w:after="120"/>
      </w:pPr>
      <w:r w:rsidRPr="00D336DA">
        <w:rPr>
          <w:rStyle w:val="FootnoteReference"/>
        </w:rPr>
        <w:footnoteRef/>
      </w:r>
      <w:r w:rsidRPr="00D336DA">
        <w:t xml:space="preserve"> </w:t>
      </w:r>
      <w:r w:rsidRPr="00D336DA">
        <w:rPr>
          <w:i/>
          <w:iCs/>
        </w:rPr>
        <w:t xml:space="preserve">Id. </w:t>
      </w:r>
      <w:r w:rsidRPr="00D336DA">
        <w:t>at ¶¶11-15.</w:t>
      </w:r>
    </w:p>
  </w:footnote>
  <w:footnote w:id="9">
    <w:p w:rsidR="00AA3ED9" w:rsidRPr="00D336DA" w:rsidP="00BE2D22" w14:paraId="7BECC65F" w14:textId="43F336E4">
      <w:pPr>
        <w:pStyle w:val="FootnoteText"/>
        <w:spacing w:after="120"/>
      </w:pPr>
      <w:r w:rsidRPr="00D336DA">
        <w:rPr>
          <w:rStyle w:val="FootnoteReference"/>
        </w:rPr>
        <w:footnoteRef/>
      </w:r>
      <w:r w:rsidRPr="00D336DA">
        <w:t xml:space="preserve"> </w:t>
      </w:r>
      <w:r w:rsidRPr="00D336DA">
        <w:rPr>
          <w:i/>
          <w:iCs/>
        </w:rPr>
        <w:t>Id.</w:t>
      </w:r>
      <w:r w:rsidRPr="00D336DA">
        <w:t xml:space="preserve"> at ¶25.</w:t>
      </w:r>
    </w:p>
  </w:footnote>
  <w:footnote w:id="10">
    <w:p w:rsidR="00AA3ED9" w:rsidRPr="00D336DA" w:rsidP="00BE2D22" w14:paraId="45832DB6" w14:textId="648DA42A">
      <w:pPr>
        <w:pStyle w:val="FootnoteText"/>
        <w:spacing w:after="120"/>
      </w:pPr>
      <w:r w:rsidRPr="00D336DA">
        <w:rPr>
          <w:rStyle w:val="FootnoteReference"/>
        </w:rPr>
        <w:footnoteRef/>
      </w:r>
      <w:r w:rsidRPr="00D336DA">
        <w:t xml:space="preserve"> </w:t>
      </w:r>
      <w:r w:rsidRPr="00D336DA" w:rsidR="000A06EF">
        <w:rPr>
          <w:i/>
        </w:rPr>
        <w:t>In the Matter of the Review of the Political and Charitable Spending by Ohio Edison Company, The Cleveland Electric Illuminating Company and the Toledo Edison Company</w:t>
      </w:r>
      <w:r w:rsidRPr="00D336DA" w:rsidR="000A06EF">
        <w:t xml:space="preserve">, Case No. 20-1502-EL-UNC, FirstEnergy Motion, </w:t>
      </w:r>
      <w:r w:rsidRPr="00D336DA">
        <w:t>Memo in Support at 6, note 12.</w:t>
      </w:r>
    </w:p>
  </w:footnote>
  <w:footnote w:id="11">
    <w:p w:rsidR="00AA3ED9" w:rsidRPr="00D336DA" w:rsidP="00BE2D22" w14:paraId="6CE69D0D" w14:textId="1C8D4BCA">
      <w:pPr>
        <w:pStyle w:val="FootnoteText"/>
        <w:spacing w:after="120"/>
      </w:pPr>
      <w:r w:rsidRPr="00D336DA">
        <w:rPr>
          <w:rStyle w:val="FootnoteReference"/>
        </w:rPr>
        <w:footnoteRef/>
      </w:r>
      <w:r w:rsidRPr="00D336DA">
        <w:t xml:space="preserve"> </w:t>
      </w:r>
      <w:r w:rsidRPr="00D336DA">
        <w:rPr>
          <w:i/>
          <w:iCs/>
        </w:rPr>
        <w:t>Cleveland Electric Illuminating Co. v. Public Utilities Comm.</w:t>
      </w:r>
      <w:r w:rsidRPr="00D336DA">
        <w:t>, 69 Ohio St.2d 258, 261-62, 431 N.E.2d 683 (1982).</w:t>
      </w:r>
    </w:p>
  </w:footnote>
  <w:footnote w:id="12">
    <w:p w:rsidR="00AA3ED9" w:rsidRPr="00D336DA" w:rsidP="00BE2D22" w14:paraId="0D67C624" w14:textId="73A143B2">
      <w:pPr>
        <w:pStyle w:val="FootnoteText"/>
        <w:spacing w:after="120"/>
      </w:pPr>
      <w:r w:rsidRPr="00D336DA">
        <w:rPr>
          <w:rStyle w:val="FootnoteReference"/>
        </w:rPr>
        <w:footnoteRef/>
      </w:r>
      <w:r w:rsidRPr="00D336DA">
        <w:t xml:space="preserve"> </w:t>
      </w:r>
      <w:r w:rsidRPr="00D336DA">
        <w:rPr>
          <w:i/>
          <w:iCs/>
        </w:rPr>
        <w:t>Cleveland Electric Illuminating Co.</w:t>
      </w:r>
      <w:r w:rsidRPr="00D336DA">
        <w:t xml:space="preserve"> at 262 (“Allowing such contributions as an expense would disadvantage ratepayers by forcing them to pay for the contributions.”)</w:t>
      </w:r>
    </w:p>
  </w:footnote>
  <w:footnote w:id="13">
    <w:p w:rsidR="00AA3ED9" w:rsidRPr="00D336DA" w:rsidP="00BE2D22" w14:paraId="7F549717" w14:textId="0CAEF02A">
      <w:pPr>
        <w:pStyle w:val="FootnoteText"/>
        <w:spacing w:after="120"/>
      </w:pPr>
      <w:r w:rsidRPr="00D336DA">
        <w:rPr>
          <w:rStyle w:val="FootnoteReference"/>
        </w:rPr>
        <w:footnoteRef/>
      </w:r>
      <w:r w:rsidRPr="00D336DA">
        <w:t xml:space="preserve"> FirstEnergy M</w:t>
      </w:r>
      <w:r w:rsidRPr="00D336DA" w:rsidR="000A06EF">
        <w:t xml:space="preserve">otion for Protective Order, Memo in Support </w:t>
      </w:r>
      <w:r w:rsidRPr="00D336DA">
        <w:t>at 6, note 12.</w:t>
      </w:r>
    </w:p>
  </w:footnote>
  <w:footnote w:id="14">
    <w:p w:rsidR="00AA3ED9" w:rsidRPr="00D336DA" w:rsidP="00BE2D22" w14:paraId="6B353CB2" w14:textId="2D85DC27">
      <w:pPr>
        <w:pStyle w:val="FootnoteText"/>
        <w:spacing w:after="120"/>
      </w:pPr>
      <w:r w:rsidRPr="00D336DA">
        <w:rPr>
          <w:rStyle w:val="FootnoteReference"/>
        </w:rPr>
        <w:footnoteRef/>
      </w:r>
      <w:r w:rsidRPr="00D336DA">
        <w:t xml:space="preserve"> </w:t>
      </w:r>
      <w:r w:rsidRPr="00D336DA">
        <w:rPr>
          <w:i/>
          <w:iCs/>
        </w:rPr>
        <w:t>In re Chapter 4901:1-20 Ohio Adm. Code</w:t>
      </w:r>
      <w:r w:rsidRPr="00D336DA">
        <w:t>, Case No. 04-48-EL-ORD, Finding and Order at 13-14 (July 28, 2004).</w:t>
      </w:r>
    </w:p>
  </w:footnote>
  <w:footnote w:id="15">
    <w:p w:rsidR="00AA3ED9" w:rsidRPr="00D336DA" w:rsidP="00BE2D22" w14:paraId="7A95B1A1" w14:textId="1A5E1B29">
      <w:pPr>
        <w:pStyle w:val="FootnoteText"/>
        <w:spacing w:after="120"/>
      </w:pPr>
      <w:r w:rsidRPr="00D336DA">
        <w:rPr>
          <w:rStyle w:val="FootnoteReference"/>
        </w:rPr>
        <w:footnoteRef/>
      </w:r>
      <w:r w:rsidRPr="00D336DA">
        <w:t xml:space="preserve"> FirstEnergy Motion </w:t>
      </w:r>
      <w:r w:rsidRPr="00D336DA" w:rsidR="000A06EF">
        <w:t xml:space="preserve">for Protective Order </w:t>
      </w:r>
      <w:r w:rsidRPr="00D336DA">
        <w:t xml:space="preserve">at 2 (Oct. 16, 2020).  </w:t>
      </w:r>
    </w:p>
  </w:footnote>
  <w:footnote w:id="16">
    <w:p w:rsidR="00AA3ED9" w:rsidRPr="00D336DA" w:rsidP="00BE2D22" w14:paraId="42B1C181" w14:textId="508814ED">
      <w:pPr>
        <w:pStyle w:val="FootnoteText"/>
        <w:spacing w:after="120"/>
      </w:pPr>
      <w:r w:rsidRPr="00D336DA">
        <w:rPr>
          <w:rStyle w:val="FootnoteReference"/>
        </w:rPr>
        <w:footnoteRef/>
      </w:r>
      <w:r w:rsidRPr="00D336DA">
        <w:t xml:space="preserve"> </w:t>
      </w:r>
      <w:r w:rsidRPr="00D336DA">
        <w:rPr>
          <w:i/>
          <w:iCs/>
        </w:rPr>
        <w:t>Id</w:t>
      </w:r>
      <w:r w:rsidRPr="00D336DA">
        <w:t xml:space="preserve">., Memorandum in Support at 5, 6.  </w:t>
      </w:r>
    </w:p>
  </w:footnote>
  <w:footnote w:id="17">
    <w:p w:rsidR="00AA3ED9" w:rsidRPr="00D336DA" w:rsidP="00BE2D22" w14:paraId="7BED1730" w14:textId="6D20BA80">
      <w:pPr>
        <w:pStyle w:val="FootnoteText"/>
        <w:spacing w:after="120"/>
      </w:pPr>
      <w:r w:rsidRPr="00D336DA">
        <w:rPr>
          <w:rStyle w:val="FootnoteReference"/>
        </w:rPr>
        <w:footnoteRef/>
      </w:r>
      <w:r w:rsidRPr="00D336DA">
        <w:t xml:space="preserve"> </w:t>
      </w:r>
      <w:r w:rsidRPr="00D336DA">
        <w:rPr>
          <w:i/>
          <w:iCs/>
        </w:rPr>
        <w:t>Id</w:t>
      </w:r>
      <w:r w:rsidRPr="00D336DA" w:rsidR="000A06EF">
        <w:t xml:space="preserve">. </w:t>
      </w:r>
      <w:r w:rsidRPr="00D336DA">
        <w:t xml:space="preserve">at 2.  </w:t>
      </w:r>
    </w:p>
  </w:footnote>
  <w:footnote w:id="18">
    <w:p w:rsidR="00AA3ED9" w:rsidRPr="00D336DA" w:rsidP="00BE2D22" w14:paraId="2C0F4E1B" w14:textId="6F64B2EE">
      <w:pPr>
        <w:pStyle w:val="FootnoteText"/>
        <w:spacing w:after="120"/>
      </w:pPr>
      <w:r w:rsidRPr="00D336DA">
        <w:rPr>
          <w:rStyle w:val="FootnoteReference"/>
        </w:rPr>
        <w:footnoteRef/>
      </w:r>
      <w:r w:rsidR="00C6604C">
        <w:rPr>
          <w:i/>
        </w:rPr>
        <w:t xml:space="preserve"> </w:t>
      </w:r>
      <w:r w:rsidRPr="00D336DA" w:rsidR="000A06EF">
        <w:rPr>
          <w:i/>
        </w:rPr>
        <w:t>In the Matter of the Review of the Political and Charitable Spending by Ohio Edison Company, The Cleveland Electric Illuminating Company and the Toledo Edison Company</w:t>
      </w:r>
      <w:r w:rsidRPr="00D336DA" w:rsidR="000A06EF">
        <w:t xml:space="preserve">, Case No. 20-1502-EL-UNC, </w:t>
      </w:r>
      <w:r w:rsidRPr="00D336DA">
        <w:t>Entry at ¶5 (Sept. 15, 2020).</w:t>
      </w:r>
    </w:p>
  </w:footnote>
  <w:footnote w:id="19">
    <w:p w:rsidR="00AA3ED9" w:rsidRPr="00D336DA" w:rsidP="00BE2D22" w14:paraId="70617B81" w14:textId="7F678CB6">
      <w:pPr>
        <w:pStyle w:val="FootnoteText"/>
        <w:spacing w:after="120"/>
      </w:pPr>
      <w:r w:rsidRPr="00D336DA">
        <w:rPr>
          <w:rStyle w:val="FootnoteReference"/>
        </w:rPr>
        <w:footnoteRef/>
      </w:r>
      <w:r w:rsidRPr="00D336DA">
        <w:t xml:space="preserve"> FirstEnergy Motion for Protective Order,</w:t>
      </w:r>
      <w:r w:rsidRPr="00D336DA" w:rsidR="000A06EF">
        <w:t xml:space="preserve"> Memorandum in Support</w:t>
      </w:r>
      <w:r w:rsidRPr="00D336DA">
        <w:t xml:space="preserve"> at 6-7. </w:t>
      </w:r>
    </w:p>
  </w:footnote>
  <w:footnote w:id="20">
    <w:p w:rsidR="00AA3ED9" w:rsidRPr="00D336DA" w:rsidP="00BE2D22" w14:paraId="0CF08624" w14:textId="5C60657E">
      <w:pPr>
        <w:pStyle w:val="FootnoteText"/>
        <w:spacing w:after="120"/>
      </w:pPr>
      <w:r w:rsidRPr="00D336DA">
        <w:rPr>
          <w:rStyle w:val="FootnoteReference"/>
        </w:rPr>
        <w:footnoteRef/>
      </w:r>
      <w:r w:rsidRPr="00D336DA">
        <w:t xml:space="preserve"> </w:t>
      </w:r>
      <w:r w:rsidRPr="00D336DA">
        <w:rPr>
          <w:i/>
          <w:iCs/>
        </w:rPr>
        <w:t>In the Mater of the Application of Aqua Ohio, Inc. for Authority to Assess a System Improvement Charge</w:t>
      </w:r>
      <w:r w:rsidRPr="00D336DA">
        <w:t>, Case No. 18-337-WW-SIC, Entry at ¶33 (Feb. 6, 2019).</w:t>
      </w:r>
    </w:p>
  </w:footnote>
  <w:footnote w:id="21">
    <w:p w:rsidR="00AA3ED9" w:rsidRPr="00D336DA" w:rsidP="00BE2D22" w14:paraId="0256D1B9" w14:textId="34CEB9D5">
      <w:pPr>
        <w:pStyle w:val="FootnoteText"/>
        <w:spacing w:after="120"/>
      </w:pPr>
      <w:r w:rsidRPr="00D336DA">
        <w:rPr>
          <w:rStyle w:val="FootnoteReference"/>
        </w:rPr>
        <w:footnoteRef/>
      </w:r>
      <w:r w:rsidRPr="00D336DA">
        <w:t xml:space="preserve"> </w:t>
      </w:r>
      <w:r w:rsidRPr="00D336DA">
        <w:rPr>
          <w:i/>
          <w:iCs/>
        </w:rPr>
        <w:t>In the Matter of the Commission Investigation Into the Operations and Services of Ohio Utilities Company</w:t>
      </w:r>
      <w:r w:rsidRPr="00D336DA">
        <w:t xml:space="preserve">, Case No. 92-550-WS-COI, Entry (June 2, 1992).  </w:t>
      </w:r>
      <w:r w:rsidRPr="00D336DA">
        <w:rPr>
          <w:i/>
          <w:iCs/>
        </w:rPr>
        <w:t>See also</w:t>
      </w:r>
      <w:r w:rsidRPr="00D336DA">
        <w:t xml:space="preserve">, </w:t>
      </w:r>
      <w:r w:rsidRPr="00D336DA">
        <w:rPr>
          <w:i/>
          <w:iCs/>
        </w:rPr>
        <w:t>In the Matter of the Complaint of the Office of the Consumers’ Counsel on Behalf of the Residents of Copley Village Condominium Association I and Copley Village Condominium Association v. Ohio Edison Company</w:t>
      </w:r>
      <w:r w:rsidRPr="00D336DA">
        <w:t>, Case No. 89-1031-EL-CSS, Entry (Oct. 6, 1989).</w:t>
      </w:r>
    </w:p>
  </w:footnote>
  <w:footnote w:id="22">
    <w:p w:rsidR="00AA3ED9" w:rsidRPr="00D336DA" w:rsidP="00BE2D22" w14:paraId="253E5E51" w14:textId="64E3CFCD">
      <w:pPr>
        <w:pStyle w:val="FootnoteText"/>
        <w:spacing w:after="120"/>
      </w:pPr>
      <w:r w:rsidRPr="00D336DA">
        <w:rPr>
          <w:rStyle w:val="FootnoteReference"/>
        </w:rPr>
        <w:footnoteRef/>
      </w:r>
      <w:r w:rsidRPr="00D336DA">
        <w:t xml:space="preserve"> </w:t>
      </w:r>
      <w:r w:rsidRPr="00D336DA">
        <w:rPr>
          <w:i/>
          <w:iCs/>
        </w:rPr>
        <w:t>See</w:t>
      </w:r>
      <w:r w:rsidRPr="00D336DA">
        <w:t xml:space="preserve"> OCC Interlocutory Appeal (Sept. 21, 2020).   </w:t>
      </w:r>
    </w:p>
  </w:footnote>
  <w:footnote w:id="23">
    <w:p w:rsidR="00AA3ED9" w:rsidRPr="00D336DA" w:rsidP="00BE2D22" w14:paraId="7C44370D" w14:textId="13AD062E">
      <w:pPr>
        <w:pStyle w:val="FootnoteText"/>
        <w:spacing w:after="120"/>
      </w:pPr>
      <w:r w:rsidRPr="00D336DA">
        <w:rPr>
          <w:rStyle w:val="FootnoteReference"/>
        </w:rPr>
        <w:footnoteRef/>
      </w:r>
      <w:r w:rsidRPr="00D336DA">
        <w:t xml:space="preserve"> </w:t>
      </w:r>
      <w:r w:rsidRPr="00D336DA">
        <w:rPr>
          <w:i/>
          <w:iCs/>
        </w:rPr>
        <w:t>See</w:t>
      </w:r>
      <w:r w:rsidRPr="00D336DA">
        <w:t xml:space="preserve"> Ohio Admin. Code 4901-1-11. </w:t>
      </w:r>
    </w:p>
  </w:footnote>
  <w:footnote w:id="24">
    <w:p w:rsidR="00AA3ED9" w:rsidRPr="00D336DA" w:rsidP="00BE2D22" w14:paraId="12FC9A4F" w14:textId="52938F17">
      <w:pPr>
        <w:spacing w:after="120"/>
        <w:rPr>
          <w:sz w:val="20"/>
        </w:rPr>
      </w:pPr>
      <w:r w:rsidRPr="00D336DA">
        <w:rPr>
          <w:rStyle w:val="FootnoteReference"/>
          <w:sz w:val="20"/>
        </w:rPr>
        <w:footnoteRef/>
      </w:r>
      <w:r w:rsidRPr="00D336DA">
        <w:rPr>
          <w:sz w:val="20"/>
        </w:rPr>
        <w:t xml:space="preserve"> </w:t>
      </w:r>
      <w:r w:rsidRPr="00D336DA">
        <w:rPr>
          <w:i/>
          <w:sz w:val="20"/>
        </w:rPr>
        <w:t>In the Matter of the Investigation into the Perry Nuclear Power Plant</w:t>
      </w:r>
      <w:r w:rsidRPr="00D336DA">
        <w:rPr>
          <w:sz w:val="20"/>
        </w:rPr>
        <w:t>, Case No. 85-521-EL-COI, Entry at 23 (Mar. 17, 1987).</w:t>
      </w:r>
    </w:p>
  </w:footnote>
  <w:footnote w:id="25">
    <w:p w:rsidR="00AA3ED9" w:rsidRPr="00D336DA" w:rsidP="00BE2D22" w14:paraId="7FB885D6" w14:textId="37E61145">
      <w:pPr>
        <w:spacing w:after="120"/>
        <w:rPr>
          <w:sz w:val="20"/>
        </w:rPr>
      </w:pPr>
      <w:r w:rsidRPr="00D336DA">
        <w:rPr>
          <w:rStyle w:val="FootnoteReference"/>
          <w:sz w:val="20"/>
        </w:rPr>
        <w:footnoteRef/>
      </w:r>
      <w:r w:rsidRPr="00D336DA">
        <w:rPr>
          <w:sz w:val="20"/>
        </w:rPr>
        <w:t xml:space="preserve"> </w:t>
      </w:r>
      <w:r w:rsidRPr="00D336DA">
        <w:rPr>
          <w:i/>
          <w:sz w:val="20"/>
        </w:rPr>
        <w:t>Id.</w:t>
      </w:r>
      <w:r w:rsidRPr="00D336DA">
        <w:rPr>
          <w:sz w:val="20"/>
        </w:rPr>
        <w:t>, citing</w:t>
      </w:r>
      <w:r w:rsidRPr="00D336DA">
        <w:rPr>
          <w:i/>
          <w:sz w:val="20"/>
        </w:rPr>
        <w:t xml:space="preserve"> Penn Central Transportation Co. v. Armco Steel Corp</w:t>
      </w:r>
      <w:r w:rsidRPr="00D336DA">
        <w:rPr>
          <w:sz w:val="20"/>
        </w:rPr>
        <w:t xml:space="preserve">. (C.P. 1971), 27 Ohio Misc. 76 (emphasis added).  </w:t>
      </w:r>
    </w:p>
  </w:footnote>
  <w:footnote w:id="26">
    <w:p w:rsidR="00AA3ED9" w:rsidRPr="00D336DA" w:rsidP="00BE2D22" w14:paraId="417C13DF" w14:textId="02485DB7">
      <w:pPr>
        <w:spacing w:after="120"/>
        <w:rPr>
          <w:sz w:val="20"/>
        </w:rPr>
      </w:pPr>
      <w:r w:rsidRPr="00D336DA">
        <w:rPr>
          <w:rStyle w:val="FootnoteReference"/>
          <w:sz w:val="20"/>
        </w:rPr>
        <w:footnoteRef/>
      </w:r>
      <w:r w:rsidRPr="00D336DA">
        <w:rPr>
          <w:sz w:val="20"/>
        </w:rPr>
        <w:t xml:space="preserve"> </w:t>
      </w:r>
      <w:r w:rsidRPr="00D336DA">
        <w:rPr>
          <w:i/>
          <w:sz w:val="20"/>
        </w:rPr>
        <w:t xml:space="preserve">See </w:t>
      </w:r>
      <w:r w:rsidRPr="00D336DA">
        <w:rPr>
          <w:sz w:val="20"/>
        </w:rPr>
        <w:t>Ohio Admin. Code § 4901-1-16(H).  OCC filed a Motion to intervene on September 21, 2020.</w:t>
      </w:r>
    </w:p>
  </w:footnote>
  <w:footnote w:id="27">
    <w:p w:rsidR="00AA3ED9" w:rsidRPr="00D336DA" w:rsidP="00BE2D22" w14:paraId="50131F0A" w14:textId="622441A3">
      <w:pPr>
        <w:pStyle w:val="FootnoteText"/>
        <w:spacing w:after="120"/>
      </w:pPr>
      <w:r w:rsidRPr="00D336DA">
        <w:rPr>
          <w:rStyle w:val="FootnoteReference"/>
        </w:rPr>
        <w:footnoteRef/>
      </w:r>
      <w:r w:rsidRPr="00D336DA">
        <w:t xml:space="preserve"> </w:t>
      </w:r>
      <w:r w:rsidRPr="00D336DA">
        <w:rPr>
          <w:i/>
          <w:iCs/>
        </w:rPr>
        <w:t>See</w:t>
      </w:r>
      <w:r w:rsidRPr="00D336DA">
        <w:t xml:space="preserve"> Ohio Admin. Code §§4901-1-16 to 4901-1-24.</w:t>
      </w:r>
    </w:p>
  </w:footnote>
  <w:footnote w:id="28">
    <w:p w:rsidR="00AA3ED9" w:rsidRPr="00D336DA" w:rsidP="00BE2D22" w14:paraId="2141ABFE" w14:textId="1653E0AE">
      <w:pPr>
        <w:spacing w:after="120"/>
        <w:rPr>
          <w:sz w:val="20"/>
        </w:rPr>
      </w:pPr>
      <w:r w:rsidRPr="00D336DA">
        <w:rPr>
          <w:rStyle w:val="FootnoteReference"/>
          <w:sz w:val="20"/>
        </w:rPr>
        <w:footnoteRef/>
      </w:r>
      <w:r w:rsidRPr="00D336DA">
        <w:rPr>
          <w:sz w:val="20"/>
        </w:rPr>
        <w:t xml:space="preserve"> Ohio Admin. Code § 4901-1-17 (A).  </w:t>
      </w:r>
      <w:r w:rsidRPr="00D336DA">
        <w:rPr>
          <w:i/>
          <w:sz w:val="20"/>
        </w:rPr>
        <w:t>Accord</w:t>
      </w:r>
      <w:r w:rsidRPr="00D336DA">
        <w:rPr>
          <w:sz w:val="20"/>
        </w:rPr>
        <w:t>, Ohio Civ. R. 33 (A) (interrogatories may be served by any party without leave on the plaintiff “after commencement of the action.”)</w:t>
      </w:r>
    </w:p>
  </w:footnote>
  <w:footnote w:id="29">
    <w:p w:rsidR="00AA3ED9" w:rsidRPr="00D336DA" w:rsidP="00BE2D22" w14:paraId="081C61DA" w14:textId="2ADF2FE8">
      <w:pPr>
        <w:pStyle w:val="FootnoteText"/>
        <w:spacing w:after="120"/>
      </w:pPr>
      <w:r w:rsidRPr="00D336DA">
        <w:rPr>
          <w:rStyle w:val="FootnoteReference"/>
        </w:rPr>
        <w:footnoteRef/>
      </w:r>
      <w:r w:rsidRPr="00D336DA">
        <w:t xml:space="preserve"> FirstEnergy Motion for Protective Order, Memorandum in Support at 5.  </w:t>
      </w:r>
    </w:p>
  </w:footnote>
  <w:footnote w:id="30">
    <w:p w:rsidR="002242DD" w:rsidRPr="00D336DA" w:rsidP="00BE2D22" w14:paraId="2D8957FC" w14:textId="47C1E06B">
      <w:pPr>
        <w:pStyle w:val="FootnoteText"/>
        <w:spacing w:after="120"/>
      </w:pPr>
      <w:r w:rsidRPr="00D336DA">
        <w:rPr>
          <w:rStyle w:val="FootnoteReference"/>
        </w:rPr>
        <w:footnoteRef/>
      </w:r>
      <w:r w:rsidRPr="00D336DA">
        <w:t xml:space="preserve"> </w:t>
      </w:r>
      <w:r w:rsidRPr="00D336DA">
        <w:rPr>
          <w:i/>
        </w:rPr>
        <w:t>In the Matter of the Application Not for An Incre</w:t>
      </w:r>
      <w:r w:rsidRPr="00D336DA" w:rsidR="00F45527">
        <w:rPr>
          <w:i/>
        </w:rPr>
        <w:t>a</w:t>
      </w:r>
      <w:r w:rsidRPr="00D336DA">
        <w:rPr>
          <w:i/>
        </w:rPr>
        <w:t>s</w:t>
      </w:r>
      <w:r w:rsidRPr="00D336DA" w:rsidR="00F45527">
        <w:rPr>
          <w:i/>
        </w:rPr>
        <w:t xml:space="preserve">e </w:t>
      </w:r>
      <w:r w:rsidRPr="00D336DA">
        <w:rPr>
          <w:i/>
        </w:rPr>
        <w:t xml:space="preserve"> in Rates of Columbia Gas of Ohio Inc. for Approval of a Capital Expenditure Program and for Approval to Change Accounting Methods</w:t>
      </w:r>
      <w:r w:rsidRPr="00D336DA">
        <w:t>, Case No. 11-5351-GA-UNC</w:t>
      </w:r>
      <w:r w:rsidRPr="00D336DA" w:rsidR="00F45527">
        <w:t xml:space="preserve">, Entry (Jan. 27, 2012).  </w:t>
      </w:r>
    </w:p>
  </w:footnote>
  <w:footnote w:id="31">
    <w:p w:rsidR="00AA3ED9" w:rsidRPr="00D336DA" w:rsidP="00BE2D22" w14:paraId="5196D9B7" w14:textId="5BB9F5DB">
      <w:pPr>
        <w:pStyle w:val="FootnoteText"/>
        <w:spacing w:after="120"/>
      </w:pPr>
      <w:r w:rsidRPr="00D336DA">
        <w:rPr>
          <w:rStyle w:val="FootnoteReference"/>
        </w:rPr>
        <w:footnoteRef/>
      </w:r>
      <w:r w:rsidRPr="00D336DA">
        <w:t xml:space="preserve"> </w:t>
      </w:r>
      <w:r w:rsidRPr="00D336DA">
        <w:rPr>
          <w:i/>
          <w:iCs/>
        </w:rPr>
        <w:t>In the Matter of the Commission’s Review of Chapters 4901-1, Rules of Practice and Procedure</w:t>
      </w:r>
      <w:r w:rsidRPr="00D336DA">
        <w:t xml:space="preserve">, Case No. 11-776-AU-ORD, Finding and Order at 22-24 (Jan. 22, 2014). </w:t>
      </w:r>
    </w:p>
  </w:footnote>
  <w:footnote w:id="32">
    <w:p w:rsidR="00AA3ED9" w:rsidRPr="00D336DA" w:rsidP="00BE2D22" w14:paraId="7F55CBF5" w14:textId="1897F65A">
      <w:pPr>
        <w:pStyle w:val="FootnoteText"/>
        <w:spacing w:after="120"/>
      </w:pPr>
      <w:r w:rsidRPr="00D336DA">
        <w:rPr>
          <w:rStyle w:val="FootnoteReference"/>
        </w:rPr>
        <w:footnoteRef/>
      </w:r>
      <w:r w:rsidRPr="00D336DA">
        <w:t xml:space="preserve"> </w:t>
      </w:r>
      <w:r w:rsidRPr="00D336DA">
        <w:rPr>
          <w:i/>
          <w:iCs/>
        </w:rPr>
        <w:t>Id</w:t>
      </w:r>
      <w:r w:rsidRPr="00D336DA">
        <w:t xml:space="preserve">. at 23.  </w:t>
      </w:r>
    </w:p>
  </w:footnote>
  <w:footnote w:id="33">
    <w:p w:rsidR="00F45527" w:rsidRPr="00D336DA" w:rsidP="00BE2D22" w14:paraId="42CEE5AC" w14:textId="49AEAA0B">
      <w:pPr>
        <w:pStyle w:val="FootnoteText"/>
        <w:spacing w:after="120"/>
      </w:pPr>
      <w:r w:rsidRPr="00D336DA">
        <w:rPr>
          <w:rStyle w:val="FootnoteReference"/>
        </w:rPr>
        <w:footnoteRef/>
      </w:r>
      <w:r w:rsidR="00C6604C">
        <w:rPr>
          <w:i/>
        </w:rPr>
        <w:t xml:space="preserve"> </w:t>
      </w:r>
      <w:r w:rsidRPr="00D336DA">
        <w:rPr>
          <w:i/>
        </w:rPr>
        <w:t>In re Triennial Review Regarding Local Circuit Switching</w:t>
      </w:r>
      <w:r w:rsidRPr="00D336DA">
        <w:t xml:space="preserve">, Case No. 03-2040-TP-COI, Entry on Rehearing (Oct. 28, 2003). </w:t>
      </w:r>
    </w:p>
  </w:footnote>
  <w:footnote w:id="34">
    <w:p w:rsidR="00AA3ED9" w:rsidRPr="00D336DA" w:rsidP="00BE2D22" w14:paraId="6B50609B" w14:textId="307F4439">
      <w:pPr>
        <w:pStyle w:val="FootnoteText"/>
        <w:spacing w:after="120"/>
      </w:pPr>
      <w:r w:rsidRPr="00D336DA">
        <w:rPr>
          <w:rStyle w:val="FootnoteReference"/>
        </w:rPr>
        <w:footnoteRef/>
      </w:r>
      <w:r w:rsidRPr="00D336DA">
        <w:t xml:space="preserve"> </w:t>
      </w:r>
      <w:r w:rsidRPr="00D336DA" w:rsidR="00F45527">
        <w:rPr>
          <w:i/>
          <w:iCs/>
        </w:rPr>
        <w:t xml:space="preserve">Id. </w:t>
      </w:r>
      <w:r w:rsidRPr="00D336DA">
        <w:t>at ¶ 8.</w:t>
      </w:r>
    </w:p>
  </w:footnote>
  <w:footnote w:id="35">
    <w:p w:rsidR="00AA3ED9" w:rsidRPr="00D336DA" w:rsidP="00BE2D22" w14:paraId="0596F919" w14:textId="77777777">
      <w:pPr>
        <w:pStyle w:val="FootnoteText"/>
        <w:spacing w:after="120"/>
      </w:pPr>
      <w:r w:rsidRPr="00D336DA">
        <w:rPr>
          <w:rStyle w:val="FootnoteReference"/>
        </w:rPr>
        <w:footnoteRef/>
      </w:r>
      <w:r w:rsidRPr="00D336DA">
        <w:t xml:space="preserve"> </w:t>
      </w:r>
      <w:r w:rsidRPr="00D336DA">
        <w:rPr>
          <w:i/>
          <w:iCs/>
        </w:rPr>
        <w:t>Id.</w:t>
      </w:r>
    </w:p>
  </w:footnote>
  <w:footnote w:id="36">
    <w:p w:rsidR="00AA3ED9" w:rsidRPr="00D336DA" w:rsidP="00BE2D22" w14:paraId="0BDEDF05" w14:textId="61324528">
      <w:pPr>
        <w:pStyle w:val="FootnoteText"/>
        <w:spacing w:after="120"/>
      </w:pPr>
      <w:r w:rsidRPr="00D336DA">
        <w:rPr>
          <w:rStyle w:val="FootnoteReference"/>
        </w:rPr>
        <w:footnoteRef/>
      </w:r>
      <w:r w:rsidRPr="00D336DA">
        <w:t xml:space="preserve"> </w:t>
      </w:r>
      <w:r w:rsidRPr="00D336DA" w:rsidR="00F45527">
        <w:rPr>
          <w:i/>
        </w:rPr>
        <w:t>In the Matter of the Review of the Political and Charitable Spending by Ohio Edison Company, The Cleveland Electric Illuminating Company and the Toledo Edison Company</w:t>
      </w:r>
      <w:r w:rsidRPr="00D336DA" w:rsidR="00F45527">
        <w:t xml:space="preserve">, Case No. 20-1502-EL-UNC, </w:t>
      </w:r>
      <w:r w:rsidRPr="00D336DA">
        <w:t>Entry at ¶¶ 8 and 14</w:t>
      </w:r>
      <w:r w:rsidRPr="00D336DA" w:rsidR="00F45527">
        <w:t xml:space="preserve"> (Oct. 20, 2020)</w:t>
      </w:r>
      <w:r w:rsidRPr="00D336DA">
        <w:t>.</w:t>
      </w:r>
    </w:p>
  </w:footnote>
  <w:footnote w:id="37">
    <w:p w:rsidR="00A43114" w:rsidRPr="00D336DA" w:rsidP="00BE2D22" w14:paraId="2B7A4C0E" w14:textId="7A442E2E">
      <w:pPr>
        <w:pStyle w:val="FootnoteText"/>
        <w:spacing w:after="120"/>
      </w:pPr>
      <w:r w:rsidRPr="00D336DA">
        <w:rPr>
          <w:rStyle w:val="FootnoteReference"/>
        </w:rPr>
        <w:footnoteRef/>
      </w:r>
      <w:r w:rsidRPr="00D336DA">
        <w:t xml:space="preserve"> FirstEnergy Motion for Protection, Memorandum in Support at 4.  </w:t>
      </w:r>
    </w:p>
  </w:footnote>
  <w:footnote w:id="38">
    <w:p w:rsidR="00AA3ED9" w:rsidRPr="00D336DA" w:rsidP="00BE2D22" w14:paraId="79614C85" w14:textId="4FC66CD9">
      <w:pPr>
        <w:autoSpaceDE w:val="0"/>
        <w:autoSpaceDN w:val="0"/>
        <w:adjustRightInd w:val="0"/>
        <w:spacing w:after="120"/>
        <w:rPr>
          <w:sz w:val="20"/>
        </w:rPr>
      </w:pPr>
      <w:r w:rsidRPr="00D336DA">
        <w:rPr>
          <w:rStyle w:val="FootnoteReference"/>
          <w:sz w:val="20"/>
        </w:rPr>
        <w:footnoteRef/>
      </w:r>
      <w:r w:rsidRPr="00D336DA">
        <w:rPr>
          <w:sz w:val="20"/>
        </w:rPr>
        <w:t xml:space="preserve"> Although federal case law is not binding upon the PUCO with regard to interpreting the Ohio Civil Rules of Practice (upon which the PUCO discovery rules are based), it is instructive where, as here, Ohio's rule is similar to the federal rules. Ohio Admin. Code § 4901-1-24 allows a protective order to limit discovery to protect against "undue burden and expense." C.R. 26(c) similarly allows a protective order to limit discovery “to protect against undue burden and expense." </w:t>
      </w:r>
      <w:r w:rsidRPr="00D336DA">
        <w:rPr>
          <w:i/>
          <w:sz w:val="20"/>
        </w:rPr>
        <w:t>Cf., In the Matter of the Investigation into Perry Nuclear Power Station</w:t>
      </w:r>
      <w:r w:rsidRPr="00D336DA">
        <w:rPr>
          <w:sz w:val="20"/>
        </w:rPr>
        <w:t>, Case No. 85-521-EL-COI, Entry at 14-15 (Mar. 17, 1987), where the Commission opined that a motion for protective order on discovery must be "specific and detailed as to the reasons why providing the responses to matters***will be unduly burdensome."</w:t>
      </w:r>
    </w:p>
  </w:footnote>
  <w:footnote w:id="39">
    <w:p w:rsidR="00AA3ED9" w:rsidRPr="00D336DA" w:rsidP="00BE2D22" w14:paraId="24C1783D" w14:textId="77777777">
      <w:pPr>
        <w:pStyle w:val="FootnoteText"/>
        <w:spacing w:after="120"/>
      </w:pPr>
      <w:r w:rsidRPr="00D336DA">
        <w:rPr>
          <w:rStyle w:val="FootnoteReference"/>
        </w:rPr>
        <w:footnoteRef/>
      </w:r>
      <w:r w:rsidRPr="00D336DA">
        <w:t xml:space="preserve"> </w:t>
      </w:r>
      <w:r w:rsidRPr="00D336DA">
        <w:rPr>
          <w:i/>
        </w:rPr>
        <w:t>Trabon Engineering Corp. v. Eaton Manufacturing Co</w:t>
      </w:r>
      <w:r w:rsidRPr="00D336DA">
        <w:t>., (N.D. Ohio 1964), 37 F.R.D. 51, 54.</w:t>
      </w:r>
    </w:p>
  </w:footnote>
  <w:footnote w:id="40">
    <w:p w:rsidR="00AA3ED9" w:rsidRPr="00D336DA" w:rsidP="00BE2D22" w14:paraId="14CB5613" w14:textId="6CF26837">
      <w:pPr>
        <w:pStyle w:val="FootnoteText"/>
        <w:spacing w:after="120"/>
      </w:pPr>
      <w:r w:rsidRPr="00D336DA">
        <w:rPr>
          <w:rStyle w:val="FootnoteReference"/>
        </w:rPr>
        <w:footnoteRef/>
      </w:r>
      <w:r w:rsidRPr="00D336DA">
        <w:t xml:space="preserve"> </w:t>
      </w:r>
      <w:r w:rsidRPr="00D336DA">
        <w:rPr>
          <w:i/>
          <w:iCs/>
        </w:rPr>
        <w:t>Insulated Unlimited v. Two J’s Props., Ltd.</w:t>
      </w:r>
      <w:r w:rsidRPr="00D336DA">
        <w:t>, 95 Ohio Misc. 2d 18, 705 N.E. 2d 754 at p.21.</w:t>
      </w:r>
    </w:p>
  </w:footnote>
  <w:footnote w:id="41">
    <w:p w:rsidR="00AA3ED9" w:rsidRPr="00D336DA" w:rsidP="00BE2D22" w14:paraId="00B35B05" w14:textId="522E8888">
      <w:pPr>
        <w:pStyle w:val="FootnoteText"/>
        <w:spacing w:after="120"/>
      </w:pPr>
      <w:r w:rsidRPr="00D336DA">
        <w:rPr>
          <w:rStyle w:val="FootnoteReference"/>
        </w:rPr>
        <w:footnoteRef/>
      </w:r>
      <w:r w:rsidRPr="00D336DA">
        <w:t xml:space="preserve"> </w:t>
      </w:r>
      <w:r w:rsidRPr="00D336DA">
        <w:rPr>
          <w:i/>
        </w:rPr>
        <w:t>Ro</w:t>
      </w:r>
      <w:r w:rsidR="00F72AD3">
        <w:rPr>
          <w:i/>
        </w:rPr>
        <w:t>sen</w:t>
      </w:r>
      <w:r w:rsidRPr="00D336DA">
        <w:rPr>
          <w:i/>
        </w:rPr>
        <w:t>berg v, Johns-Manville,</w:t>
      </w:r>
      <w:r w:rsidRPr="00D336DA">
        <w:t xml:space="preserve"> (M.D.Pa 1980), 85 RR.D. 292,297.</w:t>
      </w:r>
    </w:p>
  </w:footnote>
  <w:footnote w:id="42">
    <w:p w:rsidR="00AA3ED9" w:rsidRPr="00D336DA" w:rsidP="00BE2D22" w14:paraId="13C410B4" w14:textId="77777777">
      <w:pPr>
        <w:pStyle w:val="FootnoteText"/>
        <w:spacing w:after="120"/>
      </w:pPr>
      <w:r w:rsidRPr="00D336DA">
        <w:rPr>
          <w:rStyle w:val="FootnoteReference"/>
        </w:rPr>
        <w:footnoteRef/>
      </w:r>
      <w:r w:rsidRPr="00D336DA">
        <w:t xml:space="preserve"> </w:t>
      </w:r>
      <w:r w:rsidRPr="00D336DA">
        <w:rPr>
          <w:i/>
        </w:rPr>
        <w:t>Id.</w:t>
      </w:r>
      <w:r w:rsidRPr="00D336DA">
        <w:t xml:space="preserve">, citing </w:t>
      </w:r>
      <w:r w:rsidRPr="00D336DA">
        <w:rPr>
          <w:i/>
        </w:rPr>
        <w:t>In re Folding Carton Anti-Trust Litigation,</w:t>
      </w:r>
      <w:r w:rsidRPr="00D336DA">
        <w:t xml:space="preserve"> (N.D. HI. 1978), 83 F.R.D. 251, 264.</w:t>
      </w:r>
    </w:p>
  </w:footnote>
  <w:footnote w:id="43">
    <w:p w:rsidR="00AA3ED9" w:rsidRPr="00D336DA" w:rsidP="00BE2D22" w14:paraId="4D1A7FF3" w14:textId="77777777">
      <w:pPr>
        <w:pStyle w:val="FootnoteText"/>
        <w:spacing w:after="120"/>
      </w:pPr>
      <w:r w:rsidRPr="00D336DA">
        <w:rPr>
          <w:rStyle w:val="FootnoteReference"/>
        </w:rPr>
        <w:footnoteRef/>
      </w:r>
      <w:r w:rsidRPr="00D336DA">
        <w:t xml:space="preserve"> </w:t>
      </w:r>
      <w:r w:rsidRPr="00D336DA">
        <w:rPr>
          <w:i/>
        </w:rPr>
        <w:t xml:space="preserve">Gulf Oil Corp, v Schlesinger, </w:t>
      </w:r>
      <w:r w:rsidRPr="00D336DA">
        <w:t>(E.D.Pa. 1979), 465 F.Supp. 913, 916-917.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ED9" w14:paraId="17826F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D22" w14:paraId="2C3AE7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C54EB"/>
    <w:multiLevelType w:val="hybridMultilevel"/>
    <w:tmpl w:val="9BF0EFDE"/>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3356CA7"/>
    <w:multiLevelType w:val="hybridMultilevel"/>
    <w:tmpl w:val="38440D9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CEF668D"/>
    <w:multiLevelType w:val="hybridMultilevel"/>
    <w:tmpl w:val="CC66188A"/>
    <w:lvl w:ilvl="0">
      <w:start w:val="2"/>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58D0174"/>
    <w:multiLevelType w:val="hybridMultilevel"/>
    <w:tmpl w:val="47FE460A"/>
    <w:lvl w:ilvl="0">
      <w:start w:val="1"/>
      <w:numFmt w:val="upperLetter"/>
      <w:lvlText w:val="%1."/>
      <w:lvlJc w:val="left"/>
      <w:pPr>
        <w:ind w:left="720" w:hanging="360"/>
      </w:pPr>
      <w:rPr>
        <w:rFonts w:eastAsiaTheme="minorHAnsi"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5792F14"/>
    <w:multiLevelType w:val="hybridMultilevel"/>
    <w:tmpl w:val="C7E63FF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4C15BC1"/>
    <w:multiLevelType w:val="hybridMultilevel"/>
    <w:tmpl w:val="6E7AB89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38"/>
    <w:rsid w:val="00012A40"/>
    <w:rsid w:val="00012F51"/>
    <w:rsid w:val="00024343"/>
    <w:rsid w:val="000444D1"/>
    <w:rsid w:val="00063607"/>
    <w:rsid w:val="000933FE"/>
    <w:rsid w:val="000A06EF"/>
    <w:rsid w:val="000B1A9A"/>
    <w:rsid w:val="000B7F18"/>
    <w:rsid w:val="000E1B76"/>
    <w:rsid w:val="000E514D"/>
    <w:rsid w:val="00101A4F"/>
    <w:rsid w:val="0012014A"/>
    <w:rsid w:val="0012065C"/>
    <w:rsid w:val="00126D42"/>
    <w:rsid w:val="00131B6C"/>
    <w:rsid w:val="00142CC0"/>
    <w:rsid w:val="00154770"/>
    <w:rsid w:val="001630FB"/>
    <w:rsid w:val="00165B64"/>
    <w:rsid w:val="0017201D"/>
    <w:rsid w:val="001841B5"/>
    <w:rsid w:val="0018512F"/>
    <w:rsid w:val="001B206E"/>
    <w:rsid w:val="001B60DA"/>
    <w:rsid w:val="001D76B9"/>
    <w:rsid w:val="001F2965"/>
    <w:rsid w:val="001F3CC9"/>
    <w:rsid w:val="00202DCA"/>
    <w:rsid w:val="00203DDA"/>
    <w:rsid w:val="00212071"/>
    <w:rsid w:val="002242DD"/>
    <w:rsid w:val="002529BA"/>
    <w:rsid w:val="002550CC"/>
    <w:rsid w:val="002B1FFD"/>
    <w:rsid w:val="002F61B8"/>
    <w:rsid w:val="00305924"/>
    <w:rsid w:val="00307EE8"/>
    <w:rsid w:val="003219FB"/>
    <w:rsid w:val="00322878"/>
    <w:rsid w:val="0033033D"/>
    <w:rsid w:val="00380B36"/>
    <w:rsid w:val="00392097"/>
    <w:rsid w:val="00396F31"/>
    <w:rsid w:val="003A7EF0"/>
    <w:rsid w:val="003C079A"/>
    <w:rsid w:val="0043513E"/>
    <w:rsid w:val="004453C1"/>
    <w:rsid w:val="00445723"/>
    <w:rsid w:val="00476E28"/>
    <w:rsid w:val="004A7521"/>
    <w:rsid w:val="004D2B7A"/>
    <w:rsid w:val="004D5CD5"/>
    <w:rsid w:val="004E22F2"/>
    <w:rsid w:val="00541863"/>
    <w:rsid w:val="00554EE7"/>
    <w:rsid w:val="005651AF"/>
    <w:rsid w:val="005C5EAD"/>
    <w:rsid w:val="005D3BB2"/>
    <w:rsid w:val="005D755D"/>
    <w:rsid w:val="005E2CC6"/>
    <w:rsid w:val="005F4A38"/>
    <w:rsid w:val="00600A4B"/>
    <w:rsid w:val="006220D5"/>
    <w:rsid w:val="006352C9"/>
    <w:rsid w:val="00640A8F"/>
    <w:rsid w:val="00660727"/>
    <w:rsid w:val="006643AB"/>
    <w:rsid w:val="0067020A"/>
    <w:rsid w:val="006A122B"/>
    <w:rsid w:val="006B1B43"/>
    <w:rsid w:val="006B4AE2"/>
    <w:rsid w:val="006F08B2"/>
    <w:rsid w:val="00700C89"/>
    <w:rsid w:val="007132BC"/>
    <w:rsid w:val="00727843"/>
    <w:rsid w:val="0073649D"/>
    <w:rsid w:val="007550B0"/>
    <w:rsid w:val="00762D7D"/>
    <w:rsid w:val="00764BAF"/>
    <w:rsid w:val="00770B9C"/>
    <w:rsid w:val="0078034D"/>
    <w:rsid w:val="00783B45"/>
    <w:rsid w:val="007969E8"/>
    <w:rsid w:val="0079764E"/>
    <w:rsid w:val="00797FB8"/>
    <w:rsid w:val="007B2CAB"/>
    <w:rsid w:val="007C303E"/>
    <w:rsid w:val="007F0F08"/>
    <w:rsid w:val="007F11B9"/>
    <w:rsid w:val="008262C2"/>
    <w:rsid w:val="0083621A"/>
    <w:rsid w:val="00844543"/>
    <w:rsid w:val="0086004B"/>
    <w:rsid w:val="00865F65"/>
    <w:rsid w:val="008826CA"/>
    <w:rsid w:val="00894D6F"/>
    <w:rsid w:val="008C00C4"/>
    <w:rsid w:val="008C6D7C"/>
    <w:rsid w:val="009018B4"/>
    <w:rsid w:val="00922326"/>
    <w:rsid w:val="00931081"/>
    <w:rsid w:val="00937274"/>
    <w:rsid w:val="00966923"/>
    <w:rsid w:val="00991CE2"/>
    <w:rsid w:val="00995C68"/>
    <w:rsid w:val="009C1ED6"/>
    <w:rsid w:val="009C7148"/>
    <w:rsid w:val="009F467B"/>
    <w:rsid w:val="00A167CE"/>
    <w:rsid w:val="00A24B67"/>
    <w:rsid w:val="00A32887"/>
    <w:rsid w:val="00A360EC"/>
    <w:rsid w:val="00A43114"/>
    <w:rsid w:val="00A51A3A"/>
    <w:rsid w:val="00A878D9"/>
    <w:rsid w:val="00AA3ED9"/>
    <w:rsid w:val="00AA6BCB"/>
    <w:rsid w:val="00B01B8A"/>
    <w:rsid w:val="00B02DAA"/>
    <w:rsid w:val="00B201B9"/>
    <w:rsid w:val="00B40A96"/>
    <w:rsid w:val="00B4218C"/>
    <w:rsid w:val="00B63D23"/>
    <w:rsid w:val="00B817AF"/>
    <w:rsid w:val="00B825F4"/>
    <w:rsid w:val="00BA5293"/>
    <w:rsid w:val="00BB748E"/>
    <w:rsid w:val="00BC33FF"/>
    <w:rsid w:val="00BC6557"/>
    <w:rsid w:val="00BD3576"/>
    <w:rsid w:val="00BD38A1"/>
    <w:rsid w:val="00BE2D22"/>
    <w:rsid w:val="00BF2F18"/>
    <w:rsid w:val="00BF7948"/>
    <w:rsid w:val="00C04936"/>
    <w:rsid w:val="00C228D1"/>
    <w:rsid w:val="00C30074"/>
    <w:rsid w:val="00C36E42"/>
    <w:rsid w:val="00C41D7E"/>
    <w:rsid w:val="00C5151C"/>
    <w:rsid w:val="00C6190B"/>
    <w:rsid w:val="00C63965"/>
    <w:rsid w:val="00C6604C"/>
    <w:rsid w:val="00C80C73"/>
    <w:rsid w:val="00C910CC"/>
    <w:rsid w:val="00C9442C"/>
    <w:rsid w:val="00C94625"/>
    <w:rsid w:val="00CC1FF8"/>
    <w:rsid w:val="00CF238E"/>
    <w:rsid w:val="00D065B4"/>
    <w:rsid w:val="00D15321"/>
    <w:rsid w:val="00D1576A"/>
    <w:rsid w:val="00D23B20"/>
    <w:rsid w:val="00D2487A"/>
    <w:rsid w:val="00D25516"/>
    <w:rsid w:val="00D27B73"/>
    <w:rsid w:val="00D336DA"/>
    <w:rsid w:val="00D5449F"/>
    <w:rsid w:val="00D56524"/>
    <w:rsid w:val="00D64758"/>
    <w:rsid w:val="00D666BA"/>
    <w:rsid w:val="00D80F88"/>
    <w:rsid w:val="00D867A4"/>
    <w:rsid w:val="00D911C2"/>
    <w:rsid w:val="00D95419"/>
    <w:rsid w:val="00DB2F49"/>
    <w:rsid w:val="00E01F5C"/>
    <w:rsid w:val="00E17170"/>
    <w:rsid w:val="00E30CDB"/>
    <w:rsid w:val="00E45D2B"/>
    <w:rsid w:val="00E60188"/>
    <w:rsid w:val="00E738D4"/>
    <w:rsid w:val="00EA2A3B"/>
    <w:rsid w:val="00EB14B1"/>
    <w:rsid w:val="00EB42C7"/>
    <w:rsid w:val="00EC3121"/>
    <w:rsid w:val="00F45527"/>
    <w:rsid w:val="00F51C3A"/>
    <w:rsid w:val="00F53B01"/>
    <w:rsid w:val="00F67F6F"/>
    <w:rsid w:val="00F72AD3"/>
    <w:rsid w:val="00FA249B"/>
    <w:rsid w:val="00FA3493"/>
    <w:rsid w:val="00FE42BC"/>
    <w:rsid w:val="00FF09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38"/>
    <w:pPr>
      <w:spacing w:after="0" w:line="240" w:lineRule="auto"/>
    </w:pPr>
    <w:rPr>
      <w:rFonts w:eastAsia="Times New Roman"/>
      <w:szCs w:val="20"/>
    </w:rPr>
  </w:style>
  <w:style w:type="paragraph" w:styleId="Heading1">
    <w:name w:val="heading 1"/>
    <w:basedOn w:val="Normal"/>
    <w:next w:val="Normal"/>
    <w:link w:val="Heading1Char"/>
    <w:autoRedefine/>
    <w:uiPriority w:val="9"/>
    <w:qFormat/>
    <w:rsid w:val="009018B4"/>
    <w:pPr>
      <w:keepNext/>
      <w:keepLines/>
      <w:numPr>
        <w:numId w:val="5"/>
      </w:numPr>
      <w:spacing w:after="240"/>
      <w:ind w:left="720"/>
      <w:outlineLvl w:val="0"/>
    </w:pPr>
    <w:rPr>
      <w:rFonts w:ascii="Times New Roman Bold" w:hAnsi="Times New Roman Bold" w:eastAsiaTheme="minorHAnsi" w:cstheme="majorBidi"/>
      <w:b/>
      <w:caps/>
      <w:szCs w:val="32"/>
    </w:rPr>
  </w:style>
  <w:style w:type="paragraph" w:styleId="Heading2">
    <w:name w:val="heading 2"/>
    <w:basedOn w:val="Normal"/>
    <w:next w:val="Normal"/>
    <w:link w:val="Heading2Char"/>
    <w:autoRedefine/>
    <w:uiPriority w:val="9"/>
    <w:unhideWhenUsed/>
    <w:qFormat/>
    <w:rsid w:val="008C6D7C"/>
    <w:pPr>
      <w:keepNext/>
      <w:keepLines/>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5F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5F4A38"/>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5F4A38"/>
    <w:rPr>
      <w:sz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5F4A38"/>
    <w:rPr>
      <w:rFonts w:eastAsia="Times New Roman"/>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5F4A38"/>
    <w:rPr>
      <w:vertAlign w:val="superscript"/>
    </w:rPr>
  </w:style>
  <w:style w:type="paragraph" w:styleId="CommentText">
    <w:name w:val="annotation text"/>
    <w:basedOn w:val="Normal"/>
    <w:link w:val="CommentTextChar"/>
    <w:uiPriority w:val="99"/>
    <w:unhideWhenUsed/>
    <w:rsid w:val="005F4A38"/>
    <w:rPr>
      <w:sz w:val="20"/>
    </w:rPr>
  </w:style>
  <w:style w:type="character" w:customStyle="1" w:styleId="CommentTextChar">
    <w:name w:val="Comment Text Char"/>
    <w:basedOn w:val="DefaultParagraphFont"/>
    <w:link w:val="CommentText"/>
    <w:uiPriority w:val="99"/>
    <w:rsid w:val="005F4A38"/>
    <w:rPr>
      <w:rFonts w:eastAsia="Times New Roman"/>
      <w:sz w:val="20"/>
      <w:szCs w:val="20"/>
    </w:rPr>
  </w:style>
  <w:style w:type="paragraph" w:styleId="BodyTextIndent3">
    <w:name w:val="Body Text Indent 3"/>
    <w:basedOn w:val="Normal"/>
    <w:link w:val="BodyTextIndent3Char"/>
    <w:uiPriority w:val="99"/>
    <w:unhideWhenUsed/>
    <w:rsid w:val="005F4A38"/>
    <w:pPr>
      <w:spacing w:after="120" w:line="276" w:lineRule="auto"/>
      <w:ind w:left="360"/>
    </w:pPr>
    <w:rPr>
      <w:rFonts w:eastAsiaTheme="minorHAnsi" w:cstheme="minorBidi"/>
      <w:sz w:val="16"/>
      <w:szCs w:val="16"/>
    </w:rPr>
  </w:style>
  <w:style w:type="character" w:customStyle="1" w:styleId="BodyTextIndent3Char">
    <w:name w:val="Body Text Indent 3 Char"/>
    <w:basedOn w:val="DefaultParagraphFont"/>
    <w:link w:val="BodyTextIndent3"/>
    <w:uiPriority w:val="99"/>
    <w:rsid w:val="005F4A38"/>
    <w:rPr>
      <w:rFonts w:cstheme="minorBidi"/>
      <w:sz w:val="16"/>
      <w:szCs w:val="16"/>
    </w:rPr>
  </w:style>
  <w:style w:type="paragraph" w:styleId="EndnoteText">
    <w:name w:val="endnote text"/>
    <w:basedOn w:val="Normal"/>
    <w:link w:val="EndnoteTextChar"/>
    <w:uiPriority w:val="99"/>
    <w:semiHidden/>
    <w:unhideWhenUsed/>
    <w:rsid w:val="005F4A38"/>
    <w:rPr>
      <w:rFonts w:eastAsiaTheme="minorHAnsi" w:cstheme="minorBidi"/>
      <w:sz w:val="20"/>
    </w:rPr>
  </w:style>
  <w:style w:type="character" w:customStyle="1" w:styleId="EndnoteTextChar">
    <w:name w:val="Endnote Text Char"/>
    <w:basedOn w:val="DefaultParagraphFont"/>
    <w:link w:val="EndnoteText"/>
    <w:uiPriority w:val="99"/>
    <w:semiHidden/>
    <w:rsid w:val="005F4A38"/>
    <w:rPr>
      <w:rFonts w:cstheme="minorBidi"/>
      <w:sz w:val="20"/>
      <w:szCs w:val="20"/>
    </w:rPr>
  </w:style>
  <w:style w:type="character" w:styleId="EndnoteReference">
    <w:name w:val="endnote reference"/>
    <w:basedOn w:val="DefaultParagraphFont"/>
    <w:uiPriority w:val="99"/>
    <w:semiHidden/>
    <w:unhideWhenUsed/>
    <w:rsid w:val="005F4A38"/>
    <w:rPr>
      <w:vertAlign w:val="superscript"/>
    </w:rPr>
  </w:style>
  <w:style w:type="character" w:styleId="CommentReference">
    <w:name w:val="annotation reference"/>
    <w:basedOn w:val="DefaultParagraphFont"/>
    <w:uiPriority w:val="99"/>
    <w:semiHidden/>
    <w:unhideWhenUsed/>
    <w:rsid w:val="005F4A38"/>
    <w:rPr>
      <w:sz w:val="16"/>
      <w:szCs w:val="16"/>
    </w:rPr>
  </w:style>
  <w:style w:type="paragraph" w:styleId="BalloonText">
    <w:name w:val="Balloon Text"/>
    <w:basedOn w:val="Normal"/>
    <w:link w:val="BalloonTextChar"/>
    <w:uiPriority w:val="99"/>
    <w:semiHidden/>
    <w:unhideWhenUsed/>
    <w:rsid w:val="005F4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38"/>
    <w:rPr>
      <w:rFonts w:ascii="Segoe UI" w:eastAsia="Times New Roman" w:hAnsi="Segoe UI" w:cs="Segoe UI"/>
      <w:sz w:val="18"/>
      <w:szCs w:val="18"/>
    </w:rPr>
  </w:style>
  <w:style w:type="paragraph" w:styleId="ListParagraph">
    <w:name w:val="List Paragraph"/>
    <w:basedOn w:val="Normal"/>
    <w:uiPriority w:val="34"/>
    <w:qFormat/>
    <w:rsid w:val="00024343"/>
    <w:pPr>
      <w:ind w:left="720"/>
      <w:contextualSpacing/>
    </w:pPr>
  </w:style>
  <w:style w:type="paragraph" w:styleId="Header">
    <w:name w:val="header"/>
    <w:basedOn w:val="Normal"/>
    <w:link w:val="HeaderChar"/>
    <w:uiPriority w:val="99"/>
    <w:unhideWhenUsed/>
    <w:rsid w:val="001D76B9"/>
    <w:pPr>
      <w:tabs>
        <w:tab w:val="center" w:pos="4680"/>
        <w:tab w:val="right" w:pos="9360"/>
      </w:tabs>
    </w:pPr>
  </w:style>
  <w:style w:type="character" w:customStyle="1" w:styleId="HeaderChar">
    <w:name w:val="Header Char"/>
    <w:basedOn w:val="DefaultParagraphFont"/>
    <w:link w:val="Header"/>
    <w:uiPriority w:val="99"/>
    <w:rsid w:val="001D76B9"/>
    <w:rPr>
      <w:rFonts w:eastAsia="Times New Roman"/>
      <w:szCs w:val="20"/>
    </w:rPr>
  </w:style>
  <w:style w:type="paragraph" w:styleId="Footer">
    <w:name w:val="footer"/>
    <w:basedOn w:val="Normal"/>
    <w:link w:val="FooterChar"/>
    <w:uiPriority w:val="99"/>
    <w:unhideWhenUsed/>
    <w:rsid w:val="001D76B9"/>
    <w:pPr>
      <w:tabs>
        <w:tab w:val="center" w:pos="4680"/>
        <w:tab w:val="right" w:pos="9360"/>
      </w:tabs>
    </w:pPr>
  </w:style>
  <w:style w:type="character" w:customStyle="1" w:styleId="FooterChar">
    <w:name w:val="Footer Char"/>
    <w:basedOn w:val="DefaultParagraphFont"/>
    <w:link w:val="Footer"/>
    <w:uiPriority w:val="99"/>
    <w:rsid w:val="001D76B9"/>
    <w:rPr>
      <w:rFonts w:eastAsia="Times New Roman"/>
      <w:szCs w:val="20"/>
    </w:rPr>
  </w:style>
  <w:style w:type="character" w:styleId="Hyperlink">
    <w:name w:val="Hyperlink"/>
    <w:uiPriority w:val="99"/>
    <w:rsid w:val="000B1A9A"/>
    <w:rPr>
      <w:color w:val="0000FF"/>
      <w:u w:val="single"/>
    </w:rPr>
  </w:style>
  <w:style w:type="paragraph" w:styleId="BodyText">
    <w:name w:val="Body Text"/>
    <w:basedOn w:val="Normal"/>
    <w:link w:val="BodyTextChar"/>
    <w:uiPriority w:val="99"/>
    <w:semiHidden/>
    <w:unhideWhenUsed/>
    <w:rsid w:val="00D1576A"/>
    <w:pPr>
      <w:spacing w:after="120"/>
    </w:pPr>
  </w:style>
  <w:style w:type="character" w:customStyle="1" w:styleId="BodyTextChar">
    <w:name w:val="Body Text Char"/>
    <w:basedOn w:val="DefaultParagraphFont"/>
    <w:link w:val="BodyText"/>
    <w:uiPriority w:val="99"/>
    <w:semiHidden/>
    <w:rsid w:val="00D1576A"/>
    <w:rPr>
      <w:rFonts w:eastAsia="Times New Roman"/>
      <w:szCs w:val="20"/>
    </w:rPr>
  </w:style>
  <w:style w:type="paragraph" w:styleId="CommentSubject">
    <w:name w:val="annotation subject"/>
    <w:basedOn w:val="CommentText"/>
    <w:next w:val="CommentText"/>
    <w:link w:val="CommentSubjectChar"/>
    <w:uiPriority w:val="99"/>
    <w:semiHidden/>
    <w:unhideWhenUsed/>
    <w:rsid w:val="000E514D"/>
    <w:rPr>
      <w:b/>
      <w:bCs/>
    </w:rPr>
  </w:style>
  <w:style w:type="character" w:customStyle="1" w:styleId="CommentSubjectChar">
    <w:name w:val="Comment Subject Char"/>
    <w:basedOn w:val="CommentTextChar"/>
    <w:link w:val="CommentSubject"/>
    <w:uiPriority w:val="99"/>
    <w:semiHidden/>
    <w:rsid w:val="000E514D"/>
    <w:rPr>
      <w:rFonts w:eastAsia="Times New Roman"/>
      <w:b/>
      <w:bCs/>
      <w:sz w:val="20"/>
      <w:szCs w:val="20"/>
    </w:rPr>
  </w:style>
  <w:style w:type="character" w:customStyle="1" w:styleId="Heading2Char">
    <w:name w:val="Heading 2 Char"/>
    <w:basedOn w:val="DefaultParagraphFont"/>
    <w:link w:val="Heading2"/>
    <w:uiPriority w:val="9"/>
    <w:rsid w:val="008C6D7C"/>
    <w:rPr>
      <w:rFonts w:ascii="Times New Roman Bold" w:hAnsi="Times New Roman Bold" w:eastAsiaTheme="majorEastAsia" w:cstheme="majorBidi"/>
      <w:b/>
      <w:szCs w:val="26"/>
    </w:rPr>
  </w:style>
  <w:style w:type="character" w:customStyle="1" w:styleId="Heading1Char">
    <w:name w:val="Heading 1 Char"/>
    <w:basedOn w:val="DefaultParagraphFont"/>
    <w:link w:val="Heading1"/>
    <w:uiPriority w:val="9"/>
    <w:rsid w:val="009018B4"/>
    <w:rPr>
      <w:rFonts w:ascii="Times New Roman Bold" w:hAnsi="Times New Roman Bold" w:cstheme="majorBidi"/>
      <w:b/>
      <w:caps/>
      <w:szCs w:val="32"/>
    </w:rPr>
  </w:style>
  <w:style w:type="paragraph" w:styleId="TOC1">
    <w:name w:val="toc 1"/>
    <w:basedOn w:val="Normal"/>
    <w:next w:val="Normal"/>
    <w:autoRedefine/>
    <w:uiPriority w:val="39"/>
    <w:unhideWhenUsed/>
    <w:qFormat/>
    <w:rsid w:val="00B63D23"/>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B63D23"/>
    <w:pPr>
      <w:tabs>
        <w:tab w:val="decimal" w:leader="dot" w:pos="9360"/>
      </w:tabs>
      <w:spacing w:after="240"/>
      <w:ind w:left="1440" w:hanging="720"/>
    </w:pPr>
  </w:style>
  <w:style w:type="paragraph" w:styleId="NormalWeb">
    <w:name w:val="Normal (Web)"/>
    <w:basedOn w:val="Normal"/>
    <w:uiPriority w:val="99"/>
    <w:semiHidden/>
    <w:unhideWhenUsed/>
    <w:rsid w:val="00142CC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ailto:John.jones@ohioattorneygeneral.gov" TargetMode="External" /><Relationship Id="rId14" Type="http://schemas.openxmlformats.org/officeDocument/2006/relationships/hyperlink" Target="mailto:ccox@elpc.org" TargetMode="External" /><Relationship Id="rId15" Type="http://schemas.openxmlformats.org/officeDocument/2006/relationships/hyperlink" Target="mailto:rkelter@elpc.org" TargetMode="External" /><Relationship Id="rId16" Type="http://schemas.openxmlformats.org/officeDocument/2006/relationships/hyperlink" Target="mailto:trhayslaw@gmail.com" TargetMode="External" /><Relationship Id="rId17" Type="http://schemas.openxmlformats.org/officeDocument/2006/relationships/hyperlink" Target="mailto:leslie.kovacik@toledo.oh.gov" TargetMode="External" /><Relationship Id="rId18" Type="http://schemas.openxmlformats.org/officeDocument/2006/relationships/hyperlink" Target="mailto:bojko@carpenterlipps.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kylercohn@BKLlawfirm.com" TargetMode="External" /><Relationship Id="rId25" Type="http://schemas.openxmlformats.org/officeDocument/2006/relationships/hyperlink" Target="mailto:Gregory.price@puco.ohio.gov" TargetMode="External" /><Relationship Id="rId26" Type="http://schemas.openxmlformats.org/officeDocument/2006/relationships/hyperlink" Target="mailto:Megan.addison@puco.ohio.gov" TargetMode="External" /><Relationship Id="rId27" Type="http://schemas.openxmlformats.org/officeDocument/2006/relationships/hyperlink" Target="mailto:Jacky.stjohn@puco.ohio.gov" TargetMode="External" /><Relationship Id="rId28" Type="http://schemas.openxmlformats.org/officeDocument/2006/relationships/hyperlink" Target="mailto:bknipe@firstenergycorp.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khehmeyer@calfee.com" TargetMode="External" /><Relationship Id="rId31" Type="http://schemas.openxmlformats.org/officeDocument/2006/relationships/hyperlink" Target="mailto:dborchers@bricker.com" TargetMode="External" /><Relationship Id="rId32" Type="http://schemas.openxmlformats.org/officeDocument/2006/relationships/hyperlink" Target="mailto:dparram@bricker.com" TargetMode="External" /><Relationship Id="rId33" Type="http://schemas.openxmlformats.org/officeDocument/2006/relationships/hyperlink" Target="mailto:jspottswood@bricker.com" TargetMode="External" /><Relationship Id="rId34" Type="http://schemas.openxmlformats.org/officeDocument/2006/relationships/hyperlink" Target="mailto:mleppla@theOEC.org" TargetMode="External" /><Relationship Id="rId35" Type="http://schemas.openxmlformats.org/officeDocument/2006/relationships/hyperlink" Target="mailto:tdougherty@theOEC.org" TargetMode="External" /><Relationship Id="rId36" Type="http://schemas.openxmlformats.org/officeDocument/2006/relationships/hyperlink" Target="mailto:ctavenor@theOEC.org" TargetMode="External" /><Relationship Id="rId37" Type="http://schemas.openxmlformats.org/officeDocument/2006/relationships/hyperlink" Target="mailto:rdove@keglerbrown.com" TargetMode="External" /><Relationship Id="rId38" Type="http://schemas.openxmlformats.org/officeDocument/2006/relationships/hyperlink" Target="mailto:mpritchard@mcneeslaw.com" TargetMode="External" /><Relationship Id="rId39" Type="http://schemas.openxmlformats.org/officeDocument/2006/relationships/hyperlink" Target="mailto:rglover@mcneeslaw.com" TargetMode="External" /><Relationship Id="rId4" Type="http://schemas.openxmlformats.org/officeDocument/2006/relationships/fontTable" Target="fontTable.xml" /><Relationship Id="rId40" Type="http://schemas.openxmlformats.org/officeDocument/2006/relationships/header" Target="header2.xml" /><Relationship Id="rId41" Type="http://schemas.openxmlformats.org/officeDocument/2006/relationships/footer" Target="footer5.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0850-7332-4BE2-96FF-C69BF815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Final MC FE Mot. Prot. Order 20-1502.docx  -  Read-Only.docx</vt:lpstr>
    </vt:vector>
  </TitlesOfParts>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2020-11-02T21:41:03Z</dcterms:created>
  <dcterms:modified xsi:type="dcterms:W3CDTF">2020-11-02T21:41:03Z</dcterms:modified>
</cp:coreProperties>
</file>