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55C98" w:rsidRPr="008A0A0E" w:rsidP="00255C98" w14:paraId="4AADDB0A" w14:textId="761AC47F">
      <w:pPr>
        <w:jc w:val="center"/>
        <w:rPr>
          <w:b/>
        </w:rPr>
      </w:pPr>
      <w:r w:rsidRPr="008A0A0E">
        <w:rPr>
          <w:b/>
        </w:rPr>
        <w:t>BEFORE</w:t>
      </w:r>
    </w:p>
    <w:p w:rsidR="00255C98" w:rsidRPr="008A0A0E" w:rsidP="00255C98" w14:paraId="0AB8EC26" w14:textId="77777777">
      <w:pPr>
        <w:jc w:val="center"/>
        <w:rPr>
          <w:b/>
        </w:rPr>
      </w:pPr>
      <w:r w:rsidRPr="008A0A0E">
        <w:rPr>
          <w:b/>
        </w:rPr>
        <w:t>THE PUBLIC UTILITIES COMMISSION OF OHIO</w:t>
      </w:r>
    </w:p>
    <w:p w:rsidR="00255C98" w:rsidRPr="008A0A0E" w:rsidP="00255C98" w14:paraId="7348154A" w14:textId="77777777">
      <w:pPr>
        <w:rPr>
          <w:b/>
        </w:rPr>
      </w:pPr>
    </w:p>
    <w:tbl>
      <w:tblPr>
        <w:tblW w:w="8640" w:type="dxa"/>
        <w:tblLook w:val="01E0"/>
      </w:tblPr>
      <w:tblGrid>
        <w:gridCol w:w="4230"/>
        <w:gridCol w:w="720"/>
        <w:gridCol w:w="3690"/>
      </w:tblGrid>
      <w:tr w14:paraId="32741DC5" w14:textId="77777777" w:rsidTr="00011F5D">
        <w:tblPrEx>
          <w:tblW w:w="8640" w:type="dxa"/>
          <w:tblLook w:val="01E0"/>
        </w:tblPrEx>
        <w:trPr>
          <w:trHeight w:val="807"/>
        </w:trPr>
        <w:tc>
          <w:tcPr>
            <w:tcW w:w="4230" w:type="dxa"/>
            <w:shd w:val="clear" w:color="auto" w:fill="auto"/>
          </w:tcPr>
          <w:p w:rsidR="00255C98" w:rsidRPr="008A0A0E" w:rsidP="00A81647" w14:paraId="2F65AD86" w14:textId="77777777">
            <w:pPr>
              <w:autoSpaceDE w:val="0"/>
              <w:autoSpaceDN w:val="0"/>
              <w:adjustRightInd w:val="0"/>
            </w:pPr>
            <w:r w:rsidRPr="008A0A0E">
              <w:t>In the Matter of the Application of Suburban Natural Gas Company for an Increase in Gas Distribution Rates.</w:t>
            </w:r>
          </w:p>
          <w:p w:rsidR="00255C98" w:rsidRPr="008A0A0E" w:rsidP="00A81647" w14:paraId="6ABEA80C" w14:textId="77777777">
            <w:pPr>
              <w:autoSpaceDE w:val="0"/>
              <w:autoSpaceDN w:val="0"/>
              <w:adjustRightInd w:val="0"/>
            </w:pPr>
          </w:p>
          <w:p w:rsidR="00255C98" w:rsidRPr="008A0A0E" w:rsidP="00A81647" w14:paraId="2F41C14E" w14:textId="77777777">
            <w:pPr>
              <w:autoSpaceDE w:val="0"/>
              <w:autoSpaceDN w:val="0"/>
              <w:adjustRightInd w:val="0"/>
            </w:pPr>
            <w:r w:rsidRPr="008A0A0E">
              <w:t>In the Matter of the Application of Suburban Natural Gas Company for Tariff Approval.</w:t>
            </w:r>
          </w:p>
          <w:p w:rsidR="00255C98" w:rsidRPr="008A0A0E" w:rsidP="00A81647" w14:paraId="08A1AB3A" w14:textId="77777777">
            <w:pPr>
              <w:autoSpaceDE w:val="0"/>
              <w:autoSpaceDN w:val="0"/>
              <w:adjustRightInd w:val="0"/>
            </w:pPr>
          </w:p>
          <w:p w:rsidR="00255C98" w:rsidRPr="008A0A0E" w:rsidP="00A81647" w14:paraId="3D327409" w14:textId="77777777">
            <w:pPr>
              <w:autoSpaceDE w:val="0"/>
              <w:autoSpaceDN w:val="0"/>
              <w:adjustRightInd w:val="0"/>
            </w:pPr>
            <w:r w:rsidRPr="008A0A0E">
              <w:t>In the Matter of the Application of Suburban Natural Gas Company for Approval of Certain Accounting Authority.</w:t>
            </w:r>
          </w:p>
        </w:tc>
        <w:tc>
          <w:tcPr>
            <w:tcW w:w="720" w:type="dxa"/>
            <w:shd w:val="clear" w:color="auto" w:fill="auto"/>
          </w:tcPr>
          <w:p w:rsidR="00255C98" w:rsidRPr="008A0A0E" w:rsidP="00A81647" w14:paraId="539A5E4D"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6420926D"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509E535C"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64F0E29C" w14:textId="77777777">
            <w:pPr>
              <w:pStyle w:val="HTMLPreformatted"/>
              <w:rPr>
                <w:rFonts w:ascii="Times New Roman" w:hAnsi="Times New Roman" w:cs="Times New Roman"/>
                <w:sz w:val="24"/>
                <w:szCs w:val="24"/>
              </w:rPr>
            </w:pPr>
          </w:p>
          <w:p w:rsidR="00255C98" w:rsidRPr="008A0A0E" w:rsidP="00A81647" w14:paraId="083273FC"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129840F3" w14:textId="6ADCDC4F">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FD62BA" w:rsidRPr="008A0A0E" w:rsidP="00A81647" w14:paraId="35FCB86A" w14:textId="3B3B7BC5">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760058CE" w14:textId="77777777">
            <w:pPr>
              <w:pStyle w:val="HTMLPreformatted"/>
              <w:rPr>
                <w:rFonts w:ascii="Times New Roman" w:hAnsi="Times New Roman" w:cs="Times New Roman"/>
                <w:sz w:val="24"/>
                <w:szCs w:val="24"/>
              </w:rPr>
            </w:pPr>
          </w:p>
          <w:p w:rsidR="00255C98" w:rsidRPr="008A0A0E" w:rsidP="00A81647" w14:paraId="065BCF53"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0B2D59A1"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255C98" w:rsidRPr="008A0A0E" w:rsidP="00A81647" w14:paraId="75510F9D"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FD62BA" w:rsidRPr="008A0A0E" w:rsidP="00A81647" w14:paraId="0D3737DA"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w:t>
            </w:r>
          </w:p>
          <w:p w:rsidR="00FD62BA" w:rsidRPr="008A0A0E" w:rsidP="00A81647" w14:paraId="65D42AFC" w14:textId="06372947">
            <w:pPr>
              <w:pStyle w:val="HTMLPreformatted"/>
              <w:rPr>
                <w:rFonts w:ascii="Times New Roman" w:hAnsi="Times New Roman" w:cs="Times New Roman"/>
                <w:sz w:val="24"/>
                <w:szCs w:val="24"/>
              </w:rPr>
            </w:pPr>
          </w:p>
        </w:tc>
        <w:tc>
          <w:tcPr>
            <w:tcW w:w="3690" w:type="dxa"/>
            <w:shd w:val="clear" w:color="auto" w:fill="auto"/>
          </w:tcPr>
          <w:p w:rsidR="00255C98" w:rsidRPr="008A0A0E" w:rsidP="00A81647" w14:paraId="1781F9EA" w14:textId="77777777">
            <w:pPr>
              <w:pStyle w:val="HTMLPreformatted"/>
              <w:rPr>
                <w:rFonts w:ascii="Times New Roman" w:hAnsi="Times New Roman" w:cs="Times New Roman"/>
                <w:sz w:val="24"/>
                <w:szCs w:val="24"/>
              </w:rPr>
            </w:pPr>
          </w:p>
          <w:p w:rsidR="00255C98" w:rsidRPr="008A0A0E" w:rsidP="00A81647" w14:paraId="705D3CDA"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Case No. 18-1205-GA-AIR</w:t>
            </w:r>
          </w:p>
          <w:p w:rsidR="00255C98" w:rsidRPr="008A0A0E" w:rsidP="00A81647" w14:paraId="43F475E6" w14:textId="77777777">
            <w:pPr>
              <w:pStyle w:val="HTMLPreformatted"/>
              <w:rPr>
                <w:rFonts w:ascii="Times New Roman" w:hAnsi="Times New Roman" w:cs="Times New Roman"/>
                <w:sz w:val="24"/>
                <w:szCs w:val="24"/>
              </w:rPr>
            </w:pPr>
          </w:p>
          <w:p w:rsidR="00255C98" w:rsidRPr="008A0A0E" w:rsidP="00A81647" w14:paraId="145BD864" w14:textId="77777777">
            <w:pPr>
              <w:pStyle w:val="HTMLPreformatted"/>
              <w:rPr>
                <w:rFonts w:ascii="Times New Roman" w:hAnsi="Times New Roman" w:cs="Times New Roman"/>
                <w:sz w:val="24"/>
                <w:szCs w:val="24"/>
              </w:rPr>
            </w:pPr>
          </w:p>
          <w:p w:rsidR="003B2E7B" w:rsidRPr="008A0A0E" w:rsidP="00A81647" w14:paraId="1A568958" w14:textId="77777777">
            <w:pPr>
              <w:pStyle w:val="HTMLPreformatted"/>
              <w:rPr>
                <w:rFonts w:ascii="Times New Roman" w:hAnsi="Times New Roman" w:cs="Times New Roman"/>
                <w:sz w:val="24"/>
                <w:szCs w:val="24"/>
              </w:rPr>
            </w:pPr>
          </w:p>
          <w:p w:rsidR="00255C98" w:rsidRPr="008A0A0E" w:rsidP="00A81647" w14:paraId="22893405" w14:textId="503B9F2E">
            <w:pPr>
              <w:pStyle w:val="HTMLPreformatted"/>
              <w:rPr>
                <w:rFonts w:ascii="Times New Roman" w:hAnsi="Times New Roman" w:cs="Times New Roman"/>
                <w:sz w:val="24"/>
                <w:szCs w:val="24"/>
              </w:rPr>
            </w:pPr>
            <w:r w:rsidRPr="008A0A0E">
              <w:rPr>
                <w:rFonts w:ascii="Times New Roman" w:hAnsi="Times New Roman" w:cs="Times New Roman"/>
                <w:sz w:val="24"/>
                <w:szCs w:val="24"/>
              </w:rPr>
              <w:t>Case No. 18-1206-GA-ATA</w:t>
            </w:r>
          </w:p>
          <w:p w:rsidR="00255C98" w:rsidRPr="008A0A0E" w:rsidP="00A81647" w14:paraId="049D666E" w14:textId="77777777">
            <w:pPr>
              <w:pStyle w:val="HTMLPreformatted"/>
              <w:rPr>
                <w:rFonts w:ascii="Times New Roman" w:hAnsi="Times New Roman" w:cs="Times New Roman"/>
                <w:sz w:val="24"/>
                <w:szCs w:val="24"/>
              </w:rPr>
            </w:pPr>
          </w:p>
          <w:p w:rsidR="00255C98" w:rsidRPr="008A0A0E" w:rsidP="00A81647" w14:paraId="256F4FCC" w14:textId="77777777">
            <w:pPr>
              <w:pStyle w:val="HTMLPreformatted"/>
              <w:rPr>
                <w:rFonts w:ascii="Times New Roman" w:hAnsi="Times New Roman" w:cs="Times New Roman"/>
                <w:sz w:val="24"/>
                <w:szCs w:val="24"/>
              </w:rPr>
            </w:pPr>
          </w:p>
          <w:p w:rsidR="00255C98" w:rsidRPr="008A0A0E" w:rsidP="00A81647" w14:paraId="3A5503AD" w14:textId="77777777">
            <w:pPr>
              <w:pStyle w:val="HTMLPreformatted"/>
              <w:rPr>
                <w:rFonts w:ascii="Times New Roman" w:hAnsi="Times New Roman" w:cs="Times New Roman"/>
                <w:sz w:val="24"/>
                <w:szCs w:val="24"/>
              </w:rPr>
            </w:pPr>
          </w:p>
          <w:p w:rsidR="00255C98" w:rsidRPr="008A0A0E" w:rsidP="00A81647" w14:paraId="6A7AD106" w14:textId="77777777">
            <w:pPr>
              <w:pStyle w:val="HTMLPreformatted"/>
              <w:rPr>
                <w:rFonts w:ascii="Times New Roman" w:hAnsi="Times New Roman" w:cs="Times New Roman"/>
                <w:sz w:val="24"/>
                <w:szCs w:val="24"/>
              </w:rPr>
            </w:pPr>
            <w:r w:rsidRPr="008A0A0E">
              <w:rPr>
                <w:rFonts w:ascii="Times New Roman" w:hAnsi="Times New Roman" w:cs="Times New Roman"/>
                <w:sz w:val="24"/>
                <w:szCs w:val="24"/>
              </w:rPr>
              <w:t>Case No. 18-1207-GA-AAM</w:t>
            </w:r>
          </w:p>
          <w:p w:rsidR="00255C98" w:rsidRPr="008A0A0E" w:rsidP="00A81647" w14:paraId="04B1B078" w14:textId="77777777">
            <w:pPr>
              <w:pStyle w:val="HTMLPreformatted"/>
              <w:rPr>
                <w:rFonts w:ascii="Times New Roman" w:hAnsi="Times New Roman" w:cs="Times New Roman"/>
                <w:sz w:val="24"/>
                <w:szCs w:val="24"/>
              </w:rPr>
            </w:pPr>
          </w:p>
          <w:p w:rsidR="00255C98" w:rsidRPr="008A0A0E" w:rsidP="00A81647" w14:paraId="2FCBA48A" w14:textId="77777777">
            <w:pPr>
              <w:pStyle w:val="HTMLPreformatted"/>
              <w:rPr>
                <w:rFonts w:ascii="Times New Roman" w:hAnsi="Times New Roman" w:cs="Times New Roman"/>
                <w:sz w:val="24"/>
                <w:szCs w:val="24"/>
              </w:rPr>
            </w:pPr>
          </w:p>
        </w:tc>
      </w:tr>
    </w:tbl>
    <w:p w:rsidR="00255C98" w:rsidRPr="008A0A0E" w:rsidP="00255C98" w14:paraId="2BA6EE07" w14:textId="77777777">
      <w:pPr>
        <w:pBdr>
          <w:top w:val="single" w:sz="12" w:space="0" w:color="auto"/>
        </w:pBdr>
        <w:tabs>
          <w:tab w:val="left" w:pos="-720"/>
        </w:tabs>
        <w:suppressAutoHyphens/>
        <w:jc w:val="center"/>
        <w:rPr>
          <w:b/>
          <w:bCs/>
          <w:spacing w:val="-3"/>
        </w:rPr>
      </w:pPr>
    </w:p>
    <w:p w:rsidR="00255C98" w:rsidRPr="008A0A0E" w:rsidP="008A0A0E" w14:paraId="3E0645C1" w14:textId="13AD769A">
      <w:pPr>
        <w:tabs>
          <w:tab w:val="left" w:pos="4770"/>
          <w:tab w:val="left" w:pos="6480"/>
        </w:tabs>
        <w:jc w:val="center"/>
        <w:rPr>
          <w:b/>
        </w:rPr>
      </w:pPr>
      <w:r w:rsidRPr="008A0A0E">
        <w:rPr>
          <w:b/>
        </w:rPr>
        <w:t xml:space="preserve">REPLY TO SUBURBAN’S MEMORANDUM CONTRA </w:t>
      </w:r>
      <w:r w:rsidRPr="008A0A0E" w:rsidR="009A1C35">
        <w:rPr>
          <w:b/>
        </w:rPr>
        <w:t>OCC’S</w:t>
      </w:r>
      <w:r w:rsidR="008A0A0E">
        <w:rPr>
          <w:b/>
        </w:rPr>
        <w:t xml:space="preserve"> </w:t>
      </w:r>
      <w:r w:rsidRPr="008A0A0E" w:rsidR="00F07B79">
        <w:rPr>
          <w:b/>
        </w:rPr>
        <w:t>OBJECTION</w:t>
      </w:r>
      <w:r w:rsidRPr="008A0A0E" w:rsidR="00AD5926">
        <w:rPr>
          <w:b/>
        </w:rPr>
        <w:t>S</w:t>
      </w:r>
      <w:r w:rsidRPr="008A0A0E" w:rsidR="00F07B79">
        <w:rPr>
          <w:b/>
        </w:rPr>
        <w:t xml:space="preserve"> TO SUBURBAN’S NON-COMPLIANT TARIFFS</w:t>
      </w:r>
    </w:p>
    <w:p w:rsidR="00255C98" w:rsidRPr="008A0A0E" w:rsidP="00255C98" w14:paraId="11AED455" w14:textId="77777777">
      <w:pPr>
        <w:tabs>
          <w:tab w:val="left" w:pos="4770"/>
          <w:tab w:val="left" w:pos="6480"/>
        </w:tabs>
        <w:jc w:val="center"/>
        <w:rPr>
          <w:b/>
        </w:rPr>
      </w:pPr>
      <w:r w:rsidRPr="008A0A0E">
        <w:rPr>
          <w:b/>
        </w:rPr>
        <w:t>BY</w:t>
      </w:r>
    </w:p>
    <w:p w:rsidR="00255C98" w:rsidRPr="008A0A0E" w:rsidP="00255C98" w14:paraId="7B1484D6" w14:textId="77777777">
      <w:pPr>
        <w:tabs>
          <w:tab w:val="left" w:pos="4770"/>
          <w:tab w:val="left" w:pos="6480"/>
        </w:tabs>
        <w:jc w:val="center"/>
        <w:rPr>
          <w:b/>
        </w:rPr>
      </w:pPr>
      <w:r w:rsidRPr="008A0A0E">
        <w:rPr>
          <w:b/>
        </w:rPr>
        <w:t>OFFICE OF THE OHIO CONSUMERS’ COUNSEL</w:t>
      </w:r>
    </w:p>
    <w:p w:rsidR="00255C98" w:rsidRPr="008A0A0E" w:rsidP="00255C98" w14:paraId="5D38FC47" w14:textId="77777777">
      <w:pPr>
        <w:pBdr>
          <w:bottom w:val="single" w:sz="12" w:space="1" w:color="auto"/>
        </w:pBdr>
        <w:tabs>
          <w:tab w:val="left" w:pos="-720"/>
        </w:tabs>
        <w:suppressAutoHyphens/>
        <w:jc w:val="center"/>
        <w:rPr>
          <w:b/>
          <w:bCs/>
          <w:spacing w:val="-3"/>
        </w:rPr>
      </w:pPr>
    </w:p>
    <w:p w:rsidR="00255C98" w:rsidRPr="008A0A0E" w:rsidP="00255C98" w14:paraId="6E33176B" w14:textId="77777777">
      <w:pPr>
        <w:jc w:val="center"/>
        <w:rPr>
          <w:b/>
        </w:rPr>
      </w:pPr>
    </w:p>
    <w:p w:rsidR="00591DB2" w:rsidRPr="008A0A0E" w:rsidP="003144C6" w14:paraId="37416F69" w14:textId="1530C7C0">
      <w:pPr>
        <w:pStyle w:val="Heading1"/>
      </w:pPr>
      <w:r>
        <w:t>I.</w:t>
      </w:r>
      <w:r>
        <w:tab/>
      </w:r>
      <w:r w:rsidRPr="008A0A0E">
        <w:t>INTRODUCTION</w:t>
      </w:r>
    </w:p>
    <w:p w:rsidR="008A0A0E" w:rsidP="00DF7233" w14:paraId="68E4FDFC" w14:textId="4137BA68">
      <w:pPr>
        <w:spacing w:line="480" w:lineRule="auto"/>
        <w:ind w:firstLine="720"/>
        <w:sectPr w:rsidSect="007A1A74">
          <w:footerReference w:type="default" r:id="rId6"/>
          <w:footerReference w:type="first" r:id="rId7"/>
          <w:pgSz w:w="12240" w:h="15840"/>
          <w:pgMar w:top="1440" w:right="1800" w:bottom="1440" w:left="1800" w:header="720" w:footer="720" w:gutter="0"/>
          <w:cols w:space="720"/>
          <w:titlePg/>
          <w:docGrid w:linePitch="360"/>
        </w:sectPr>
      </w:pPr>
      <w:r w:rsidRPr="008A0A0E">
        <w:rPr>
          <w:bCs/>
        </w:rPr>
        <w:t>Suburban Natural Gas Company</w:t>
      </w:r>
      <w:r w:rsidRPr="008A0A0E" w:rsidR="00505527">
        <w:rPr>
          <w:bCs/>
        </w:rPr>
        <w:t xml:space="preserve"> (“Suburban”)</w:t>
      </w:r>
      <w:r w:rsidRPr="008A0A0E">
        <w:rPr>
          <w:bCs/>
        </w:rPr>
        <w:t>, through its counsel, has launched a</w:t>
      </w:r>
      <w:r w:rsidRPr="008A0A0E" w:rsidR="001A107D">
        <w:rPr>
          <w:bCs/>
        </w:rPr>
        <w:t>n u</w:t>
      </w:r>
      <w:r w:rsidRPr="008A0A0E" w:rsidR="007052F3">
        <w:rPr>
          <w:bCs/>
        </w:rPr>
        <w:t>nwarranted</w:t>
      </w:r>
      <w:r w:rsidRPr="008A0A0E" w:rsidR="003D387E">
        <w:rPr>
          <w:bCs/>
        </w:rPr>
        <w:t xml:space="preserve"> </w:t>
      </w:r>
      <w:r w:rsidRPr="008A0A0E">
        <w:rPr>
          <w:bCs/>
        </w:rPr>
        <w:t>attack</w:t>
      </w:r>
      <w:r>
        <w:rPr>
          <w:rStyle w:val="FootnoteReference"/>
          <w:bCs/>
        </w:rPr>
        <w:footnoteReference w:id="2"/>
      </w:r>
      <w:r w:rsidRPr="008A0A0E">
        <w:rPr>
          <w:bCs/>
        </w:rPr>
        <w:t xml:space="preserve"> on </w:t>
      </w:r>
      <w:r w:rsidRPr="008A0A0E" w:rsidR="00505527">
        <w:rPr>
          <w:bCs/>
        </w:rPr>
        <w:t xml:space="preserve">the OCC </w:t>
      </w:r>
      <w:r w:rsidRPr="008A0A0E" w:rsidR="003D387E">
        <w:rPr>
          <w:bCs/>
        </w:rPr>
        <w:t xml:space="preserve">because it </w:t>
      </w:r>
      <w:r w:rsidRPr="008A0A0E" w:rsidR="00505527">
        <w:rPr>
          <w:bCs/>
        </w:rPr>
        <w:t>fil</w:t>
      </w:r>
      <w:r w:rsidRPr="008A0A0E" w:rsidR="003D387E">
        <w:rPr>
          <w:bCs/>
        </w:rPr>
        <w:t>ed</w:t>
      </w:r>
      <w:r w:rsidRPr="008A0A0E" w:rsidR="00505527">
        <w:rPr>
          <w:bCs/>
        </w:rPr>
        <w:t xml:space="preserve"> </w:t>
      </w:r>
      <w:r w:rsidRPr="008A0A0E" w:rsidR="001A107D">
        <w:rPr>
          <w:bCs/>
        </w:rPr>
        <w:t>O</w:t>
      </w:r>
      <w:r w:rsidRPr="008A0A0E" w:rsidR="00505527">
        <w:rPr>
          <w:bCs/>
        </w:rPr>
        <w:t>bjection</w:t>
      </w:r>
      <w:r w:rsidRPr="008A0A0E" w:rsidR="001A107D">
        <w:rPr>
          <w:bCs/>
        </w:rPr>
        <w:t>s</w:t>
      </w:r>
      <w:r>
        <w:rPr>
          <w:rStyle w:val="FootnoteReference"/>
          <w:bCs/>
        </w:rPr>
        <w:footnoteReference w:id="3"/>
      </w:r>
      <w:r w:rsidRPr="008A0A0E" w:rsidR="00505527">
        <w:rPr>
          <w:bCs/>
        </w:rPr>
        <w:t xml:space="preserve"> to Suburban’s March 4, 2022 tariffs.</w:t>
      </w:r>
      <w:r w:rsidRPr="008A0A0E" w:rsidR="00A506D5">
        <w:rPr>
          <w:bCs/>
        </w:rPr>
        <w:t xml:space="preserve"> Subur</w:t>
      </w:r>
      <w:r w:rsidRPr="008A0A0E" w:rsidR="008C3797">
        <w:rPr>
          <w:bCs/>
        </w:rPr>
        <w:t xml:space="preserve">ban’s </w:t>
      </w:r>
      <w:r w:rsidRPr="008A0A0E" w:rsidR="005B1535">
        <w:rPr>
          <w:bCs/>
        </w:rPr>
        <w:t>harangue against</w:t>
      </w:r>
      <w:r w:rsidRPr="008A0A0E" w:rsidR="000A4BF0">
        <w:rPr>
          <w:bCs/>
        </w:rPr>
        <w:t xml:space="preserve"> OCC is </w:t>
      </w:r>
      <w:r w:rsidRPr="008A0A0E" w:rsidR="007052F3">
        <w:rPr>
          <w:bCs/>
        </w:rPr>
        <w:t>misplaced and appears to be little</w:t>
      </w:r>
      <w:r w:rsidRPr="008A0A0E" w:rsidR="000A4BF0">
        <w:rPr>
          <w:bCs/>
        </w:rPr>
        <w:t xml:space="preserve"> more than a</w:t>
      </w:r>
      <w:r w:rsidRPr="008A0A0E" w:rsidR="005B1535">
        <w:rPr>
          <w:bCs/>
        </w:rPr>
        <w:t>n</w:t>
      </w:r>
      <w:r w:rsidRPr="008A0A0E" w:rsidR="000A4BF0">
        <w:rPr>
          <w:bCs/>
        </w:rPr>
        <w:t xml:space="preserve"> attempt by Suburban to bully OCC from advocating for consumers</w:t>
      </w:r>
      <w:r w:rsidRPr="008A0A0E" w:rsidR="007052F3">
        <w:rPr>
          <w:bCs/>
        </w:rPr>
        <w:t>.</w:t>
      </w:r>
      <w:r w:rsidRPr="008A0A0E" w:rsidR="00BF3EEC">
        <w:t xml:space="preserve"> </w:t>
      </w:r>
      <w:r w:rsidRPr="008A0A0E" w:rsidR="0020245C">
        <w:t>But we</w:t>
      </w:r>
      <w:r w:rsidRPr="008A0A0E" w:rsidR="00BF3EEC">
        <w:t xml:space="preserve"> will advocate for consumers. There </w:t>
      </w:r>
      <w:r w:rsidRPr="008A0A0E" w:rsidR="00036EEF">
        <w:t>has been</w:t>
      </w:r>
      <w:r w:rsidRPr="008A0A0E" w:rsidR="00BF3EEC">
        <w:t xml:space="preserve"> good reason to do so</w:t>
      </w:r>
      <w:r w:rsidRPr="008A0A0E" w:rsidR="00036EEF">
        <w:t xml:space="preserve"> in these cases</w:t>
      </w:r>
      <w:r w:rsidRPr="008A0A0E" w:rsidR="00BF3EEC">
        <w:t>. One might never imagine from Suburban’s hubris that it just lost an appeal in the</w:t>
      </w:r>
      <w:r>
        <w:t xml:space="preserve"> </w:t>
      </w:r>
      <w:r w:rsidRPr="008A0A0E" w:rsidR="00BF3EEC">
        <w:t>Supreme Court</w:t>
      </w:r>
      <w:r>
        <w:t xml:space="preserve"> of Ohio</w:t>
      </w:r>
      <w:r w:rsidRPr="008A0A0E" w:rsidR="00BF3EEC">
        <w:t xml:space="preserve"> for overcharging consumers for a pipeline</w:t>
      </w:r>
      <w:r w:rsidRPr="008A0A0E" w:rsidR="00036EEF">
        <w:t>. The real aggrieved interest is OCC and the consumers we represented in the appeal. The PUCO should not indulge Suburban’s</w:t>
      </w:r>
    </w:p>
    <w:p w:rsidR="008A67B8" w:rsidRPr="008A0A0E" w:rsidP="008A0A0E" w14:paraId="2ABFF776" w14:textId="4C7E1D2B">
      <w:pPr>
        <w:spacing w:line="480" w:lineRule="auto"/>
        <w:rPr>
          <w:bCs/>
        </w:rPr>
      </w:pPr>
      <w:r w:rsidRPr="008A0A0E">
        <w:t xml:space="preserve">acting as the victim. </w:t>
      </w:r>
      <w:r w:rsidRPr="008A0A0E" w:rsidR="007052F3">
        <w:rPr>
          <w:bCs/>
        </w:rPr>
        <w:t>T</w:t>
      </w:r>
      <w:r w:rsidRPr="008A0A0E" w:rsidR="000A4BF0">
        <w:rPr>
          <w:bCs/>
        </w:rPr>
        <w:t>he PUCO should reject Suburban’s baseless arguments.</w:t>
      </w:r>
      <w:r w:rsidRPr="008A0A0E" w:rsidR="000D20E2">
        <w:rPr>
          <w:bCs/>
        </w:rPr>
        <w:t xml:space="preserve"> The PUCO should continue to give consumers the protection of the Supreme Court’s reversal.</w:t>
      </w:r>
      <w:r w:rsidRPr="008A0A0E" w:rsidR="00725879">
        <w:rPr>
          <w:bCs/>
        </w:rPr>
        <w:t xml:space="preserve"> </w:t>
      </w:r>
    </w:p>
    <w:p w:rsidR="00591DB2" w:rsidRPr="008A0A0E" w:rsidP="008A67B8" w14:paraId="24AB0230" w14:textId="712CB284">
      <w:pPr>
        <w:spacing w:line="480" w:lineRule="auto"/>
        <w:ind w:firstLine="720"/>
        <w:rPr>
          <w:b/>
        </w:rPr>
      </w:pPr>
      <w:r w:rsidRPr="008A0A0E">
        <w:rPr>
          <w:bCs/>
        </w:rPr>
        <w:t>Suburban</w:t>
      </w:r>
      <w:r w:rsidRPr="008A0A0E" w:rsidR="007052F3">
        <w:rPr>
          <w:bCs/>
        </w:rPr>
        <w:t xml:space="preserve"> also</w:t>
      </w:r>
      <w:r w:rsidRPr="008A0A0E">
        <w:rPr>
          <w:bCs/>
        </w:rPr>
        <w:t xml:space="preserve"> claims that </w:t>
      </w:r>
      <w:r w:rsidRPr="008A0A0E" w:rsidR="00725879">
        <w:rPr>
          <w:bCs/>
        </w:rPr>
        <w:t xml:space="preserve">OCC’s </w:t>
      </w:r>
      <w:r w:rsidRPr="008A0A0E" w:rsidR="001A107D">
        <w:rPr>
          <w:bCs/>
        </w:rPr>
        <w:t>O</w:t>
      </w:r>
      <w:r w:rsidRPr="008A0A0E" w:rsidR="00725879">
        <w:rPr>
          <w:bCs/>
        </w:rPr>
        <w:t>bjections</w:t>
      </w:r>
      <w:r w:rsidRPr="008A0A0E">
        <w:rPr>
          <w:bCs/>
        </w:rPr>
        <w:t xml:space="preserve"> are a “</w:t>
      </w:r>
      <w:r w:rsidRPr="008A0A0E" w:rsidR="00725879">
        <w:rPr>
          <w:bCs/>
        </w:rPr>
        <w:t>procedurally improper</w:t>
      </w:r>
      <w:r w:rsidRPr="008A0A0E">
        <w:rPr>
          <w:bCs/>
        </w:rPr>
        <w:t>”</w:t>
      </w:r>
      <w:r w:rsidRPr="008A0A0E" w:rsidR="00725879">
        <w:rPr>
          <w:bCs/>
        </w:rPr>
        <w:t xml:space="preserve"> motion</w:t>
      </w:r>
      <w:r w:rsidRPr="008A0A0E" w:rsidR="007052F3">
        <w:rPr>
          <w:bCs/>
        </w:rPr>
        <w:t>. Th</w:t>
      </w:r>
      <w:r w:rsidRPr="008A0A0E">
        <w:rPr>
          <w:bCs/>
        </w:rPr>
        <w:t>ey are</w:t>
      </w:r>
      <w:r w:rsidRPr="008A0A0E" w:rsidR="00725879">
        <w:rPr>
          <w:bCs/>
        </w:rPr>
        <w:t xml:space="preserve"> not.</w:t>
      </w:r>
      <w:r w:rsidRPr="008A0A0E" w:rsidR="003D387E">
        <w:rPr>
          <w:bCs/>
        </w:rPr>
        <w:t xml:space="preserve"> </w:t>
      </w:r>
      <w:r w:rsidRPr="008A0A0E" w:rsidR="007052F3">
        <w:rPr>
          <w:bCs/>
        </w:rPr>
        <w:t>But</w:t>
      </w:r>
      <w:r w:rsidRPr="008A0A0E">
        <w:rPr>
          <w:bCs/>
        </w:rPr>
        <w:t xml:space="preserve"> be</w:t>
      </w:r>
      <w:r w:rsidRPr="008A0A0E" w:rsidR="007373A0">
        <w:rPr>
          <w:bCs/>
        </w:rPr>
        <w:t>cause Suburban wrongly construes OCC’s Objections as a “motion,” Suburban has styled its March 25, 2022 attack on OCC as a “memorandum contra</w:t>
      </w:r>
      <w:r w:rsidRPr="008A0A0E" w:rsidR="00277CDF">
        <w:rPr>
          <w:bCs/>
        </w:rPr>
        <w:t>.</w:t>
      </w:r>
      <w:r w:rsidRPr="008A0A0E" w:rsidR="007373A0">
        <w:rPr>
          <w:bCs/>
        </w:rPr>
        <w:t>”</w:t>
      </w:r>
      <w:r w:rsidRPr="008A0A0E" w:rsidR="00277CDF">
        <w:rPr>
          <w:bCs/>
        </w:rPr>
        <w:t xml:space="preserve"> </w:t>
      </w:r>
      <w:r w:rsidRPr="008A0A0E" w:rsidR="007373A0">
        <w:rPr>
          <w:bCs/>
        </w:rPr>
        <w:t xml:space="preserve">OCC now </w:t>
      </w:r>
      <w:r w:rsidRPr="008A0A0E" w:rsidR="007373A0">
        <w:rPr>
          <w:b/>
        </w:rPr>
        <w:t>replies.</w:t>
      </w:r>
    </w:p>
    <w:p w:rsidR="00DF7233" w:rsidP="008A67B8" w14:paraId="5AC952FC" w14:textId="2F9B870F">
      <w:pPr>
        <w:spacing w:line="480" w:lineRule="auto"/>
        <w:ind w:firstLine="720"/>
        <w:rPr>
          <w:bCs/>
        </w:rPr>
      </w:pPr>
      <w:r w:rsidRPr="008A0A0E">
        <w:rPr>
          <w:bCs/>
        </w:rPr>
        <w:t>Suburban’s memorandum contra contains motions to strike OCC’s Objections and for sanctions against OCC. OCC will respond separately to those motions in the time allowed by O.A.C. 4901-1-12(B)(1).</w:t>
      </w:r>
    </w:p>
    <w:p w:rsidR="00BB6176" w:rsidRPr="008A0A0E" w:rsidP="00BB6176" w14:paraId="7C991C31" w14:textId="77777777">
      <w:pPr>
        <w:ind w:firstLine="720"/>
        <w:rPr>
          <w:b/>
        </w:rPr>
      </w:pPr>
    </w:p>
    <w:p w:rsidR="00901811" w:rsidRPr="008A0A0E" w:rsidP="00BB6176" w14:paraId="6F2CAF26" w14:textId="37365188">
      <w:pPr>
        <w:pStyle w:val="Heading1"/>
      </w:pPr>
      <w:r>
        <w:t>II.</w:t>
      </w:r>
      <w:r>
        <w:tab/>
      </w:r>
      <w:r w:rsidRPr="008A0A0E" w:rsidR="00591DB2">
        <w:t>REPLY</w:t>
      </w:r>
      <w:r w:rsidR="008A0A0E">
        <w:t xml:space="preserve"> </w:t>
      </w:r>
    </w:p>
    <w:p w:rsidR="005400FA" w:rsidRPr="008A0A0E" w:rsidP="005400FA" w14:paraId="5D38B376" w14:textId="244F9D64">
      <w:pPr>
        <w:spacing w:line="480" w:lineRule="auto"/>
        <w:ind w:firstLine="720"/>
        <w:rPr>
          <w:bCs/>
        </w:rPr>
      </w:pPr>
      <w:r w:rsidRPr="008A0A0E">
        <w:rPr>
          <w:bCs/>
        </w:rPr>
        <w:t>OCC’s Objections concern Suburban’s tariffs filed with the PUCO on March 4, 2</w:t>
      </w:r>
      <w:r w:rsidRPr="008A0A0E" w:rsidR="00C6031A">
        <w:rPr>
          <w:bCs/>
        </w:rPr>
        <w:t>022</w:t>
      </w:r>
      <w:r w:rsidRPr="008A0A0E" w:rsidR="000845B8">
        <w:rPr>
          <w:bCs/>
        </w:rPr>
        <w:t>. This tariff filing follows</w:t>
      </w:r>
      <w:r w:rsidRPr="008A0A0E" w:rsidR="00C6031A">
        <w:rPr>
          <w:bCs/>
        </w:rPr>
        <w:t xml:space="preserve"> the Supreme Court</w:t>
      </w:r>
      <w:r w:rsidRPr="008A0A0E" w:rsidR="00DF53FA">
        <w:rPr>
          <w:bCs/>
        </w:rPr>
        <w:t xml:space="preserve"> of Ohio</w:t>
      </w:r>
      <w:r w:rsidRPr="008A0A0E" w:rsidR="00C6031A">
        <w:rPr>
          <w:bCs/>
        </w:rPr>
        <w:t xml:space="preserve">’s decision to reverse and remand </w:t>
      </w:r>
      <w:r w:rsidRPr="008A0A0E" w:rsidR="007052F3">
        <w:rPr>
          <w:bCs/>
        </w:rPr>
        <w:t>a</w:t>
      </w:r>
      <w:r w:rsidRPr="008A0A0E" w:rsidR="00C6031A">
        <w:rPr>
          <w:bCs/>
        </w:rPr>
        <w:t xml:space="preserve"> </w:t>
      </w:r>
      <w:r w:rsidRPr="008A0A0E" w:rsidR="000845B8">
        <w:rPr>
          <w:bCs/>
        </w:rPr>
        <w:t xml:space="preserve">previous </w:t>
      </w:r>
      <w:r w:rsidRPr="008A0A0E" w:rsidR="007052F3">
        <w:rPr>
          <w:bCs/>
        </w:rPr>
        <w:t xml:space="preserve">PUCO </w:t>
      </w:r>
      <w:r w:rsidRPr="008A0A0E" w:rsidR="00C6031A">
        <w:rPr>
          <w:bCs/>
        </w:rPr>
        <w:t xml:space="preserve">order </w:t>
      </w:r>
      <w:r w:rsidRPr="008A0A0E" w:rsidR="000845B8">
        <w:rPr>
          <w:bCs/>
        </w:rPr>
        <w:t>finding</w:t>
      </w:r>
      <w:r w:rsidRPr="008A0A0E" w:rsidR="00C6031A">
        <w:rPr>
          <w:bCs/>
        </w:rPr>
        <w:t xml:space="preserve"> that 4.9 miles of Suburban pipeline</w:t>
      </w:r>
      <w:r w:rsidRPr="008A0A0E" w:rsidR="00E626A9">
        <w:rPr>
          <w:bCs/>
        </w:rPr>
        <w:t xml:space="preserve"> extension</w:t>
      </w:r>
      <w:r w:rsidRPr="008A0A0E" w:rsidR="00C6031A">
        <w:rPr>
          <w:bCs/>
        </w:rPr>
        <w:t xml:space="preserve"> was “used and useful” as of the date certain in Suburban’s application to increase </w:t>
      </w:r>
      <w:r w:rsidRPr="008A0A0E" w:rsidR="00A57245">
        <w:rPr>
          <w:bCs/>
        </w:rPr>
        <w:t>rates</w:t>
      </w:r>
      <w:r w:rsidRPr="008A0A0E" w:rsidR="00C6031A">
        <w:rPr>
          <w:bCs/>
        </w:rPr>
        <w:t xml:space="preserve"> to consumers.</w:t>
      </w:r>
      <w:r>
        <w:rPr>
          <w:rStyle w:val="FootnoteReference"/>
          <w:bCs/>
        </w:rPr>
        <w:footnoteReference w:id="4"/>
      </w:r>
      <w:r w:rsidRPr="008A0A0E" w:rsidR="00C6031A">
        <w:rPr>
          <w:bCs/>
        </w:rPr>
        <w:t xml:space="preserve"> In </w:t>
      </w:r>
      <w:r w:rsidRPr="008A0A0E" w:rsidR="007052F3">
        <w:rPr>
          <w:bCs/>
        </w:rPr>
        <w:t>a</w:t>
      </w:r>
      <w:r w:rsidRPr="008A0A0E" w:rsidR="00B7184A">
        <w:rPr>
          <w:bCs/>
        </w:rPr>
        <w:t xml:space="preserve"> </w:t>
      </w:r>
      <w:r w:rsidRPr="008A0A0E" w:rsidR="00B504FB">
        <w:rPr>
          <w:bCs/>
        </w:rPr>
        <w:t>February 23, 2022</w:t>
      </w:r>
      <w:r w:rsidRPr="008A0A0E" w:rsidR="00B7184A">
        <w:rPr>
          <w:bCs/>
        </w:rPr>
        <w:t xml:space="preserve"> Order on Remand</w:t>
      </w:r>
      <w:r w:rsidRPr="008A0A0E" w:rsidR="00B504FB">
        <w:rPr>
          <w:bCs/>
        </w:rPr>
        <w:t>,</w:t>
      </w:r>
      <w:r w:rsidRPr="008A0A0E">
        <w:rPr>
          <w:bCs/>
        </w:rPr>
        <w:t xml:space="preserve"> the PUCO</w:t>
      </w:r>
      <w:r w:rsidRPr="008A0A0E" w:rsidR="00B504FB">
        <w:rPr>
          <w:bCs/>
        </w:rPr>
        <w:t xml:space="preserve"> </w:t>
      </w:r>
      <w:r w:rsidRPr="008A0A0E" w:rsidR="00671CDA">
        <w:rPr>
          <w:bCs/>
        </w:rPr>
        <w:t xml:space="preserve">directed Suburban to </w:t>
      </w:r>
      <w:r w:rsidRPr="008A0A0E" w:rsidR="00A53058">
        <w:rPr>
          <w:bCs/>
        </w:rPr>
        <w:t xml:space="preserve">file revised tariffs and </w:t>
      </w:r>
      <w:r w:rsidRPr="008A0A0E" w:rsidR="00051290">
        <w:rPr>
          <w:bCs/>
        </w:rPr>
        <w:t>“</w:t>
      </w:r>
      <w:r w:rsidRPr="008A0A0E" w:rsidR="000C5782">
        <w:t>to issue a refund to customers for any amounts collected as of September 21, 2021, that included costs associated with more than 2.0 miles of the 4.9-mile DEL-MAR pipeline extension.”</w:t>
      </w:r>
      <w:r>
        <w:rPr>
          <w:rStyle w:val="FootnoteReference"/>
          <w:bCs/>
        </w:rPr>
        <w:footnoteReference w:id="5"/>
      </w:r>
      <w:r w:rsidRPr="008A0A0E" w:rsidR="00011F5D">
        <w:t xml:space="preserve"> </w:t>
      </w:r>
      <w:r w:rsidRPr="008A0A0E">
        <w:rPr>
          <w:bCs/>
        </w:rPr>
        <w:tab/>
      </w:r>
    </w:p>
    <w:p w:rsidR="005400FA" w:rsidRPr="008A0A0E" w:rsidP="0047041B" w14:paraId="5765ADA3" w14:textId="286260B1">
      <w:pPr>
        <w:spacing w:line="480" w:lineRule="auto"/>
        <w:ind w:firstLine="720"/>
        <w:rPr>
          <w:bCs/>
        </w:rPr>
      </w:pPr>
      <w:r w:rsidRPr="008A0A0E">
        <w:rPr>
          <w:bCs/>
        </w:rPr>
        <w:t xml:space="preserve">OCC’s Objections </w:t>
      </w:r>
      <w:r w:rsidRPr="008A0A0E" w:rsidR="007052F3">
        <w:rPr>
          <w:bCs/>
        </w:rPr>
        <w:t>expressly</w:t>
      </w:r>
      <w:r w:rsidRPr="008A0A0E">
        <w:rPr>
          <w:bCs/>
        </w:rPr>
        <w:t xml:space="preserve"> state that Suburban’s tariffs reflect the $33.59 per month residential customer service charge </w:t>
      </w:r>
      <w:r w:rsidRPr="008A0A0E" w:rsidR="007748DB">
        <w:rPr>
          <w:bCs/>
        </w:rPr>
        <w:t>as required by the Order on Remand.</w:t>
      </w:r>
      <w:r>
        <w:rPr>
          <w:rStyle w:val="FootnoteReference"/>
          <w:bCs/>
        </w:rPr>
        <w:footnoteReference w:id="6"/>
      </w:r>
      <w:r w:rsidRPr="008A0A0E">
        <w:rPr>
          <w:bCs/>
        </w:rPr>
        <w:t xml:space="preserve"> </w:t>
      </w:r>
      <w:r w:rsidRPr="008A0A0E">
        <w:rPr>
          <w:bCs/>
        </w:rPr>
        <w:t>However,</w:t>
      </w:r>
      <w:r w:rsidRPr="008A0A0E" w:rsidR="00211445">
        <w:rPr>
          <w:bCs/>
        </w:rPr>
        <w:t xml:space="preserve"> OCC objected to</w:t>
      </w:r>
      <w:r w:rsidRPr="008A0A0E">
        <w:rPr>
          <w:bCs/>
        </w:rPr>
        <w:t xml:space="preserve"> the tariffs </w:t>
      </w:r>
      <w:r w:rsidRPr="008A0A0E" w:rsidR="00211445">
        <w:rPr>
          <w:bCs/>
        </w:rPr>
        <w:t xml:space="preserve">to the extent that they </w:t>
      </w:r>
      <w:r w:rsidRPr="008A0A0E">
        <w:rPr>
          <w:bCs/>
        </w:rPr>
        <w:t>do not reflect the credit back to consumers for amounts previously charged by Suburban for costs associated with more than 2.0 miles of pipeline.</w:t>
      </w:r>
      <w:r>
        <w:rPr>
          <w:rStyle w:val="FootnoteReference"/>
          <w:bCs/>
        </w:rPr>
        <w:footnoteReference w:id="7"/>
      </w:r>
    </w:p>
    <w:p w:rsidR="001D608B" w:rsidRPr="008A0A0E" w:rsidP="0047041B" w14:paraId="32656033" w14:textId="17EC1145">
      <w:pPr>
        <w:spacing w:line="480" w:lineRule="auto"/>
        <w:ind w:firstLine="720"/>
        <w:rPr>
          <w:bCs/>
        </w:rPr>
      </w:pPr>
      <w:r w:rsidRPr="008A0A0E">
        <w:rPr>
          <w:bCs/>
        </w:rPr>
        <w:t>In response</w:t>
      </w:r>
      <w:r w:rsidRPr="008A0A0E" w:rsidR="00B068FD">
        <w:rPr>
          <w:bCs/>
        </w:rPr>
        <w:t xml:space="preserve">, Suburban </w:t>
      </w:r>
      <w:r w:rsidRPr="008A0A0E" w:rsidR="009A7B9F">
        <w:rPr>
          <w:bCs/>
        </w:rPr>
        <w:t>lashe</w:t>
      </w:r>
      <w:r w:rsidRPr="008A0A0E" w:rsidR="00604EFA">
        <w:rPr>
          <w:bCs/>
        </w:rPr>
        <w:t>d out at OCC</w:t>
      </w:r>
      <w:r w:rsidRPr="008A0A0E" w:rsidR="009A7B9F">
        <w:rPr>
          <w:bCs/>
        </w:rPr>
        <w:t xml:space="preserve">, </w:t>
      </w:r>
      <w:r w:rsidRPr="008A0A0E" w:rsidR="00B068FD">
        <w:rPr>
          <w:bCs/>
        </w:rPr>
        <w:t>accus</w:t>
      </w:r>
      <w:r w:rsidRPr="008A0A0E" w:rsidR="009A7B9F">
        <w:rPr>
          <w:bCs/>
        </w:rPr>
        <w:t>ing</w:t>
      </w:r>
      <w:r w:rsidRPr="008A0A0E" w:rsidR="00D11F24">
        <w:rPr>
          <w:bCs/>
        </w:rPr>
        <w:t xml:space="preserve"> OCC’s counsel of negligence and intentional misrepresentation</w:t>
      </w:r>
      <w:r w:rsidRPr="008A0A0E" w:rsidR="00604EFA">
        <w:rPr>
          <w:bCs/>
        </w:rPr>
        <w:t xml:space="preserve"> of the Order on Remand</w:t>
      </w:r>
      <w:r w:rsidRPr="008A0A0E" w:rsidR="00D11F24">
        <w:rPr>
          <w:bCs/>
        </w:rPr>
        <w:t>.</w:t>
      </w:r>
      <w:r>
        <w:rPr>
          <w:rStyle w:val="FootnoteReference"/>
          <w:bCs/>
        </w:rPr>
        <w:footnoteReference w:id="8"/>
      </w:r>
      <w:r w:rsidRPr="008A0A0E" w:rsidR="00B068FD">
        <w:rPr>
          <w:bCs/>
        </w:rPr>
        <w:t xml:space="preserve"> </w:t>
      </w:r>
      <w:r w:rsidRPr="008A0A0E">
        <w:rPr>
          <w:bCs/>
        </w:rPr>
        <w:t>It accuses OCC’s counsel of “bad faith.”</w:t>
      </w:r>
      <w:r>
        <w:rPr>
          <w:rStyle w:val="FootnoteReference"/>
          <w:bCs/>
        </w:rPr>
        <w:footnoteReference w:id="9"/>
      </w:r>
      <w:r w:rsidRPr="008A0A0E">
        <w:rPr>
          <w:bCs/>
        </w:rPr>
        <w:t xml:space="preserve"> </w:t>
      </w:r>
      <w:r w:rsidRPr="008A0A0E" w:rsidR="00C603C1">
        <w:rPr>
          <w:bCs/>
        </w:rPr>
        <w:t>Suburban calls OCC’s Objections</w:t>
      </w:r>
      <w:r w:rsidRPr="008A0A0E" w:rsidR="00B068FD">
        <w:rPr>
          <w:bCs/>
        </w:rPr>
        <w:t xml:space="preserve"> </w:t>
      </w:r>
      <w:r w:rsidRPr="008A0A0E" w:rsidR="00604EFA">
        <w:rPr>
          <w:bCs/>
        </w:rPr>
        <w:t xml:space="preserve">a </w:t>
      </w:r>
      <w:r w:rsidRPr="008A0A0E" w:rsidR="00B068FD">
        <w:rPr>
          <w:bCs/>
        </w:rPr>
        <w:t>“false” and “sham” pleading.</w:t>
      </w:r>
      <w:r>
        <w:rPr>
          <w:rStyle w:val="FootnoteReference"/>
          <w:bCs/>
        </w:rPr>
        <w:footnoteReference w:id="10"/>
      </w:r>
      <w:r w:rsidRPr="008A0A0E" w:rsidR="009A7B9F">
        <w:rPr>
          <w:bCs/>
        </w:rPr>
        <w:t xml:space="preserve"> </w:t>
      </w:r>
      <w:r w:rsidRPr="008A0A0E" w:rsidR="00C603C1">
        <w:rPr>
          <w:bCs/>
        </w:rPr>
        <w:t xml:space="preserve">Suburban accuses OCC of </w:t>
      </w:r>
      <w:r w:rsidRPr="008A0A0E" w:rsidR="009A7B9F">
        <w:rPr>
          <w:bCs/>
        </w:rPr>
        <w:t>filing a pleading that is “frivolous, unsubstantiated, wasteful</w:t>
      </w:r>
      <w:r w:rsidRPr="008A0A0E" w:rsidR="00D11F24">
        <w:rPr>
          <w:bCs/>
        </w:rPr>
        <w:t>, potentially harmful to customers, and directly contrary” to the Order on Remand.</w:t>
      </w:r>
      <w:r>
        <w:rPr>
          <w:rStyle w:val="FootnoteReference"/>
          <w:bCs/>
        </w:rPr>
        <w:footnoteReference w:id="11"/>
      </w:r>
      <w:r w:rsidRPr="008A0A0E" w:rsidR="00C603C1">
        <w:rPr>
          <w:bCs/>
        </w:rPr>
        <w:t xml:space="preserve"> OCC’</w:t>
      </w:r>
      <w:r w:rsidRPr="008A0A0E" w:rsidR="002D01F1">
        <w:rPr>
          <w:bCs/>
        </w:rPr>
        <w:t xml:space="preserve">s </w:t>
      </w:r>
      <w:r w:rsidRPr="008A0A0E" w:rsidR="009C4C2F">
        <w:rPr>
          <w:bCs/>
        </w:rPr>
        <w:t xml:space="preserve">two-page </w:t>
      </w:r>
      <w:r w:rsidRPr="008A0A0E" w:rsidR="002D01F1">
        <w:rPr>
          <w:bCs/>
        </w:rPr>
        <w:t xml:space="preserve">Objections are </w:t>
      </w:r>
      <w:r w:rsidRPr="008A0A0E" w:rsidR="002D01F1">
        <w:rPr>
          <w:bCs/>
          <w:i/>
          <w:iCs/>
        </w:rPr>
        <w:t>none</w:t>
      </w:r>
      <w:r w:rsidRPr="008A0A0E" w:rsidR="002D01F1">
        <w:rPr>
          <w:bCs/>
        </w:rPr>
        <w:t xml:space="preserve"> of th</w:t>
      </w:r>
      <w:r w:rsidRPr="008A0A0E" w:rsidR="00604EFA">
        <w:rPr>
          <w:bCs/>
        </w:rPr>
        <w:t>ose</w:t>
      </w:r>
      <w:r w:rsidRPr="008A0A0E" w:rsidR="002D01F1">
        <w:rPr>
          <w:bCs/>
        </w:rPr>
        <w:t xml:space="preserve"> things. </w:t>
      </w:r>
      <w:r w:rsidRPr="008A0A0E" w:rsidR="00631448">
        <w:rPr>
          <w:bCs/>
        </w:rPr>
        <w:t xml:space="preserve">To the contrary, </w:t>
      </w:r>
      <w:r w:rsidRPr="008A0A0E" w:rsidR="002D01F1">
        <w:rPr>
          <w:bCs/>
        </w:rPr>
        <w:t xml:space="preserve">OCC acted reasonably </w:t>
      </w:r>
      <w:r w:rsidRPr="008A0A0E">
        <w:rPr>
          <w:bCs/>
        </w:rPr>
        <w:t xml:space="preserve">and </w:t>
      </w:r>
      <w:r w:rsidRPr="008A0A0E">
        <w:rPr>
          <w:b/>
          <w:i/>
          <w:iCs/>
        </w:rPr>
        <w:t>consistent with its prior practice in this case</w:t>
      </w:r>
      <w:r w:rsidRPr="008A0A0E">
        <w:rPr>
          <w:bCs/>
        </w:rPr>
        <w:t>. OCC’s</w:t>
      </w:r>
      <w:r w:rsidRPr="008A0A0E" w:rsidR="002D01F1">
        <w:rPr>
          <w:bCs/>
        </w:rPr>
        <w:t xml:space="preserve"> Objections </w:t>
      </w:r>
      <w:r w:rsidRPr="008A0A0E">
        <w:rPr>
          <w:bCs/>
        </w:rPr>
        <w:t xml:space="preserve">appropriately </w:t>
      </w:r>
      <w:r w:rsidRPr="008A0A0E" w:rsidR="002D01F1">
        <w:rPr>
          <w:bCs/>
        </w:rPr>
        <w:t xml:space="preserve">advocate for consumers who Suburban </w:t>
      </w:r>
      <w:r w:rsidRPr="008A0A0E" w:rsidR="001A107D">
        <w:rPr>
          <w:bCs/>
        </w:rPr>
        <w:t>claims</w:t>
      </w:r>
      <w:r w:rsidRPr="008A0A0E" w:rsidR="00604EFA">
        <w:rPr>
          <w:bCs/>
        </w:rPr>
        <w:t xml:space="preserve"> </w:t>
      </w:r>
      <w:r w:rsidRPr="008A0A0E" w:rsidR="001A107D">
        <w:rPr>
          <w:bCs/>
        </w:rPr>
        <w:t>should</w:t>
      </w:r>
      <w:r w:rsidRPr="008A0A0E" w:rsidR="002D01F1">
        <w:rPr>
          <w:bCs/>
        </w:rPr>
        <w:t xml:space="preserve"> pay for</w:t>
      </w:r>
      <w:r w:rsidRPr="008A0A0E" w:rsidR="00604EFA">
        <w:rPr>
          <w:bCs/>
        </w:rPr>
        <w:t xml:space="preserve"> the </w:t>
      </w:r>
      <w:r w:rsidRPr="008A0A0E" w:rsidR="00604EFA">
        <w:rPr>
          <w:b/>
          <w:i/>
          <w:iCs/>
        </w:rPr>
        <w:t>entire</w:t>
      </w:r>
      <w:r w:rsidRPr="008A0A0E" w:rsidR="00604EFA">
        <w:rPr>
          <w:bCs/>
        </w:rPr>
        <w:t xml:space="preserve"> 4.9 miles of</w:t>
      </w:r>
      <w:r w:rsidRPr="008A0A0E" w:rsidR="002D01F1">
        <w:rPr>
          <w:bCs/>
        </w:rPr>
        <w:t xml:space="preserve"> pipeline</w:t>
      </w:r>
      <w:r w:rsidRPr="008A0A0E" w:rsidR="00E626A9">
        <w:rPr>
          <w:bCs/>
        </w:rPr>
        <w:t xml:space="preserve"> extension</w:t>
      </w:r>
      <w:r w:rsidRPr="008A0A0E" w:rsidR="002D01F1">
        <w:rPr>
          <w:bCs/>
        </w:rPr>
        <w:t xml:space="preserve"> </w:t>
      </w:r>
      <w:r w:rsidRPr="008A0A0E" w:rsidR="00604EFA">
        <w:rPr>
          <w:bCs/>
        </w:rPr>
        <w:t>even though the</w:t>
      </w:r>
      <w:r w:rsidRPr="008A0A0E" w:rsidR="002D01F1">
        <w:rPr>
          <w:bCs/>
        </w:rPr>
        <w:t xml:space="preserve"> PUCO </w:t>
      </w:r>
      <w:r w:rsidRPr="008A0A0E" w:rsidR="00604EFA">
        <w:rPr>
          <w:bCs/>
        </w:rPr>
        <w:t xml:space="preserve">has </w:t>
      </w:r>
      <w:r w:rsidRPr="008A0A0E" w:rsidR="001A107D">
        <w:rPr>
          <w:bCs/>
        </w:rPr>
        <w:t xml:space="preserve">found </w:t>
      </w:r>
      <w:r w:rsidRPr="008A0A0E" w:rsidR="00604EFA">
        <w:rPr>
          <w:bCs/>
        </w:rPr>
        <w:t>that only 2.0 miles were</w:t>
      </w:r>
      <w:r w:rsidRPr="008A0A0E" w:rsidR="002D01F1">
        <w:rPr>
          <w:bCs/>
        </w:rPr>
        <w:t xml:space="preserve"> used and useful on the date certain in Suburban’s application for an increase in rates.</w:t>
      </w:r>
      <w:r w:rsidRPr="008A0A0E">
        <w:rPr>
          <w:bCs/>
        </w:rPr>
        <w:t xml:space="preserve"> </w:t>
      </w:r>
    </w:p>
    <w:p w:rsidR="00C603C1" w:rsidRPr="008A0A0E" w:rsidP="00C603C1" w14:paraId="127E1237" w14:textId="1D55D714">
      <w:pPr>
        <w:spacing w:line="480" w:lineRule="auto"/>
        <w:ind w:firstLine="720"/>
        <w:rPr>
          <w:bCs/>
        </w:rPr>
      </w:pPr>
      <w:r w:rsidRPr="008A0A0E">
        <w:rPr>
          <w:bCs/>
        </w:rPr>
        <w:t xml:space="preserve">Suburban </w:t>
      </w:r>
      <w:r w:rsidRPr="008A0A0E" w:rsidR="0080061E">
        <w:rPr>
          <w:bCs/>
        </w:rPr>
        <w:t>states</w:t>
      </w:r>
      <w:r w:rsidRPr="008A0A0E">
        <w:rPr>
          <w:bCs/>
        </w:rPr>
        <w:t xml:space="preserve"> that the Order on Remand </w:t>
      </w:r>
      <w:r w:rsidRPr="008A0A0E" w:rsidR="00370963">
        <w:rPr>
          <w:bCs/>
        </w:rPr>
        <w:t xml:space="preserve">establishes </w:t>
      </w:r>
      <w:r w:rsidRPr="008A0A0E" w:rsidR="0080061E">
        <w:rPr>
          <w:bCs/>
        </w:rPr>
        <w:t>a</w:t>
      </w:r>
      <w:r w:rsidRPr="008A0A0E" w:rsidR="00370963">
        <w:rPr>
          <w:bCs/>
        </w:rPr>
        <w:t xml:space="preserve"> process whereby Suburban will work with the PUCO Staff to determine the credit back to consumers for amounts previously charged by Suburban</w:t>
      </w:r>
      <w:r w:rsidRPr="008A0A0E" w:rsidR="0080061E">
        <w:rPr>
          <w:bCs/>
        </w:rPr>
        <w:t xml:space="preserve"> (as of the date of the Supreme Court</w:t>
      </w:r>
      <w:r w:rsidRPr="008A0A0E" w:rsidR="00E626A9">
        <w:rPr>
          <w:bCs/>
        </w:rPr>
        <w:t xml:space="preserve"> of Ohio</w:t>
      </w:r>
      <w:r w:rsidRPr="008A0A0E" w:rsidR="0080061E">
        <w:rPr>
          <w:bCs/>
        </w:rPr>
        <w:t xml:space="preserve"> decision)</w:t>
      </w:r>
      <w:r w:rsidRPr="008A0A0E" w:rsidR="00370963">
        <w:rPr>
          <w:bCs/>
        </w:rPr>
        <w:t xml:space="preserve"> for costs associated with more than 2.0 miles of pipeline.</w:t>
      </w:r>
      <w:r>
        <w:rPr>
          <w:rStyle w:val="FootnoteReference"/>
          <w:bCs/>
        </w:rPr>
        <w:footnoteReference w:id="12"/>
      </w:r>
      <w:r w:rsidRPr="008A0A0E" w:rsidR="0080061E">
        <w:rPr>
          <w:bCs/>
        </w:rPr>
        <w:t xml:space="preserve"> According to Suburban, this </w:t>
      </w:r>
      <w:r w:rsidRPr="008A0A0E" w:rsidR="004C17BC">
        <w:rPr>
          <w:bCs/>
        </w:rPr>
        <w:t>step is to occur after Suburban’s filing of it</w:t>
      </w:r>
      <w:r w:rsidRPr="008A0A0E" w:rsidR="00DF53FA">
        <w:rPr>
          <w:bCs/>
        </w:rPr>
        <w:t>s</w:t>
      </w:r>
      <w:r w:rsidRPr="008A0A0E" w:rsidR="004C17BC">
        <w:rPr>
          <w:bCs/>
        </w:rPr>
        <w:t xml:space="preserve"> March 4 tariffs reflecting the </w:t>
      </w:r>
      <w:r w:rsidRPr="008A0A0E" w:rsidR="004C17BC">
        <w:rPr>
          <w:bCs/>
        </w:rPr>
        <w:t>$33.59 per month residential customer service charge.</w:t>
      </w:r>
      <w:r>
        <w:rPr>
          <w:rStyle w:val="FootnoteReference"/>
          <w:bCs/>
        </w:rPr>
        <w:footnoteReference w:id="13"/>
      </w:r>
      <w:r w:rsidRPr="008A0A0E">
        <w:rPr>
          <w:bCs/>
        </w:rPr>
        <w:t xml:space="preserve"> </w:t>
      </w:r>
      <w:r w:rsidRPr="008A0A0E" w:rsidR="002074A3">
        <w:rPr>
          <w:bCs/>
        </w:rPr>
        <w:t>Because of this</w:t>
      </w:r>
      <w:r w:rsidRPr="008A0A0E" w:rsidR="008303FC">
        <w:rPr>
          <w:bCs/>
        </w:rPr>
        <w:t>,</w:t>
      </w:r>
      <w:r w:rsidRPr="008A0A0E" w:rsidR="002074A3">
        <w:rPr>
          <w:bCs/>
        </w:rPr>
        <w:t xml:space="preserve"> Suburban </w:t>
      </w:r>
      <w:r w:rsidRPr="008A0A0E" w:rsidR="00F07B79">
        <w:rPr>
          <w:bCs/>
        </w:rPr>
        <w:t xml:space="preserve">wrongly </w:t>
      </w:r>
      <w:r w:rsidRPr="008A0A0E" w:rsidR="002074A3">
        <w:rPr>
          <w:bCs/>
        </w:rPr>
        <w:t>claims that</w:t>
      </w:r>
      <w:r w:rsidRPr="008A0A0E" w:rsidR="008303FC">
        <w:rPr>
          <w:bCs/>
        </w:rPr>
        <w:t xml:space="preserve"> OCC</w:t>
      </w:r>
      <w:r w:rsidRPr="008A0A0E" w:rsidR="00631448">
        <w:rPr>
          <w:bCs/>
        </w:rPr>
        <w:t>’s Objections are a “sham” and OCC</w:t>
      </w:r>
      <w:r w:rsidRPr="008A0A0E" w:rsidR="008303FC">
        <w:rPr>
          <w:bCs/>
        </w:rPr>
        <w:t xml:space="preserve"> should be sanctioned for </w:t>
      </w:r>
      <w:r w:rsidRPr="008A0A0E" w:rsidR="00631448">
        <w:rPr>
          <w:bCs/>
        </w:rPr>
        <w:t>objecting that the</w:t>
      </w:r>
      <w:r w:rsidRPr="008A0A0E" w:rsidR="008303FC">
        <w:rPr>
          <w:bCs/>
        </w:rPr>
        <w:t xml:space="preserve"> March 4 tariffs </w:t>
      </w:r>
      <w:r w:rsidRPr="008A0A0E" w:rsidR="00631448">
        <w:rPr>
          <w:bCs/>
        </w:rPr>
        <w:t>do not</w:t>
      </w:r>
      <w:r w:rsidRPr="008A0A0E" w:rsidR="008303FC">
        <w:rPr>
          <w:bCs/>
        </w:rPr>
        <w:t xml:space="preserve"> reference the credit back to consumers.</w:t>
      </w:r>
    </w:p>
    <w:p w:rsidR="005C686B" w:rsidRPr="008A0A0E" w:rsidP="00C603C1" w14:paraId="09F117DF" w14:textId="2F52B9F8">
      <w:pPr>
        <w:spacing w:line="480" w:lineRule="auto"/>
        <w:ind w:firstLine="720"/>
        <w:rPr>
          <w:bCs/>
        </w:rPr>
      </w:pPr>
      <w:r w:rsidRPr="008A0A0E">
        <w:rPr>
          <w:bCs/>
        </w:rPr>
        <w:t xml:space="preserve">While the Order on Remand may contemplate a two-step process as Suburban claims, it </w:t>
      </w:r>
      <w:r w:rsidRPr="008A0A0E" w:rsidR="002074A3">
        <w:rPr>
          <w:bCs/>
        </w:rPr>
        <w:t>was</w:t>
      </w:r>
      <w:r w:rsidRPr="008A0A0E">
        <w:rPr>
          <w:bCs/>
        </w:rPr>
        <w:t xml:space="preserve"> perfectly reasonable for OCC to object to there being no reference in the March 4 tariffs to the credit to consumers. </w:t>
      </w:r>
      <w:r w:rsidRPr="008A0A0E" w:rsidR="002074A3">
        <w:rPr>
          <w:bCs/>
        </w:rPr>
        <w:t xml:space="preserve">Indeed, </w:t>
      </w:r>
      <w:r w:rsidRPr="008A0A0E">
        <w:rPr>
          <w:bCs/>
        </w:rPr>
        <w:t>Suburban continues to take the</w:t>
      </w:r>
      <w:r w:rsidRPr="008A0A0E" w:rsidR="001A2339">
        <w:rPr>
          <w:bCs/>
        </w:rPr>
        <w:t xml:space="preserve"> untenable position that it is entitled to charge consumers for the entire 4.9 miles of pipeline in accordance with the PUCO’s </w:t>
      </w:r>
      <w:r w:rsidRPr="008A0A0E" w:rsidR="00631448">
        <w:rPr>
          <w:bCs/>
        </w:rPr>
        <w:t>previous order</w:t>
      </w:r>
      <w:r w:rsidRPr="008A0A0E" w:rsidR="001A2339">
        <w:rPr>
          <w:bCs/>
        </w:rPr>
        <w:t xml:space="preserve"> that was reversed and remanded by the Court.</w:t>
      </w:r>
      <w:r>
        <w:rPr>
          <w:rStyle w:val="FootnoteReference"/>
          <w:bCs/>
        </w:rPr>
        <w:footnoteReference w:id="14"/>
      </w:r>
      <w:r w:rsidRPr="008A0A0E">
        <w:rPr>
          <w:bCs/>
        </w:rPr>
        <w:t xml:space="preserve"> Therefore, it is important for Suburban’s March 4 tariffs to</w:t>
      </w:r>
      <w:r w:rsidRPr="008A0A0E" w:rsidR="00C63E0B">
        <w:rPr>
          <w:bCs/>
        </w:rPr>
        <w:t xml:space="preserve"> be clear, and</w:t>
      </w:r>
      <w:r w:rsidRPr="008A0A0E">
        <w:rPr>
          <w:bCs/>
        </w:rPr>
        <w:t xml:space="preserve"> at a minimum reference the credit to consumers as of September 21, 202</w:t>
      </w:r>
      <w:r w:rsidRPr="008A0A0E" w:rsidR="00C96150">
        <w:rPr>
          <w:bCs/>
        </w:rPr>
        <w:t>1 – the date the Supreme Court</w:t>
      </w:r>
      <w:r w:rsidRPr="008A0A0E" w:rsidR="00E626A9">
        <w:rPr>
          <w:bCs/>
        </w:rPr>
        <w:t xml:space="preserve"> of Ohio</w:t>
      </w:r>
      <w:r w:rsidRPr="008A0A0E" w:rsidR="00C96150">
        <w:rPr>
          <w:bCs/>
        </w:rPr>
        <w:t xml:space="preserve"> reversed and remanded the PUCO’s pr</w:t>
      </w:r>
      <w:r w:rsidRPr="008A0A0E" w:rsidR="00631448">
        <w:rPr>
          <w:bCs/>
        </w:rPr>
        <w:t>ior</w:t>
      </w:r>
      <w:r w:rsidRPr="008A0A0E" w:rsidR="00C96150">
        <w:rPr>
          <w:bCs/>
        </w:rPr>
        <w:t xml:space="preserve"> decision </w:t>
      </w:r>
      <w:r w:rsidRPr="008A0A0E" w:rsidR="009C4C2F">
        <w:rPr>
          <w:bCs/>
        </w:rPr>
        <w:t xml:space="preserve">that </w:t>
      </w:r>
      <w:r w:rsidRPr="008A0A0E" w:rsidR="00631448">
        <w:rPr>
          <w:bCs/>
        </w:rPr>
        <w:t>misapplied</w:t>
      </w:r>
      <w:r w:rsidRPr="008A0A0E" w:rsidR="00C96150">
        <w:rPr>
          <w:bCs/>
        </w:rPr>
        <w:t xml:space="preserve"> the used and useful standard.</w:t>
      </w:r>
      <w:r w:rsidRPr="008A0A0E" w:rsidR="0057691B">
        <w:rPr>
          <w:bCs/>
        </w:rPr>
        <w:t xml:space="preserve"> </w:t>
      </w:r>
    </w:p>
    <w:p w:rsidR="005C686B" w:rsidP="00C603C1" w14:paraId="57FFA2D9" w14:textId="39E28F98">
      <w:pPr>
        <w:spacing w:line="480" w:lineRule="auto"/>
        <w:ind w:firstLine="720"/>
      </w:pPr>
      <w:r w:rsidRPr="008A0A0E">
        <w:rPr>
          <w:bCs/>
        </w:rPr>
        <w:t xml:space="preserve">This is no different </w:t>
      </w:r>
      <w:r w:rsidRPr="008A0A0E" w:rsidR="009C4C2F">
        <w:rPr>
          <w:bCs/>
        </w:rPr>
        <w:t>from</w:t>
      </w:r>
      <w:r w:rsidRPr="008A0A0E">
        <w:rPr>
          <w:bCs/>
        </w:rPr>
        <w:t xml:space="preserve"> OCC’s prior practice in this case. </w:t>
      </w:r>
      <w:r w:rsidRPr="008A0A0E" w:rsidR="005C2E53">
        <w:rPr>
          <w:bCs/>
        </w:rPr>
        <w:t xml:space="preserve">OCC previously objected to tariffs filed by </w:t>
      </w:r>
      <w:r w:rsidRPr="008A0A0E" w:rsidR="0057691B">
        <w:rPr>
          <w:bCs/>
        </w:rPr>
        <w:t xml:space="preserve">Suburban </w:t>
      </w:r>
      <w:r w:rsidRPr="008A0A0E" w:rsidR="005C2E53">
        <w:rPr>
          <w:bCs/>
        </w:rPr>
        <w:t>in this case to the extent that they were vague.</w:t>
      </w:r>
      <w:r>
        <w:rPr>
          <w:rStyle w:val="FootnoteReference"/>
          <w:bCs/>
        </w:rPr>
        <w:footnoteReference w:id="15"/>
      </w:r>
      <w:r w:rsidRPr="008A0A0E" w:rsidR="0099394F">
        <w:rPr>
          <w:bCs/>
        </w:rPr>
        <w:t xml:space="preserve"> And the PUCO subsequently directed Suburban to modify and clarify the tariff consistent with OCC’s recommendation.</w:t>
      </w:r>
      <w:r>
        <w:rPr>
          <w:rStyle w:val="FootnoteReference"/>
          <w:bCs/>
        </w:rPr>
        <w:footnoteReference w:id="16"/>
      </w:r>
      <w:r w:rsidRPr="008A0A0E" w:rsidR="0099394F">
        <w:rPr>
          <w:bCs/>
        </w:rPr>
        <w:t xml:space="preserve"> </w:t>
      </w:r>
      <w:r w:rsidRPr="008A0A0E" w:rsidR="00482BFC">
        <w:rPr>
          <w:bCs/>
        </w:rPr>
        <w:t>Specifically, the PUCO stated</w:t>
      </w:r>
      <w:r w:rsidRPr="008A0A0E" w:rsidR="00A1163A">
        <w:rPr>
          <w:bCs/>
        </w:rPr>
        <w:t xml:space="preserve"> in an entry</w:t>
      </w:r>
      <w:r w:rsidRPr="008A0A0E" w:rsidR="00482BFC">
        <w:rPr>
          <w:bCs/>
        </w:rPr>
        <w:t xml:space="preserve">: </w:t>
      </w:r>
      <w:r w:rsidRPr="008A0A0E" w:rsidR="00850A87">
        <w:rPr>
          <w:bCs/>
        </w:rPr>
        <w:t xml:space="preserve">“ </w:t>
      </w:r>
      <w:r w:rsidRPr="008A0A0E" w:rsidR="00850A87">
        <w:t xml:space="preserve">The Commission finds that Suburban’s compliance tariff filing should be approved with modifications, </w:t>
      </w:r>
      <w:r w:rsidRPr="008A0A0E" w:rsidR="00850A87">
        <w:rPr>
          <w:b/>
          <w:bCs/>
          <w:i/>
          <w:iCs/>
        </w:rPr>
        <w:t>as we agree with OCC that the tariffs should be clarified</w:t>
      </w:r>
      <w:r w:rsidRPr="008A0A0E" w:rsidR="00850A87">
        <w:t xml:space="preserve"> to provide that the customer service charge and the usage charge are subject to refund to the extent that they include costs associated with more than 2.0 miles of the 4.9- mile DEL-MAR pipeline </w:t>
      </w:r>
      <w:r w:rsidRPr="008A0A0E" w:rsidR="00850A87">
        <w:t>extension.”</w:t>
      </w:r>
      <w:r>
        <w:rPr>
          <w:rStyle w:val="FootnoteReference"/>
        </w:rPr>
        <w:footnoteReference w:id="17"/>
      </w:r>
      <w:r w:rsidRPr="008A0A0E" w:rsidR="00850A87">
        <w:t xml:space="preserve"> Accordingly, OCC’s Objections seeking clarification to Suburban’s March 4 tariffs were entirely reasonable and consistent with the </w:t>
      </w:r>
      <w:r w:rsidRPr="008A0A0E">
        <w:t xml:space="preserve">OCC’s </w:t>
      </w:r>
      <w:r w:rsidRPr="008A0A0E" w:rsidR="00A1163A">
        <w:t>past practice in this same case</w:t>
      </w:r>
      <w:r w:rsidRPr="008A0A0E">
        <w:t xml:space="preserve"> of filing objections to Suburban’s tariffs.</w:t>
      </w:r>
    </w:p>
    <w:p w:rsidR="00BB6176" w:rsidRPr="008A0A0E" w:rsidP="00BB6176" w14:paraId="43AB951B" w14:textId="77777777">
      <w:pPr>
        <w:ind w:firstLine="720"/>
      </w:pPr>
    </w:p>
    <w:p w:rsidR="00591DB2" w:rsidRPr="008A0A0E" w:rsidP="00BB6176" w14:paraId="669DE6C8" w14:textId="0E039747">
      <w:pPr>
        <w:pStyle w:val="Heading1"/>
      </w:pPr>
      <w:r>
        <w:t>III.</w:t>
      </w:r>
      <w:r>
        <w:tab/>
      </w:r>
      <w:r w:rsidRPr="008A0A0E">
        <w:t>CONCLUSION</w:t>
      </w:r>
    </w:p>
    <w:p w:rsidR="00F878E5" w:rsidRPr="008A0A0E" w:rsidP="009B4C40" w14:paraId="2ED32B36" w14:textId="33B87B2C">
      <w:pPr>
        <w:spacing w:line="480" w:lineRule="auto"/>
        <w:ind w:firstLine="720"/>
      </w:pPr>
      <w:r w:rsidRPr="008A0A0E">
        <w:t xml:space="preserve">Suburban </w:t>
      </w:r>
      <w:r w:rsidRPr="008A0A0E" w:rsidR="00FC5ACA">
        <w:t>claims that OCC’s Objections are a “procedurally improper” motion</w:t>
      </w:r>
      <w:r>
        <w:rPr>
          <w:rStyle w:val="FootnoteReference"/>
        </w:rPr>
        <w:footnoteReference w:id="18"/>
      </w:r>
      <w:r w:rsidRPr="008A0A0E" w:rsidR="00FC5ACA">
        <w:t xml:space="preserve"> that contains no separate memorandum in support. </w:t>
      </w:r>
      <w:r w:rsidRPr="008A0A0E" w:rsidR="00EA3557">
        <w:t xml:space="preserve">Suburban is </w:t>
      </w:r>
      <w:r w:rsidRPr="008A0A0E" w:rsidR="00591DB2">
        <w:t>wrong</w:t>
      </w:r>
      <w:r w:rsidRPr="008A0A0E">
        <w:t>.</w:t>
      </w:r>
      <w:r w:rsidRPr="008A0A0E" w:rsidR="00A1163A">
        <w:t xml:space="preserve"> </w:t>
      </w:r>
      <w:r w:rsidRPr="008A0A0E" w:rsidR="00CB2407">
        <w:t xml:space="preserve">OCC’s Objections are </w:t>
      </w:r>
      <w:r w:rsidRPr="008A0A0E" w:rsidR="00706457">
        <w:t xml:space="preserve">similar to </w:t>
      </w:r>
      <w:r w:rsidRPr="008A0A0E" w:rsidR="00CB2407">
        <w:t xml:space="preserve">the type of objections counsel would make on the record during a hearing and no different than the </w:t>
      </w:r>
      <w:r w:rsidRPr="008A0A0E" w:rsidR="00780BBF">
        <w:t>objections OCC previously filed in this case on October 15, 2021 (which prompted the PUCO to direct Suburban to modify its tariffs for clarity).</w:t>
      </w:r>
      <w:r>
        <w:rPr>
          <w:rStyle w:val="FootnoteReference"/>
        </w:rPr>
        <w:footnoteReference w:id="19"/>
      </w:r>
      <w:r w:rsidRPr="008A0A0E" w:rsidR="00780BBF">
        <w:t xml:space="preserve"> Suburban may respond to such objections</w:t>
      </w:r>
      <w:r w:rsidRPr="008A0A0E" w:rsidR="00514F2B">
        <w:t>. But</w:t>
      </w:r>
      <w:r w:rsidRPr="008A0A0E" w:rsidR="00780BBF">
        <w:t xml:space="preserve"> </w:t>
      </w:r>
      <w:r w:rsidRPr="008A0A0E" w:rsidR="00514F2B">
        <w:t xml:space="preserve">there is no cause whatsoever for Suburban’s unprofessional and unwarranted attack against OCC set forth in the March 25, 2022 memorandum contra and motions to strike (to which OCC will separately respond in the time allowed under </w:t>
      </w:r>
      <w:r w:rsidRPr="008A0A0E" w:rsidR="00514F2B">
        <w:rPr>
          <w:bCs/>
        </w:rPr>
        <w:t>by O.A.C. 4901-1-12(B)(1)).</w:t>
      </w:r>
      <w:r w:rsidRPr="008A0A0E" w:rsidR="00514F2B">
        <w:t xml:space="preserve"> </w:t>
      </w:r>
    </w:p>
    <w:p w:rsidR="009B4C40" w14:paraId="658234A8" w14:textId="77777777">
      <w:r>
        <w:br w:type="page"/>
      </w:r>
    </w:p>
    <w:p w:rsidR="008A7424" w:rsidRPr="008A0A0E" w:rsidP="00A53CDC" w14:paraId="3F2DFBEB" w14:textId="706ECB82">
      <w:pPr>
        <w:pStyle w:val="BodyTextIndent3"/>
        <w:spacing w:after="0"/>
        <w:ind w:left="4320" w:right="-672"/>
        <w:rPr>
          <w:sz w:val="24"/>
          <w:szCs w:val="24"/>
        </w:rPr>
      </w:pPr>
      <w:r w:rsidRPr="008A0A0E">
        <w:rPr>
          <w:sz w:val="24"/>
          <w:szCs w:val="24"/>
        </w:rPr>
        <w:t>Respectfully submitted,</w:t>
      </w:r>
    </w:p>
    <w:p w:rsidR="00A53CDC" w:rsidRPr="008A0A0E" w:rsidP="00A53CDC" w14:paraId="2D106650" w14:textId="77777777">
      <w:pPr>
        <w:pStyle w:val="BodyTextIndent3"/>
        <w:spacing w:after="0"/>
        <w:ind w:left="4320" w:right="-672"/>
        <w:rPr>
          <w:sz w:val="24"/>
          <w:szCs w:val="24"/>
        </w:rPr>
      </w:pPr>
    </w:p>
    <w:p w:rsidR="008A7424" w:rsidRPr="008A0A0E" w:rsidP="00A53CDC" w14:paraId="62264D8C" w14:textId="77777777">
      <w:pPr>
        <w:ind w:left="3600" w:firstLine="720"/>
      </w:pPr>
      <w:r w:rsidRPr="008A0A0E">
        <w:t>Bruce Weston (0016973)</w:t>
      </w:r>
    </w:p>
    <w:p w:rsidR="008A7424" w:rsidRPr="008A0A0E" w:rsidP="00A53CDC" w14:paraId="7279D244" w14:textId="77777777">
      <w:pPr>
        <w:tabs>
          <w:tab w:val="left" w:pos="4320"/>
        </w:tabs>
      </w:pPr>
      <w:r w:rsidRPr="008A0A0E">
        <w:tab/>
        <w:t xml:space="preserve">Ohio Consumers’ Counsel </w:t>
      </w:r>
    </w:p>
    <w:p w:rsidR="008A7424" w:rsidRPr="008A0A0E" w:rsidP="00A53CDC" w14:paraId="468475CF" w14:textId="77777777">
      <w:pPr>
        <w:tabs>
          <w:tab w:val="left" w:pos="4320"/>
        </w:tabs>
      </w:pPr>
    </w:p>
    <w:p w:rsidR="008A7424" w:rsidRPr="008A0A0E" w:rsidP="00A53CDC" w14:paraId="62A870D2" w14:textId="57896B14">
      <w:pPr>
        <w:ind w:left="4320"/>
        <w:rPr>
          <w:i/>
          <w:iCs/>
          <w:u w:val="single"/>
        </w:rPr>
      </w:pPr>
      <w:r w:rsidRPr="008A0A0E">
        <w:rPr>
          <w:i/>
          <w:iCs/>
          <w:u w:val="single"/>
        </w:rPr>
        <w:t xml:space="preserve">/s/ </w:t>
      </w:r>
      <w:r w:rsidRPr="008A0A0E" w:rsidR="00384970">
        <w:rPr>
          <w:i/>
          <w:iCs/>
          <w:u w:val="single"/>
        </w:rPr>
        <w:t>Angela D. O’Brien</w:t>
      </w:r>
      <w:r w:rsidRPr="008A0A0E">
        <w:rPr>
          <w:i/>
          <w:iCs/>
          <w:u w:val="single"/>
        </w:rPr>
        <w:tab/>
      </w:r>
      <w:r w:rsidRPr="008A0A0E" w:rsidR="00E701C1">
        <w:rPr>
          <w:i/>
          <w:iCs/>
          <w:u w:val="single"/>
        </w:rPr>
        <w:tab/>
      </w:r>
    </w:p>
    <w:p w:rsidR="00384970" w:rsidRPr="008A0A0E" w:rsidP="00A53CDC" w14:paraId="3597B123" w14:textId="3E964695">
      <w:pPr>
        <w:ind w:left="4320"/>
      </w:pPr>
      <w:r w:rsidRPr="008A0A0E">
        <w:t>Angela D. O’Brien (0097579)</w:t>
      </w:r>
    </w:p>
    <w:p w:rsidR="008A7424" w:rsidRPr="008A0A0E" w:rsidP="00A53CDC" w14:paraId="7201FE3B" w14:textId="0483210D">
      <w:pPr>
        <w:ind w:left="4320"/>
      </w:pPr>
      <w:r w:rsidRPr="008A0A0E">
        <w:t>Counsel of Record</w:t>
      </w:r>
    </w:p>
    <w:p w:rsidR="008A7424" w:rsidRPr="008A0A0E" w:rsidP="00A53CDC" w14:paraId="2D6E0F77" w14:textId="77777777">
      <w:pPr>
        <w:ind w:left="4320"/>
      </w:pPr>
      <w:r w:rsidRPr="008A0A0E">
        <w:t>Assistant Consumers’ Counsel</w:t>
      </w:r>
    </w:p>
    <w:p w:rsidR="008A7424" w:rsidRPr="008A0A0E" w:rsidP="00A53CDC" w14:paraId="72540B10" w14:textId="77777777">
      <w:pPr>
        <w:ind w:left="4320"/>
      </w:pPr>
    </w:p>
    <w:p w:rsidR="008A7424" w:rsidRPr="008A0A0E" w:rsidP="00A53CDC" w14:paraId="1D3965EB" w14:textId="77777777">
      <w:pPr>
        <w:ind w:left="4320"/>
        <w:rPr>
          <w:b/>
        </w:rPr>
      </w:pPr>
      <w:r w:rsidRPr="008A0A0E">
        <w:rPr>
          <w:b/>
        </w:rPr>
        <w:t>Office of the Ohio Consumers’ Counsel</w:t>
      </w:r>
    </w:p>
    <w:p w:rsidR="008A7424" w:rsidRPr="008A0A0E" w:rsidP="00A53CDC" w14:paraId="3E079AA6" w14:textId="71D8652E">
      <w:pPr>
        <w:ind w:left="4320"/>
      </w:pPr>
      <w:r w:rsidRPr="008A0A0E">
        <w:t xml:space="preserve">65 East State Street, </w:t>
      </w:r>
      <w:r w:rsidRPr="008A0A0E" w:rsidR="0042455D">
        <w:t>Suite 700</w:t>
      </w:r>
    </w:p>
    <w:p w:rsidR="008A7424" w:rsidRPr="008A0A0E" w:rsidP="00A53CDC" w14:paraId="44C4A793" w14:textId="77777777">
      <w:pPr>
        <w:ind w:left="4320"/>
      </w:pPr>
      <w:r w:rsidRPr="008A0A0E">
        <w:t>Columbus, Ohio 43215</w:t>
      </w:r>
    </w:p>
    <w:p w:rsidR="008A7424" w:rsidRPr="008A0A0E" w:rsidP="00A53CDC" w14:paraId="692ACB98" w14:textId="77777777">
      <w:pPr>
        <w:ind w:left="4320"/>
      </w:pPr>
      <w:r w:rsidRPr="008A0A0E">
        <w:t>Telephone [O’Brien]: (614) 466-9531</w:t>
      </w:r>
    </w:p>
    <w:p w:rsidR="008A7424" w:rsidRPr="008A0A0E" w:rsidP="00A53CDC" w14:paraId="60F46A65" w14:textId="77777777">
      <w:pPr>
        <w:ind w:left="4320"/>
      </w:pPr>
      <w:hyperlink r:id="rId8" w:history="1">
        <w:r w:rsidRPr="008A0A0E" w:rsidR="008F52F7">
          <w:rPr>
            <w:rStyle w:val="Hyperlink"/>
          </w:rPr>
          <w:t>angela.obrien@occ.ohio.gov</w:t>
        </w:r>
      </w:hyperlink>
    </w:p>
    <w:p w:rsidR="008A7424" w:rsidRPr="008A0A0E" w:rsidP="00A53CDC" w14:paraId="1BA28DF8" w14:textId="4CE004F6">
      <w:r w:rsidRPr="008A0A0E">
        <w:tab/>
      </w:r>
      <w:r w:rsidRPr="008A0A0E">
        <w:tab/>
      </w:r>
      <w:r w:rsidRPr="008A0A0E">
        <w:tab/>
      </w:r>
      <w:r w:rsidRPr="008A0A0E" w:rsidR="008F52F7">
        <w:tab/>
      </w:r>
      <w:r w:rsidRPr="008A0A0E" w:rsidR="008F52F7">
        <w:tab/>
      </w:r>
      <w:r w:rsidRPr="008A0A0E" w:rsidR="008F52F7">
        <w:tab/>
        <w:t>(willing to accept service by e-mail)</w:t>
      </w:r>
    </w:p>
    <w:p w:rsidR="008A7424" w:rsidRPr="008A0A0E" w:rsidP="00A53CDC" w14:paraId="462D1E70" w14:textId="77777777">
      <w:pPr>
        <w:jc w:val="center"/>
        <w:rPr>
          <w:b/>
        </w:rPr>
      </w:pPr>
    </w:p>
    <w:p w:rsidR="008A7424" w:rsidRPr="008A0A0E" w:rsidP="00A53CDC" w14:paraId="4BF58322" w14:textId="77777777">
      <w:pPr>
        <w:jc w:val="center"/>
        <w:rPr>
          <w:b/>
        </w:rPr>
      </w:pPr>
    </w:p>
    <w:p w:rsidR="00774C25" w:rsidRPr="008A0A0E" w:rsidP="00763FAD" w14:paraId="23CB15C5" w14:textId="5A76E88F">
      <w:pPr>
        <w:spacing w:line="480" w:lineRule="auto"/>
        <w:ind w:firstLine="720"/>
      </w:pPr>
    </w:p>
    <w:p w:rsidR="00791E61" w:rsidRPr="008A0A0E" w:rsidP="00791E61" w14:paraId="161769CA" w14:textId="77777777">
      <w:pPr>
        <w:ind w:firstLine="720"/>
      </w:pPr>
    </w:p>
    <w:p w:rsidR="00061392" w:rsidRPr="008A0A0E" w14:paraId="72E3C0A4" w14:textId="77777777">
      <w:r w:rsidRPr="008A0A0E">
        <w:br w:type="page"/>
      </w:r>
    </w:p>
    <w:p w:rsidR="00C578E7" w:rsidRPr="008A0A0E" w:rsidP="00C578E7" w14:paraId="18AFC301" w14:textId="77777777">
      <w:pPr>
        <w:tabs>
          <w:tab w:val="left" w:pos="4680"/>
        </w:tabs>
        <w:jc w:val="center"/>
        <w:rPr>
          <w:b/>
          <w:u w:val="single"/>
        </w:rPr>
      </w:pPr>
      <w:r w:rsidRPr="008A0A0E">
        <w:rPr>
          <w:b/>
          <w:u w:val="single"/>
        </w:rPr>
        <w:t>CERTIFICATE OF SERVICE</w:t>
      </w:r>
    </w:p>
    <w:p w:rsidR="00C578E7" w:rsidRPr="008A0A0E" w:rsidP="00C578E7" w14:paraId="29D8C66C" w14:textId="77777777">
      <w:pPr>
        <w:jc w:val="center"/>
      </w:pPr>
    </w:p>
    <w:p w:rsidR="00C578E7" w:rsidRPr="008A0A0E" w:rsidP="00A0421F" w14:paraId="5E264131" w14:textId="651863C8">
      <w:pPr>
        <w:suppressAutoHyphens/>
        <w:spacing w:line="480" w:lineRule="auto"/>
        <w:ind w:firstLine="720"/>
        <w:rPr>
          <w:spacing w:val="-3"/>
        </w:rPr>
      </w:pPr>
      <w:r w:rsidRPr="008A0A0E">
        <w:t xml:space="preserve">It is hereby certified that a true copy of the </w:t>
      </w:r>
      <w:r w:rsidRPr="008A0A0E" w:rsidR="00514F2B">
        <w:t>Reply to Suburban’s Memorandum Contra</w:t>
      </w:r>
      <w:r w:rsidRPr="008A0A0E">
        <w:t xml:space="preserve"> was served by electronic transmission upon the parties below this </w:t>
      </w:r>
      <w:r w:rsidRPr="008A0A0E" w:rsidR="00514F2B">
        <w:t>1</w:t>
      </w:r>
      <w:r w:rsidRPr="008A0A0E" w:rsidR="00514F2B">
        <w:rPr>
          <w:vertAlign w:val="superscript"/>
        </w:rPr>
        <w:t>st</w:t>
      </w:r>
      <w:r w:rsidRPr="008A0A0E" w:rsidR="000C750D">
        <w:t xml:space="preserve"> </w:t>
      </w:r>
      <w:r w:rsidRPr="008A0A0E">
        <w:t>day of</w:t>
      </w:r>
      <w:r w:rsidRPr="008A0A0E" w:rsidR="00514F2B">
        <w:t xml:space="preserve"> April</w:t>
      </w:r>
      <w:r w:rsidRPr="008A0A0E" w:rsidR="00061392">
        <w:t xml:space="preserve"> 202</w:t>
      </w:r>
      <w:r w:rsidRPr="008A0A0E" w:rsidR="00384970">
        <w:t>2</w:t>
      </w:r>
      <w:r w:rsidRPr="008A0A0E">
        <w:t>.</w:t>
      </w:r>
    </w:p>
    <w:p w:rsidR="00C578E7" w:rsidRPr="008A0A0E" w:rsidP="005A27FD" w14:paraId="7C9FE245" w14:textId="3887F6F1">
      <w:pPr>
        <w:pStyle w:val="EndnoteText"/>
        <w:widowControl/>
        <w:rPr>
          <w:rFonts w:ascii="Times New Roman" w:hAnsi="Times New Roman"/>
          <w:szCs w:val="24"/>
        </w:rPr>
      </w:pP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i/>
          <w:szCs w:val="24"/>
          <w:u w:val="single"/>
        </w:rPr>
        <w:t xml:space="preserve">/s/ </w:t>
      </w:r>
      <w:r w:rsidRPr="008A0A0E" w:rsidR="00384970">
        <w:rPr>
          <w:rFonts w:ascii="Times New Roman" w:hAnsi="Times New Roman"/>
          <w:i/>
          <w:szCs w:val="24"/>
          <w:u w:val="single"/>
        </w:rPr>
        <w:t xml:space="preserve">Angela D. O’Brien </w:t>
      </w:r>
      <w:r w:rsidRPr="008A0A0E">
        <w:rPr>
          <w:rFonts w:ascii="Times New Roman" w:hAnsi="Times New Roman"/>
          <w:i/>
          <w:szCs w:val="24"/>
          <w:u w:val="single"/>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r>
      <w:r w:rsidRPr="008A0A0E">
        <w:rPr>
          <w:rFonts w:ascii="Times New Roman" w:hAnsi="Times New Roman"/>
          <w:szCs w:val="24"/>
        </w:rPr>
        <w:tab/>
        <w:t xml:space="preserve">Counsel of Record </w:t>
      </w:r>
    </w:p>
    <w:p w:rsidR="00AA4C3F" w:rsidRPr="008A0A0E" w:rsidP="00AA4C3F" w14:paraId="2AA2D7F9" w14:textId="77777777">
      <w:pPr>
        <w:rPr>
          <w:b/>
          <w:u w:val="single"/>
        </w:rPr>
      </w:pPr>
    </w:p>
    <w:p w:rsidR="00083A8B" w:rsidRPr="008A0A0E" w:rsidP="00083A8B" w14:paraId="17900131" w14:textId="77777777">
      <w:r w:rsidRPr="008A0A0E">
        <w:t>The PUCO’s e-filing system will electronically serve notice of the filing of this document on the following parties:</w:t>
      </w:r>
    </w:p>
    <w:p w:rsidR="00083A8B" w:rsidRPr="008A0A0E" w:rsidP="00083A8B" w14:paraId="0A8A746B" w14:textId="77777777">
      <w:pPr>
        <w:jc w:val="center"/>
        <w:rPr>
          <w:b/>
          <w:u w:val="single"/>
        </w:rPr>
      </w:pPr>
    </w:p>
    <w:p w:rsidR="00083A8B" w:rsidRPr="008A0A0E" w:rsidP="00083A8B" w14:paraId="7CA0E883" w14:textId="77777777">
      <w:pPr>
        <w:jc w:val="center"/>
        <w:rPr>
          <w:b/>
          <w:u w:val="single"/>
        </w:rPr>
      </w:pPr>
      <w:r w:rsidRPr="008A0A0E">
        <w:rPr>
          <w:b/>
          <w:u w:val="single"/>
        </w:rPr>
        <w:t>SERVICE LIST</w:t>
      </w:r>
    </w:p>
    <w:p w:rsidR="00083A8B" w:rsidRPr="008A0A0E" w:rsidP="00022BE2" w14:paraId="09287DEA" w14:textId="77777777">
      <w:pPr>
        <w:rPr>
          <w:rFonts w:eastAsia="Calibri"/>
          <w:b/>
          <w:u w:val="single"/>
        </w:rPr>
      </w:pPr>
    </w:p>
    <w:tbl>
      <w:tblPr>
        <w:tblW w:w="0" w:type="auto"/>
        <w:tblLook w:val="04A0"/>
      </w:tblPr>
      <w:tblGrid>
        <w:gridCol w:w="4299"/>
        <w:gridCol w:w="4341"/>
      </w:tblGrid>
      <w:tr w14:paraId="3FA76FB7" w14:textId="77777777" w:rsidTr="0099425A">
        <w:tblPrEx>
          <w:tblW w:w="0" w:type="auto"/>
          <w:tblLook w:val="04A0"/>
        </w:tblPrEx>
        <w:tc>
          <w:tcPr>
            <w:tcW w:w="4428" w:type="dxa"/>
            <w:shd w:val="clear" w:color="auto" w:fill="auto"/>
          </w:tcPr>
          <w:p w:rsidR="00022BE2" w:rsidRPr="008A0A0E" w:rsidP="0099425A" w14:paraId="68582984" w14:textId="77777777">
            <w:pPr>
              <w:pStyle w:val="CommentText"/>
              <w:rPr>
                <w:bCs/>
                <w:sz w:val="24"/>
                <w:szCs w:val="24"/>
              </w:rPr>
            </w:pPr>
            <w:hyperlink r:id="rId9" w:history="1">
              <w:r w:rsidRPr="008A0A0E" w:rsidR="00F07B79">
                <w:rPr>
                  <w:rStyle w:val="Hyperlink"/>
                  <w:bCs/>
                  <w:sz w:val="24"/>
                  <w:szCs w:val="24"/>
                </w:rPr>
                <w:t>robert.eubanks@ohioAGO.gov</w:t>
              </w:r>
            </w:hyperlink>
          </w:p>
          <w:p w:rsidR="00022BE2" w:rsidRPr="008A0A0E" w:rsidP="0099425A" w14:paraId="193D916F" w14:textId="77777777">
            <w:pPr>
              <w:pStyle w:val="CommentText"/>
              <w:rPr>
                <w:bCs/>
                <w:sz w:val="24"/>
                <w:szCs w:val="24"/>
              </w:rPr>
            </w:pPr>
            <w:hyperlink r:id="rId10" w:history="1">
              <w:r w:rsidRPr="008A0A0E" w:rsidR="00F07B79">
                <w:rPr>
                  <w:rStyle w:val="Hyperlink"/>
                  <w:bCs/>
                  <w:sz w:val="24"/>
                  <w:szCs w:val="24"/>
                </w:rPr>
                <w:t>werner.margard@ohioAGO.gov</w:t>
              </w:r>
            </w:hyperlink>
          </w:p>
          <w:p w:rsidR="00022BE2" w:rsidRPr="008A0A0E" w:rsidP="0099425A" w14:paraId="6A01190D" w14:textId="77777777">
            <w:pPr>
              <w:pStyle w:val="CommentText"/>
              <w:rPr>
                <w:bCs/>
                <w:sz w:val="24"/>
                <w:szCs w:val="24"/>
              </w:rPr>
            </w:pPr>
          </w:p>
          <w:p w:rsidR="00022BE2" w:rsidRPr="008A0A0E" w:rsidP="0099425A" w14:paraId="472AFDBC" w14:textId="77777777">
            <w:pPr>
              <w:pStyle w:val="CommentText"/>
              <w:rPr>
                <w:bCs/>
                <w:sz w:val="24"/>
                <w:szCs w:val="24"/>
              </w:rPr>
            </w:pPr>
            <w:r w:rsidRPr="008A0A0E">
              <w:rPr>
                <w:bCs/>
                <w:sz w:val="24"/>
                <w:szCs w:val="24"/>
              </w:rPr>
              <w:t>Attorney Examiners:</w:t>
            </w:r>
          </w:p>
          <w:p w:rsidR="00022BE2" w:rsidRPr="008A0A0E" w:rsidP="0099425A" w14:paraId="4433095E" w14:textId="77777777">
            <w:pPr>
              <w:pStyle w:val="CommentText"/>
              <w:rPr>
                <w:bCs/>
                <w:sz w:val="24"/>
                <w:szCs w:val="24"/>
              </w:rPr>
            </w:pPr>
          </w:p>
          <w:p w:rsidR="00022BE2" w:rsidRPr="008A0A0E" w:rsidP="0099425A" w14:paraId="65409D18" w14:textId="5CEE20BD">
            <w:pPr>
              <w:pStyle w:val="CommentText"/>
              <w:rPr>
                <w:bCs/>
                <w:sz w:val="24"/>
                <w:szCs w:val="24"/>
              </w:rPr>
            </w:pPr>
            <w:hyperlink r:id="rId11" w:history="1">
              <w:r w:rsidRPr="008A0A0E" w:rsidR="00F07B79">
                <w:rPr>
                  <w:rStyle w:val="Hyperlink"/>
                  <w:bCs/>
                  <w:sz w:val="24"/>
                  <w:szCs w:val="24"/>
                </w:rPr>
                <w:t>sarah.parrot@puco.ohio.gov</w:t>
              </w:r>
            </w:hyperlink>
          </w:p>
          <w:p w:rsidR="00022BE2" w:rsidRPr="008A0A0E" w:rsidP="0099425A" w14:paraId="1F04868F" w14:textId="38ABDE47">
            <w:pPr>
              <w:pStyle w:val="CommentText"/>
              <w:rPr>
                <w:bCs/>
                <w:sz w:val="24"/>
                <w:szCs w:val="24"/>
              </w:rPr>
            </w:pPr>
            <w:hyperlink r:id="rId12" w:history="1">
              <w:r w:rsidRPr="008A0A0E" w:rsidR="00F07B79">
                <w:rPr>
                  <w:rStyle w:val="Hyperlink"/>
                  <w:bCs/>
                  <w:sz w:val="24"/>
                  <w:szCs w:val="24"/>
                </w:rPr>
                <w:t>jacqueline.st.john@puco.ohio.gov</w:t>
              </w:r>
            </w:hyperlink>
          </w:p>
          <w:p w:rsidR="00022BE2" w:rsidRPr="008A0A0E" w:rsidP="0099425A" w14:paraId="03161962" w14:textId="3AE5DAB8">
            <w:pPr>
              <w:pStyle w:val="CommentText"/>
              <w:rPr>
                <w:bCs/>
                <w:sz w:val="24"/>
                <w:szCs w:val="24"/>
              </w:rPr>
            </w:pPr>
          </w:p>
        </w:tc>
        <w:tc>
          <w:tcPr>
            <w:tcW w:w="4428" w:type="dxa"/>
            <w:shd w:val="clear" w:color="auto" w:fill="auto"/>
          </w:tcPr>
          <w:p w:rsidR="00022BE2" w:rsidRPr="008A0A0E" w:rsidP="0099425A" w14:paraId="01D883D8" w14:textId="77552DF0">
            <w:pPr>
              <w:pStyle w:val="CommentText"/>
              <w:ind w:left="604"/>
              <w:rPr>
                <w:rStyle w:val="Hyperlink"/>
                <w:bCs/>
                <w:sz w:val="24"/>
                <w:szCs w:val="24"/>
              </w:rPr>
            </w:pPr>
            <w:hyperlink r:id="rId13" w:history="1">
              <w:r w:rsidRPr="008A0A0E" w:rsidR="00F07B79">
                <w:rPr>
                  <w:rStyle w:val="Hyperlink"/>
                  <w:bCs/>
                  <w:sz w:val="24"/>
                  <w:szCs w:val="24"/>
                </w:rPr>
                <w:t>bojko@carpenterlipps.com</w:t>
              </w:r>
            </w:hyperlink>
          </w:p>
          <w:p w:rsidR="00900E33" w:rsidRPr="008A0A0E" w:rsidP="0099425A" w14:paraId="19D03A4A" w14:textId="4817145E">
            <w:pPr>
              <w:pStyle w:val="CommentText"/>
              <w:ind w:left="604"/>
              <w:rPr>
                <w:bCs/>
                <w:sz w:val="24"/>
                <w:szCs w:val="24"/>
              </w:rPr>
            </w:pPr>
            <w:hyperlink r:id="rId14" w:history="1">
              <w:r w:rsidRPr="008A0A0E" w:rsidR="00F07B79">
                <w:rPr>
                  <w:rStyle w:val="Hyperlink"/>
                  <w:bCs/>
                  <w:sz w:val="24"/>
                  <w:szCs w:val="24"/>
                </w:rPr>
                <w:t>wygonski@carpenterlipps.com</w:t>
              </w:r>
            </w:hyperlink>
          </w:p>
          <w:p w:rsidR="00022BE2" w:rsidRPr="008A0A0E" w:rsidP="0099425A" w14:paraId="6A46B4A2" w14:textId="77777777">
            <w:pPr>
              <w:pStyle w:val="CommentText"/>
              <w:ind w:left="604"/>
              <w:rPr>
                <w:sz w:val="24"/>
                <w:szCs w:val="24"/>
              </w:rPr>
            </w:pPr>
            <w:hyperlink r:id="rId15" w:history="1">
              <w:r w:rsidRPr="008A0A0E" w:rsidR="00F07B79">
                <w:rPr>
                  <w:rStyle w:val="Hyperlink"/>
                  <w:sz w:val="24"/>
                  <w:szCs w:val="24"/>
                </w:rPr>
                <w:t>paul</w:t>
              </w:r>
              <w:r w:rsidRPr="008A0A0E" w:rsidR="00F07B79">
                <w:rPr>
                  <w:rStyle w:val="Hyperlink"/>
                  <w:bCs/>
                  <w:sz w:val="24"/>
                  <w:szCs w:val="24"/>
                </w:rPr>
                <w:t>@carpenterlipps.com</w:t>
              </w:r>
            </w:hyperlink>
          </w:p>
          <w:p w:rsidR="00022BE2" w:rsidRPr="008A0A0E" w:rsidP="0099425A" w14:paraId="358CA069" w14:textId="77777777">
            <w:pPr>
              <w:pStyle w:val="CommentText"/>
              <w:ind w:left="604"/>
              <w:rPr>
                <w:sz w:val="24"/>
                <w:szCs w:val="24"/>
              </w:rPr>
            </w:pPr>
            <w:hyperlink r:id="rId16" w:history="1">
              <w:r w:rsidRPr="008A0A0E" w:rsidR="00F07B79">
                <w:rPr>
                  <w:rStyle w:val="Hyperlink"/>
                  <w:sz w:val="24"/>
                  <w:szCs w:val="24"/>
                </w:rPr>
                <w:t>dressel@carpenterlipps.com</w:t>
              </w:r>
            </w:hyperlink>
          </w:p>
          <w:p w:rsidR="00022BE2" w:rsidRPr="008A0A0E" w:rsidP="0099425A" w14:paraId="6EF2AE1D" w14:textId="77777777">
            <w:pPr>
              <w:ind w:firstLine="595"/>
              <w:rPr>
                <w:rStyle w:val="Hyperlink"/>
                <w:bCs/>
              </w:rPr>
            </w:pPr>
            <w:hyperlink r:id="rId17" w:history="1">
              <w:r w:rsidRPr="008A0A0E" w:rsidR="00F07B79">
                <w:rPr>
                  <w:rStyle w:val="Hyperlink"/>
                  <w:bCs/>
                </w:rPr>
                <w:t>rdove@keglerbrown.com</w:t>
              </w:r>
            </w:hyperlink>
          </w:p>
          <w:p w:rsidR="00022BE2" w:rsidRPr="008A0A0E" w:rsidP="0099425A" w14:paraId="6F0E83CC" w14:textId="77777777">
            <w:pPr>
              <w:ind w:firstLine="595"/>
            </w:pPr>
            <w:hyperlink r:id="rId18" w:history="1">
              <w:r w:rsidRPr="008A0A0E" w:rsidR="00F07B79">
                <w:rPr>
                  <w:rStyle w:val="Hyperlink"/>
                </w:rPr>
                <w:t>josephclark@nisource.com</w:t>
              </w:r>
            </w:hyperlink>
          </w:p>
          <w:p w:rsidR="00022BE2" w:rsidRPr="008A0A0E" w:rsidP="0099425A" w14:paraId="1AE30D4B" w14:textId="77777777">
            <w:pPr>
              <w:pStyle w:val="Default"/>
              <w:ind w:left="594"/>
              <w:rPr>
                <w:rFonts w:ascii="Times New Roman" w:hAnsi="Times New Roman" w:cs="Times New Roman"/>
              </w:rPr>
            </w:pPr>
            <w:hyperlink r:id="rId19" w:history="1">
              <w:r w:rsidRPr="008A0A0E" w:rsidR="00F07B79">
                <w:rPr>
                  <w:rStyle w:val="Hyperlink"/>
                  <w:rFonts w:ascii="Times New Roman" w:hAnsi="Times New Roman" w:cs="Times New Roman"/>
                </w:rPr>
                <w:t>egallon@porterwright.com</w:t>
              </w:r>
            </w:hyperlink>
          </w:p>
          <w:p w:rsidR="00022BE2" w:rsidRPr="008A0A0E" w:rsidP="00022BE2" w14:paraId="488C0BA4" w14:textId="34E192F5">
            <w:pPr>
              <w:pStyle w:val="Default"/>
              <w:ind w:left="594"/>
              <w:rPr>
                <w:rFonts w:ascii="Times New Roman" w:hAnsi="Times New Roman" w:cs="Times New Roman"/>
                <w:bCs/>
              </w:rPr>
            </w:pPr>
            <w:hyperlink r:id="rId20" w:history="1">
              <w:r w:rsidRPr="008A0A0E" w:rsidR="00F07B79">
                <w:rPr>
                  <w:rStyle w:val="Hyperlink"/>
                  <w:rFonts w:ascii="Times New Roman" w:hAnsi="Times New Roman" w:cs="Times New Roman"/>
                </w:rPr>
                <w:t>bhughes@porterwright.com</w:t>
              </w:r>
            </w:hyperlink>
          </w:p>
        </w:tc>
      </w:tr>
    </w:tbl>
    <w:p w:rsidR="00C578E7" w:rsidRPr="008A0A0E" w:rsidP="00083A8B" w14:paraId="4C3AADC0" w14:textId="77777777">
      <w:pPr>
        <w:rPr>
          <w:b/>
          <w:u w:val="single"/>
        </w:rPr>
      </w:pPr>
    </w:p>
    <w:sectPr w:rsidSect="008A0A0E">
      <w:footerReference w:type="first" r:id="rId21"/>
      <w:pgSz w:w="12240" w:h="15840"/>
      <w:pgMar w:top="1440" w:right="1800" w:bottom="1440" w:left="1800" w:header="720" w:footer="720" w:gutter="0"/>
      <w:pgNumType w:start="2"/>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4241357"/>
      <w:docPartObj>
        <w:docPartGallery w:val="Page Numbers (Bottom of Page)"/>
        <w:docPartUnique/>
      </w:docPartObj>
    </w:sdtPr>
    <w:sdtEndPr>
      <w:rPr>
        <w:noProof/>
      </w:rPr>
    </w:sdtEndPr>
    <w:sdtContent>
      <w:p w:rsidR="00B01D45" w14:paraId="2D4CED10" w14:textId="5F32B5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CAF" w:rsidP="008A0A0E" w14:paraId="69158253" w14:textId="1931AF18">
    <w:pPr>
      <w:pStyle w:val="Footer"/>
      <w:tabs>
        <w:tab w:val="center" w:pos="4320"/>
        <w:tab w:val="left" w:pos="486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1984721"/>
      <w:docPartObj>
        <w:docPartGallery w:val="Page Numbers (Bottom of Page)"/>
        <w:docPartUnique/>
      </w:docPartObj>
    </w:sdtPr>
    <w:sdtEndPr>
      <w:rPr>
        <w:noProof/>
      </w:rPr>
    </w:sdtEndPr>
    <w:sdtContent>
      <w:p w:rsidR="008A0A0E" w14:paraId="6981F3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6800" w14:paraId="1682056C" w14:textId="77777777">
      <w:r>
        <w:separator/>
      </w:r>
    </w:p>
  </w:footnote>
  <w:footnote w:type="continuationSeparator" w:id="1">
    <w:p w:rsidR="008F6800" w14:paraId="265A57DD" w14:textId="77777777">
      <w:r>
        <w:continuationSeparator/>
      </w:r>
    </w:p>
  </w:footnote>
  <w:footnote w:id="2">
    <w:p w:rsidR="008A67B8" w:rsidRPr="008A67B8" w:rsidP="00B01D45" w14:paraId="1240ED7E" w14:textId="7EC05ABA">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Suburban’s Memorandum Contra and Motion to Strike the Objections of Office of the Ohio Consumers’ Counsel and Motion for Sanctions (March 25, 2022) (“Memorandum Contra”).</w:t>
      </w:r>
    </w:p>
  </w:footnote>
  <w:footnote w:id="3">
    <w:p w:rsidR="001A107D" w:rsidP="00B01D45" w14:paraId="32CD82E2" w14:textId="55E0F61B">
      <w:pPr>
        <w:pStyle w:val="FootnoteText"/>
        <w:spacing w:after="120"/>
      </w:pPr>
      <w:r w:rsidRPr="008A67B8">
        <w:rPr>
          <w:rStyle w:val="FootnoteReference"/>
          <w:rFonts w:ascii="Times New Roman" w:hAnsi="Times New Roman"/>
        </w:rPr>
        <w:footnoteRef/>
      </w:r>
      <w:r w:rsidRPr="008A67B8">
        <w:rPr>
          <w:rFonts w:ascii="Times New Roman" w:hAnsi="Times New Roman"/>
        </w:rPr>
        <w:t xml:space="preserve"> OCC’s Objections to Suburban’s Non-Compliant Tariffs (March </w:t>
      </w:r>
      <w:r w:rsidR="00DF7233">
        <w:rPr>
          <w:rFonts w:ascii="Times New Roman" w:hAnsi="Times New Roman"/>
        </w:rPr>
        <w:t>10</w:t>
      </w:r>
      <w:r w:rsidRPr="008A67B8">
        <w:rPr>
          <w:rFonts w:ascii="Times New Roman" w:hAnsi="Times New Roman"/>
        </w:rPr>
        <w:t>, 2022) (“Objections”).</w:t>
      </w:r>
    </w:p>
  </w:footnote>
  <w:footnote w:id="4">
    <w:p w:rsidR="005400FA" w:rsidRPr="008A67B8" w:rsidP="00B01D45" w14:paraId="4C8AD8E0" w14:textId="34657DC5">
      <w:pPr>
        <w:pStyle w:val="FootnoteText"/>
        <w:spacing w:after="120"/>
        <w:rPr>
          <w:rFonts w:ascii="Times New Roman" w:hAnsi="Times New Roman"/>
        </w:rPr>
      </w:pPr>
      <w:r w:rsidRPr="00A57245">
        <w:rPr>
          <w:rStyle w:val="FootnoteReference"/>
          <w:rFonts w:ascii="Times New Roman" w:hAnsi="Times New Roman"/>
        </w:rPr>
        <w:footnoteRef/>
      </w:r>
      <w:r>
        <w:t xml:space="preserve"> </w:t>
      </w:r>
      <w:r w:rsidRPr="003E633A">
        <w:rPr>
          <w:rFonts w:ascii="Times New Roman" w:hAnsi="Times New Roman"/>
          <w:i/>
          <w:iCs/>
        </w:rPr>
        <w:t>In re Suburban Natural Gas Co.</w:t>
      </w:r>
      <w:r w:rsidRPr="003E633A">
        <w:rPr>
          <w:rFonts w:ascii="Times New Roman" w:hAnsi="Times New Roman"/>
        </w:rPr>
        <w:t>, Slip Opinion No. 2021-Ohio-3224.</w:t>
      </w:r>
    </w:p>
  </w:footnote>
  <w:footnote w:id="5">
    <w:p w:rsidR="0023171C" w:rsidRPr="003E4D6D" w:rsidP="00B01D45" w14:paraId="2A17AAC3" w14:textId="4EE3AAC0">
      <w:pPr>
        <w:pStyle w:val="FootnoteText"/>
        <w:spacing w:after="120"/>
        <w:rPr>
          <w:rFonts w:ascii="Times New Roman" w:hAnsi="Times New Roman"/>
        </w:rPr>
      </w:pPr>
      <w:r w:rsidRPr="003E4D6D">
        <w:rPr>
          <w:rStyle w:val="FootnoteReference"/>
          <w:rFonts w:ascii="Times New Roman" w:hAnsi="Times New Roman"/>
        </w:rPr>
        <w:footnoteRef/>
      </w:r>
      <w:r w:rsidRPr="003E4D6D">
        <w:rPr>
          <w:rFonts w:ascii="Times New Roman" w:hAnsi="Times New Roman"/>
        </w:rPr>
        <w:t xml:space="preserve"> </w:t>
      </w:r>
      <w:r w:rsidRPr="003E4D6D" w:rsidR="000C5782">
        <w:rPr>
          <w:rFonts w:ascii="Times New Roman" w:hAnsi="Times New Roman"/>
        </w:rPr>
        <w:t>Order on Remand,</w:t>
      </w:r>
      <w:r w:rsidRPr="003E4D6D">
        <w:rPr>
          <w:rFonts w:ascii="Times New Roman" w:hAnsi="Times New Roman"/>
        </w:rPr>
        <w:t xml:space="preserve"> ¶ </w:t>
      </w:r>
      <w:r w:rsidRPr="003E4D6D" w:rsidR="000C5782">
        <w:rPr>
          <w:rFonts w:ascii="Times New Roman" w:hAnsi="Times New Roman"/>
        </w:rPr>
        <w:t>61</w:t>
      </w:r>
      <w:r w:rsidRPr="003E4D6D">
        <w:rPr>
          <w:rFonts w:ascii="Times New Roman" w:hAnsi="Times New Roman"/>
        </w:rPr>
        <w:t xml:space="preserve"> (</w:t>
      </w:r>
      <w:r w:rsidRPr="003E4D6D" w:rsidR="00B21724">
        <w:rPr>
          <w:rFonts w:ascii="Times New Roman" w:hAnsi="Times New Roman"/>
        </w:rPr>
        <w:t>February 23, 2022</w:t>
      </w:r>
      <w:r w:rsidRPr="003E4D6D">
        <w:rPr>
          <w:rFonts w:ascii="Times New Roman" w:hAnsi="Times New Roman"/>
        </w:rPr>
        <w:t>).</w:t>
      </w:r>
    </w:p>
  </w:footnote>
  <w:footnote w:id="6">
    <w:p w:rsidR="005400FA" w:rsidP="00B01D45" w14:paraId="459FC901" w14:textId="035BF308">
      <w:pPr>
        <w:pStyle w:val="FootnoteText"/>
        <w:spacing w:after="120"/>
      </w:pPr>
      <w:r w:rsidRPr="003E4D6D">
        <w:rPr>
          <w:rStyle w:val="FootnoteReference"/>
          <w:rFonts w:ascii="Times New Roman" w:hAnsi="Times New Roman"/>
        </w:rPr>
        <w:footnoteRef/>
      </w:r>
      <w:r w:rsidRPr="003E4D6D">
        <w:rPr>
          <w:rFonts w:ascii="Times New Roman" w:hAnsi="Times New Roman"/>
        </w:rPr>
        <w:t xml:space="preserve"> </w:t>
      </w:r>
      <w:r w:rsidR="001B7931">
        <w:rPr>
          <w:rFonts w:ascii="Times New Roman" w:hAnsi="Times New Roman"/>
        </w:rPr>
        <w:t>Objections, at 2.</w:t>
      </w:r>
    </w:p>
  </w:footnote>
  <w:footnote w:id="7">
    <w:p w:rsidR="008A67B8" w:rsidRPr="008A67B8" w:rsidP="00B01D45" w14:paraId="3E416C2C" w14:textId="3496AD22">
      <w:pPr>
        <w:pStyle w:val="FootnoteText"/>
        <w:spacing w:after="120"/>
        <w:rPr>
          <w:rFonts w:ascii="Times New Roman" w:hAnsi="Times New Roman"/>
          <w:i/>
          <w:iCs/>
        </w:rPr>
      </w:pPr>
      <w:r w:rsidRPr="008A67B8">
        <w:rPr>
          <w:rStyle w:val="FootnoteReference"/>
          <w:rFonts w:ascii="Times New Roman" w:hAnsi="Times New Roman"/>
        </w:rPr>
        <w:footnoteRef/>
      </w:r>
      <w:r w:rsidRPr="008A67B8">
        <w:rPr>
          <w:rFonts w:ascii="Times New Roman" w:hAnsi="Times New Roman"/>
        </w:rPr>
        <w:t xml:space="preserve"> </w:t>
      </w:r>
      <w:r w:rsidRPr="008A67B8">
        <w:rPr>
          <w:rFonts w:ascii="Times New Roman" w:hAnsi="Times New Roman"/>
          <w:i/>
          <w:iCs/>
        </w:rPr>
        <w:t>Id.</w:t>
      </w:r>
    </w:p>
  </w:footnote>
  <w:footnote w:id="8">
    <w:p w:rsidR="00D11F24" w:rsidRPr="008A67B8" w:rsidP="00B01D45" w14:paraId="0010FBF6" w14:textId="449A68AF">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Suburban Memorandum in Support, at 4.</w:t>
      </w:r>
    </w:p>
  </w:footnote>
  <w:footnote w:id="9">
    <w:p w:rsidR="008A67B8" w:rsidRPr="008A67B8" w:rsidP="00B01D45" w14:paraId="12BB1041" w14:textId="61907AB5">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Suburban Motion, at 1.</w:t>
      </w:r>
    </w:p>
  </w:footnote>
  <w:footnote w:id="10">
    <w:p w:rsidR="008A67B8" w:rsidRPr="008A67B8" w:rsidP="00B01D45" w14:paraId="088A0B90" w14:textId="32EA4CC9">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Suburban Motion</w:t>
      </w:r>
      <w:r w:rsidRPr="008A67B8" w:rsidR="009A7B9F">
        <w:rPr>
          <w:rFonts w:ascii="Times New Roman" w:hAnsi="Times New Roman"/>
        </w:rPr>
        <w:t>, at 1.</w:t>
      </w:r>
    </w:p>
  </w:footnote>
  <w:footnote w:id="11">
    <w:p w:rsidR="00D11F24" w:rsidRPr="008A67B8" w:rsidP="00B01D45" w14:paraId="12E7DC3A" w14:textId="34E5FF8E">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Suburban Memorandum in Support, at 5.</w:t>
      </w:r>
    </w:p>
  </w:footnote>
  <w:footnote w:id="12">
    <w:p w:rsidR="0080061E" w:rsidRPr="008A67B8" w:rsidP="00B01D45" w14:paraId="538E491F" w14:textId="7DE0E760">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Suburban Memorandum in Support, at 2-3.</w:t>
      </w:r>
    </w:p>
  </w:footnote>
  <w:footnote w:id="13">
    <w:p w:rsidR="004C17BC" w:rsidRPr="008A67B8" w:rsidP="00B01D45" w14:paraId="3BAAED9F" w14:textId="5FDA132C">
      <w:pPr>
        <w:pStyle w:val="FootnoteText"/>
        <w:spacing w:after="120"/>
        <w:rPr>
          <w:rFonts w:ascii="Times New Roman" w:hAnsi="Times New Roman"/>
          <w:i/>
          <w:iCs/>
        </w:rPr>
      </w:pPr>
      <w:r w:rsidRPr="008A67B8">
        <w:rPr>
          <w:rStyle w:val="FootnoteReference"/>
          <w:rFonts w:ascii="Times New Roman" w:hAnsi="Times New Roman"/>
        </w:rPr>
        <w:footnoteRef/>
      </w:r>
      <w:r w:rsidRPr="008A67B8">
        <w:rPr>
          <w:rFonts w:ascii="Times New Roman" w:hAnsi="Times New Roman"/>
        </w:rPr>
        <w:t xml:space="preserve"> </w:t>
      </w:r>
      <w:r w:rsidRPr="008A67B8">
        <w:rPr>
          <w:rFonts w:ascii="Times New Roman" w:hAnsi="Times New Roman"/>
          <w:i/>
          <w:iCs/>
        </w:rPr>
        <w:t>Id.</w:t>
      </w:r>
    </w:p>
  </w:footnote>
  <w:footnote w:id="14">
    <w:p w:rsidR="001A2339" w:rsidRPr="001A2339" w:rsidP="00B01D45" w14:paraId="7192506E" w14:textId="4EA57A3F">
      <w:pPr>
        <w:pStyle w:val="FootnoteText"/>
        <w:spacing w:after="120"/>
      </w:pPr>
      <w:r w:rsidRPr="008A67B8">
        <w:rPr>
          <w:rStyle w:val="FootnoteReference"/>
          <w:rFonts w:ascii="Times New Roman" w:hAnsi="Times New Roman"/>
        </w:rPr>
        <w:footnoteRef/>
      </w:r>
      <w:r w:rsidRPr="008A67B8">
        <w:rPr>
          <w:rFonts w:ascii="Times New Roman" w:hAnsi="Times New Roman"/>
        </w:rPr>
        <w:t xml:space="preserve"> </w:t>
      </w:r>
      <w:r w:rsidRPr="008A67B8">
        <w:rPr>
          <w:rFonts w:ascii="Times New Roman" w:hAnsi="Times New Roman"/>
          <w:i/>
          <w:iCs/>
        </w:rPr>
        <w:t xml:space="preserve">See </w:t>
      </w:r>
      <w:r w:rsidRPr="008A67B8">
        <w:rPr>
          <w:rFonts w:ascii="Times New Roman" w:hAnsi="Times New Roman"/>
        </w:rPr>
        <w:t>Suburban’s Application for Rehearing of the PUCO’s Order on Remand (March 25, 2022).</w:t>
      </w:r>
    </w:p>
  </w:footnote>
  <w:footnote w:id="15">
    <w:p w:rsidR="00564B4E" w:rsidRPr="008A67B8" w:rsidP="00B01D45" w14:paraId="4CACEEA3" w14:textId="7B72C730">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w:t>
      </w:r>
      <w:r w:rsidRPr="008A67B8">
        <w:rPr>
          <w:rFonts w:ascii="Times New Roman" w:hAnsi="Times New Roman"/>
          <w:i/>
          <w:iCs/>
        </w:rPr>
        <w:t xml:space="preserve">See </w:t>
      </w:r>
      <w:r w:rsidRPr="008A67B8" w:rsidR="00035006">
        <w:rPr>
          <w:rFonts w:ascii="Times New Roman" w:hAnsi="Times New Roman"/>
        </w:rPr>
        <w:t>Objections to Suburban’s Non-Compliant Tariffs by Office of the Ohio Consumers’ Counsel (Oct</w:t>
      </w:r>
      <w:r w:rsidR="00B01D45">
        <w:rPr>
          <w:rFonts w:ascii="Times New Roman" w:hAnsi="Times New Roman"/>
        </w:rPr>
        <w:t>ober</w:t>
      </w:r>
      <w:r w:rsidRPr="008A67B8" w:rsidR="00035006">
        <w:rPr>
          <w:rFonts w:ascii="Times New Roman" w:hAnsi="Times New Roman"/>
        </w:rPr>
        <w:t xml:space="preserve"> 15, 2021). </w:t>
      </w:r>
    </w:p>
  </w:footnote>
  <w:footnote w:id="16">
    <w:p w:rsidR="0099394F" w:rsidRPr="008A67B8" w:rsidP="00B01D45" w14:paraId="038B0B8C" w14:textId="46FA5CFE">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Entry </w:t>
      </w:r>
      <w:r w:rsidRPr="008A67B8" w:rsidR="00482BFC">
        <w:rPr>
          <w:rFonts w:ascii="Times New Roman" w:hAnsi="Times New Roman"/>
        </w:rPr>
        <w:t>(Oct</w:t>
      </w:r>
      <w:r w:rsidR="00B01D45">
        <w:rPr>
          <w:rFonts w:ascii="Times New Roman" w:hAnsi="Times New Roman"/>
        </w:rPr>
        <w:t>ober</w:t>
      </w:r>
      <w:r w:rsidRPr="008A67B8" w:rsidR="00482BFC">
        <w:rPr>
          <w:rFonts w:ascii="Times New Roman" w:hAnsi="Times New Roman"/>
        </w:rPr>
        <w:t xml:space="preserve"> 20, 2021), at ¶ 23.</w:t>
      </w:r>
    </w:p>
  </w:footnote>
  <w:footnote w:id="17">
    <w:p w:rsidR="00850A87" w:rsidRPr="008A67B8" w:rsidP="00B01D45" w14:paraId="0D56F3A2" w14:textId="7F4F26B8">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Entry (Oct</w:t>
      </w:r>
      <w:r w:rsidR="00B01D45">
        <w:rPr>
          <w:rFonts w:ascii="Times New Roman" w:hAnsi="Times New Roman"/>
        </w:rPr>
        <w:t>ober</w:t>
      </w:r>
      <w:r w:rsidRPr="008A67B8">
        <w:rPr>
          <w:rFonts w:ascii="Times New Roman" w:hAnsi="Times New Roman"/>
        </w:rPr>
        <w:t xml:space="preserve"> 20, 2021), at ¶ 23 (emphasis added).</w:t>
      </w:r>
    </w:p>
  </w:footnote>
  <w:footnote w:id="18">
    <w:p w:rsidR="00CB2407" w:rsidRPr="008A67B8" w:rsidP="00B01D45" w14:paraId="480E864C" w14:textId="3C3E91A9">
      <w:pPr>
        <w:pStyle w:val="FootnoteText"/>
        <w:spacing w:after="120"/>
        <w:rPr>
          <w:rFonts w:ascii="Times New Roman" w:hAnsi="Times New Roman"/>
        </w:rPr>
      </w:pPr>
      <w:r w:rsidRPr="008A67B8">
        <w:rPr>
          <w:rStyle w:val="FootnoteReference"/>
          <w:rFonts w:ascii="Times New Roman" w:hAnsi="Times New Roman"/>
        </w:rPr>
        <w:footnoteRef/>
      </w:r>
      <w:r w:rsidRPr="008A67B8">
        <w:rPr>
          <w:rFonts w:ascii="Times New Roman" w:hAnsi="Times New Roman"/>
        </w:rPr>
        <w:t xml:space="preserve"> Suburban Memorandum in Support, at 1.</w:t>
      </w:r>
    </w:p>
  </w:footnote>
  <w:footnote w:id="19">
    <w:p w:rsidR="00780BBF" w:rsidP="00B01D45" w14:paraId="5DBB62BF" w14:textId="01865B74">
      <w:pPr>
        <w:pStyle w:val="FootnoteText"/>
        <w:spacing w:after="120"/>
      </w:pPr>
      <w:r w:rsidRPr="008A67B8">
        <w:rPr>
          <w:rStyle w:val="FootnoteReference"/>
          <w:rFonts w:ascii="Times New Roman" w:hAnsi="Times New Roman"/>
        </w:rPr>
        <w:footnoteRef/>
      </w:r>
      <w:r w:rsidRPr="008A67B8">
        <w:rPr>
          <w:rFonts w:ascii="Times New Roman" w:hAnsi="Times New Roman"/>
        </w:rPr>
        <w:t xml:space="preserve"> Entry (Oct</w:t>
      </w:r>
      <w:r w:rsidR="00B01D45">
        <w:rPr>
          <w:rFonts w:ascii="Times New Roman" w:hAnsi="Times New Roman"/>
        </w:rPr>
        <w:t>ober</w:t>
      </w:r>
      <w:r w:rsidRPr="008A67B8">
        <w:rPr>
          <w:rFonts w:ascii="Times New Roman" w:hAnsi="Times New Roman"/>
        </w:rPr>
        <w:t xml:space="preserve"> 20, 2021), at ¶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73987"/>
    <w:multiLevelType w:val="hybridMultilevel"/>
    <w:tmpl w:val="73E488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917996"/>
    <w:multiLevelType w:val="hybridMultilevel"/>
    <w:tmpl w:val="B012315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9212CB"/>
    <w:multiLevelType w:val="hybridMultilevel"/>
    <w:tmpl w:val="6CC8AD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2E539F0"/>
    <w:multiLevelType w:val="hybridMultilevel"/>
    <w:tmpl w:val="D612312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C815FF1"/>
    <w:multiLevelType w:val="hybridMultilevel"/>
    <w:tmpl w:val="FB9C53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6014969"/>
    <w:multiLevelType w:val="hybridMultilevel"/>
    <w:tmpl w:val="F2FA09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837295D"/>
    <w:multiLevelType w:val="hybridMultilevel"/>
    <w:tmpl w:val="21F06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89C55ED"/>
    <w:multiLevelType w:val="hybridMultilevel"/>
    <w:tmpl w:val="629C55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24"/>
  </w:num>
  <w:num w:numId="4">
    <w:abstractNumId w:val="1"/>
  </w:num>
  <w:num w:numId="5">
    <w:abstractNumId w:val="19"/>
  </w:num>
  <w:num w:numId="6">
    <w:abstractNumId w:val="11"/>
  </w:num>
  <w:num w:numId="7">
    <w:abstractNumId w:val="13"/>
  </w:num>
  <w:num w:numId="8">
    <w:abstractNumId w:val="22"/>
  </w:num>
  <w:num w:numId="9">
    <w:abstractNumId w:val="15"/>
  </w:num>
  <w:num w:numId="10">
    <w:abstractNumId w:val="3"/>
  </w:num>
  <w:num w:numId="11">
    <w:abstractNumId w:val="7"/>
  </w:num>
  <w:num w:numId="12">
    <w:abstractNumId w:val="10"/>
  </w:num>
  <w:num w:numId="13">
    <w:abstractNumId w:val="9"/>
  </w:num>
  <w:num w:numId="14">
    <w:abstractNumId w:val="5"/>
  </w:num>
  <w:num w:numId="15">
    <w:abstractNumId w:val="30"/>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6"/>
  </w:num>
  <w:num w:numId="21">
    <w:abstractNumId w:val="26"/>
  </w:num>
  <w:num w:numId="22">
    <w:abstractNumId w:val="12"/>
  </w:num>
  <w:num w:numId="23">
    <w:abstractNumId w:val="29"/>
  </w:num>
  <w:num w:numId="24">
    <w:abstractNumId w:val="18"/>
  </w:num>
  <w:num w:numId="25">
    <w:abstractNumId w:val="28"/>
  </w:num>
  <w:num w:numId="26">
    <w:abstractNumId w:val="6"/>
  </w:num>
  <w:num w:numId="27">
    <w:abstractNumId w:val="20"/>
  </w:num>
  <w:num w:numId="28">
    <w:abstractNumId w:val="27"/>
  </w:num>
  <w:num w:numId="29">
    <w:abstractNumId w:val="17"/>
  </w:num>
  <w:num w:numId="30">
    <w:abstractNumId w:val="25"/>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F0"/>
    <w:rsid w:val="00006881"/>
    <w:rsid w:val="00011F5D"/>
    <w:rsid w:val="00022BE2"/>
    <w:rsid w:val="00035006"/>
    <w:rsid w:val="00036EEF"/>
    <w:rsid w:val="000403DB"/>
    <w:rsid w:val="00051290"/>
    <w:rsid w:val="00057B20"/>
    <w:rsid w:val="00060CE6"/>
    <w:rsid w:val="00061392"/>
    <w:rsid w:val="0006432F"/>
    <w:rsid w:val="00074854"/>
    <w:rsid w:val="00083A8B"/>
    <w:rsid w:val="000845B8"/>
    <w:rsid w:val="000971D4"/>
    <w:rsid w:val="000A0D95"/>
    <w:rsid w:val="000A4237"/>
    <w:rsid w:val="000A4BF0"/>
    <w:rsid w:val="000C34E7"/>
    <w:rsid w:val="000C5782"/>
    <w:rsid w:val="000C750D"/>
    <w:rsid w:val="000D20E2"/>
    <w:rsid w:val="000D2315"/>
    <w:rsid w:val="000E707C"/>
    <w:rsid w:val="000F3A7C"/>
    <w:rsid w:val="000F4353"/>
    <w:rsid w:val="00114BAC"/>
    <w:rsid w:val="0012199B"/>
    <w:rsid w:val="001306C5"/>
    <w:rsid w:val="00132897"/>
    <w:rsid w:val="001425F3"/>
    <w:rsid w:val="00147EDA"/>
    <w:rsid w:val="00164463"/>
    <w:rsid w:val="00166F92"/>
    <w:rsid w:val="00167954"/>
    <w:rsid w:val="00167A91"/>
    <w:rsid w:val="00171FB3"/>
    <w:rsid w:val="001739BE"/>
    <w:rsid w:val="001814E7"/>
    <w:rsid w:val="00183F20"/>
    <w:rsid w:val="001A107D"/>
    <w:rsid w:val="001A2339"/>
    <w:rsid w:val="001A396D"/>
    <w:rsid w:val="001A3B98"/>
    <w:rsid w:val="001B7931"/>
    <w:rsid w:val="001D608B"/>
    <w:rsid w:val="001E0163"/>
    <w:rsid w:val="00200CAF"/>
    <w:rsid w:val="0020245C"/>
    <w:rsid w:val="00202CA5"/>
    <w:rsid w:val="00205074"/>
    <w:rsid w:val="002074A3"/>
    <w:rsid w:val="00211445"/>
    <w:rsid w:val="0023171C"/>
    <w:rsid w:val="00250190"/>
    <w:rsid w:val="00253C99"/>
    <w:rsid w:val="00255C98"/>
    <w:rsid w:val="0026698B"/>
    <w:rsid w:val="00271DE5"/>
    <w:rsid w:val="0027371A"/>
    <w:rsid w:val="00277CDF"/>
    <w:rsid w:val="002841CB"/>
    <w:rsid w:val="002A3AB1"/>
    <w:rsid w:val="002A688B"/>
    <w:rsid w:val="002B6CF0"/>
    <w:rsid w:val="002D01F1"/>
    <w:rsid w:val="002D7A69"/>
    <w:rsid w:val="002F2D85"/>
    <w:rsid w:val="003144C6"/>
    <w:rsid w:val="00314C13"/>
    <w:rsid w:val="00335ED2"/>
    <w:rsid w:val="00344197"/>
    <w:rsid w:val="0035364D"/>
    <w:rsid w:val="0035513E"/>
    <w:rsid w:val="00370963"/>
    <w:rsid w:val="00383EDB"/>
    <w:rsid w:val="00384970"/>
    <w:rsid w:val="003944D1"/>
    <w:rsid w:val="0039546D"/>
    <w:rsid w:val="003A4A81"/>
    <w:rsid w:val="003B2E7B"/>
    <w:rsid w:val="003D2481"/>
    <w:rsid w:val="003D387E"/>
    <w:rsid w:val="003D6083"/>
    <w:rsid w:val="003E4D6D"/>
    <w:rsid w:val="003E5F6E"/>
    <w:rsid w:val="003E633A"/>
    <w:rsid w:val="004111FA"/>
    <w:rsid w:val="0042455D"/>
    <w:rsid w:val="00424AC9"/>
    <w:rsid w:val="0042722E"/>
    <w:rsid w:val="004379CD"/>
    <w:rsid w:val="00443D17"/>
    <w:rsid w:val="00451024"/>
    <w:rsid w:val="004512B4"/>
    <w:rsid w:val="004665C8"/>
    <w:rsid w:val="0047041B"/>
    <w:rsid w:val="004728A2"/>
    <w:rsid w:val="00482BFC"/>
    <w:rsid w:val="004B531A"/>
    <w:rsid w:val="004C17BC"/>
    <w:rsid w:val="004C2F82"/>
    <w:rsid w:val="004D46CF"/>
    <w:rsid w:val="004E75F5"/>
    <w:rsid w:val="004F1759"/>
    <w:rsid w:val="00505527"/>
    <w:rsid w:val="00510AC0"/>
    <w:rsid w:val="005133EB"/>
    <w:rsid w:val="00514F2B"/>
    <w:rsid w:val="005216DF"/>
    <w:rsid w:val="005244B6"/>
    <w:rsid w:val="005400FA"/>
    <w:rsid w:val="005438E4"/>
    <w:rsid w:val="0055223A"/>
    <w:rsid w:val="00552DDD"/>
    <w:rsid w:val="00556E48"/>
    <w:rsid w:val="00564B4E"/>
    <w:rsid w:val="0057691B"/>
    <w:rsid w:val="005814C8"/>
    <w:rsid w:val="00581A9E"/>
    <w:rsid w:val="00585EC2"/>
    <w:rsid w:val="00591DB2"/>
    <w:rsid w:val="005A27FD"/>
    <w:rsid w:val="005B1535"/>
    <w:rsid w:val="005C2E53"/>
    <w:rsid w:val="005C686B"/>
    <w:rsid w:val="005C7331"/>
    <w:rsid w:val="005D389A"/>
    <w:rsid w:val="005F2DB5"/>
    <w:rsid w:val="005F5535"/>
    <w:rsid w:val="005F7A1F"/>
    <w:rsid w:val="00604EFA"/>
    <w:rsid w:val="00605701"/>
    <w:rsid w:val="00611832"/>
    <w:rsid w:val="0062377E"/>
    <w:rsid w:val="00630C17"/>
    <w:rsid w:val="00631448"/>
    <w:rsid w:val="00636210"/>
    <w:rsid w:val="00644527"/>
    <w:rsid w:val="00664F77"/>
    <w:rsid w:val="00665434"/>
    <w:rsid w:val="00671C27"/>
    <w:rsid w:val="00671CDA"/>
    <w:rsid w:val="006B2834"/>
    <w:rsid w:val="006B7E2D"/>
    <w:rsid w:val="006C1486"/>
    <w:rsid w:val="006D5422"/>
    <w:rsid w:val="006F5122"/>
    <w:rsid w:val="007016CA"/>
    <w:rsid w:val="007052F3"/>
    <w:rsid w:val="00706457"/>
    <w:rsid w:val="007178DC"/>
    <w:rsid w:val="007209DE"/>
    <w:rsid w:val="0072100A"/>
    <w:rsid w:val="00725879"/>
    <w:rsid w:val="00727BAC"/>
    <w:rsid w:val="007338CA"/>
    <w:rsid w:val="007373A0"/>
    <w:rsid w:val="00763FAD"/>
    <w:rsid w:val="0076608F"/>
    <w:rsid w:val="007748DB"/>
    <w:rsid w:val="00774C25"/>
    <w:rsid w:val="0077555B"/>
    <w:rsid w:val="007807F0"/>
    <w:rsid w:val="00780BBF"/>
    <w:rsid w:val="00784351"/>
    <w:rsid w:val="00791915"/>
    <w:rsid w:val="00791E61"/>
    <w:rsid w:val="007A1A74"/>
    <w:rsid w:val="007A3057"/>
    <w:rsid w:val="007B52DA"/>
    <w:rsid w:val="007C45B9"/>
    <w:rsid w:val="007D28C3"/>
    <w:rsid w:val="007E15A0"/>
    <w:rsid w:val="007F1719"/>
    <w:rsid w:val="007F3C67"/>
    <w:rsid w:val="0080061E"/>
    <w:rsid w:val="0080566C"/>
    <w:rsid w:val="008108E7"/>
    <w:rsid w:val="0081266E"/>
    <w:rsid w:val="00820948"/>
    <w:rsid w:val="008303FC"/>
    <w:rsid w:val="008310EA"/>
    <w:rsid w:val="0083351D"/>
    <w:rsid w:val="00840CF9"/>
    <w:rsid w:val="00843620"/>
    <w:rsid w:val="00850A87"/>
    <w:rsid w:val="0086212B"/>
    <w:rsid w:val="00882319"/>
    <w:rsid w:val="008A0A0E"/>
    <w:rsid w:val="008A5A4E"/>
    <w:rsid w:val="008A67B8"/>
    <w:rsid w:val="008A7424"/>
    <w:rsid w:val="008B2B2B"/>
    <w:rsid w:val="008B4D0A"/>
    <w:rsid w:val="008C3797"/>
    <w:rsid w:val="008C63ED"/>
    <w:rsid w:val="008D5DAF"/>
    <w:rsid w:val="008D6490"/>
    <w:rsid w:val="008F0A5F"/>
    <w:rsid w:val="008F0AD0"/>
    <w:rsid w:val="008F52F7"/>
    <w:rsid w:val="008F6800"/>
    <w:rsid w:val="00900E33"/>
    <w:rsid w:val="00901811"/>
    <w:rsid w:val="009021A4"/>
    <w:rsid w:val="0090694F"/>
    <w:rsid w:val="00932969"/>
    <w:rsid w:val="00947876"/>
    <w:rsid w:val="00960C3C"/>
    <w:rsid w:val="0099394F"/>
    <w:rsid w:val="0099425A"/>
    <w:rsid w:val="009A1C35"/>
    <w:rsid w:val="009A7B9F"/>
    <w:rsid w:val="009B00B8"/>
    <w:rsid w:val="009B397D"/>
    <w:rsid w:val="009B4C40"/>
    <w:rsid w:val="009B6606"/>
    <w:rsid w:val="009B7D9F"/>
    <w:rsid w:val="009C4C2F"/>
    <w:rsid w:val="009D1E0F"/>
    <w:rsid w:val="009D4F11"/>
    <w:rsid w:val="009D6D8B"/>
    <w:rsid w:val="009E4CFE"/>
    <w:rsid w:val="009F39AB"/>
    <w:rsid w:val="009F3EA0"/>
    <w:rsid w:val="00A0421F"/>
    <w:rsid w:val="00A1163A"/>
    <w:rsid w:val="00A17E6D"/>
    <w:rsid w:val="00A461FD"/>
    <w:rsid w:val="00A506D5"/>
    <w:rsid w:val="00A53058"/>
    <w:rsid w:val="00A53CDC"/>
    <w:rsid w:val="00A57245"/>
    <w:rsid w:val="00A66CDD"/>
    <w:rsid w:val="00A81647"/>
    <w:rsid w:val="00A85502"/>
    <w:rsid w:val="00A9541E"/>
    <w:rsid w:val="00AA4C3F"/>
    <w:rsid w:val="00AA734C"/>
    <w:rsid w:val="00AD5926"/>
    <w:rsid w:val="00B01D45"/>
    <w:rsid w:val="00B01F21"/>
    <w:rsid w:val="00B02672"/>
    <w:rsid w:val="00B068FD"/>
    <w:rsid w:val="00B201B5"/>
    <w:rsid w:val="00B21724"/>
    <w:rsid w:val="00B30DF0"/>
    <w:rsid w:val="00B504FB"/>
    <w:rsid w:val="00B7184A"/>
    <w:rsid w:val="00B76DB4"/>
    <w:rsid w:val="00B80961"/>
    <w:rsid w:val="00BB0C6F"/>
    <w:rsid w:val="00BB6176"/>
    <w:rsid w:val="00BC2936"/>
    <w:rsid w:val="00BC3B1E"/>
    <w:rsid w:val="00BE04F8"/>
    <w:rsid w:val="00BF0177"/>
    <w:rsid w:val="00BF386A"/>
    <w:rsid w:val="00BF3EEC"/>
    <w:rsid w:val="00BF55DD"/>
    <w:rsid w:val="00C15390"/>
    <w:rsid w:val="00C5332D"/>
    <w:rsid w:val="00C578E7"/>
    <w:rsid w:val="00C6031A"/>
    <w:rsid w:val="00C603C1"/>
    <w:rsid w:val="00C616F1"/>
    <w:rsid w:val="00C63E0B"/>
    <w:rsid w:val="00C63E3B"/>
    <w:rsid w:val="00C90299"/>
    <w:rsid w:val="00C908D5"/>
    <w:rsid w:val="00C96150"/>
    <w:rsid w:val="00C97C80"/>
    <w:rsid w:val="00CB2407"/>
    <w:rsid w:val="00CB408D"/>
    <w:rsid w:val="00CC0525"/>
    <w:rsid w:val="00CC40C8"/>
    <w:rsid w:val="00CC5484"/>
    <w:rsid w:val="00CE6312"/>
    <w:rsid w:val="00CE6A0E"/>
    <w:rsid w:val="00CF0CC5"/>
    <w:rsid w:val="00CF2A3B"/>
    <w:rsid w:val="00D05956"/>
    <w:rsid w:val="00D11F24"/>
    <w:rsid w:val="00D2109E"/>
    <w:rsid w:val="00D24C72"/>
    <w:rsid w:val="00D25B12"/>
    <w:rsid w:val="00D36CA7"/>
    <w:rsid w:val="00D41E3C"/>
    <w:rsid w:val="00D47085"/>
    <w:rsid w:val="00D476D3"/>
    <w:rsid w:val="00D5600C"/>
    <w:rsid w:val="00D662E8"/>
    <w:rsid w:val="00DC0E1E"/>
    <w:rsid w:val="00DE166F"/>
    <w:rsid w:val="00DF53FA"/>
    <w:rsid w:val="00DF7233"/>
    <w:rsid w:val="00E109DD"/>
    <w:rsid w:val="00E21B16"/>
    <w:rsid w:val="00E33740"/>
    <w:rsid w:val="00E40064"/>
    <w:rsid w:val="00E44A11"/>
    <w:rsid w:val="00E5730F"/>
    <w:rsid w:val="00E626A9"/>
    <w:rsid w:val="00E65D30"/>
    <w:rsid w:val="00E6618E"/>
    <w:rsid w:val="00E701C1"/>
    <w:rsid w:val="00E734F0"/>
    <w:rsid w:val="00E74770"/>
    <w:rsid w:val="00E835C3"/>
    <w:rsid w:val="00E8587D"/>
    <w:rsid w:val="00E924C7"/>
    <w:rsid w:val="00EA2DDD"/>
    <w:rsid w:val="00EA3557"/>
    <w:rsid w:val="00EA51A6"/>
    <w:rsid w:val="00ED0A82"/>
    <w:rsid w:val="00ED36EB"/>
    <w:rsid w:val="00ED7CA2"/>
    <w:rsid w:val="00EE0D9C"/>
    <w:rsid w:val="00EE26A4"/>
    <w:rsid w:val="00F0269C"/>
    <w:rsid w:val="00F0504C"/>
    <w:rsid w:val="00F07B79"/>
    <w:rsid w:val="00F10971"/>
    <w:rsid w:val="00F30D3F"/>
    <w:rsid w:val="00F64CFE"/>
    <w:rsid w:val="00F7000C"/>
    <w:rsid w:val="00F74325"/>
    <w:rsid w:val="00F76357"/>
    <w:rsid w:val="00F82C6C"/>
    <w:rsid w:val="00F8404A"/>
    <w:rsid w:val="00F878E5"/>
    <w:rsid w:val="00F97127"/>
    <w:rsid w:val="00FA283D"/>
    <w:rsid w:val="00FA769A"/>
    <w:rsid w:val="00FC5ACA"/>
    <w:rsid w:val="00FC63D0"/>
    <w:rsid w:val="00FD30AB"/>
    <w:rsid w:val="00FD31D7"/>
    <w:rsid w:val="00FD62BA"/>
    <w:rsid w:val="00FF1A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98"/>
    <w:rPr>
      <w:sz w:val="24"/>
      <w:szCs w:val="24"/>
      <w:lang w:bidi="en-US"/>
    </w:rPr>
  </w:style>
  <w:style w:type="paragraph" w:styleId="Heading1">
    <w:name w:val="heading 1"/>
    <w:basedOn w:val="Normal"/>
    <w:next w:val="Normal"/>
    <w:link w:val="Heading1Char"/>
    <w:autoRedefine/>
    <w:uiPriority w:val="9"/>
    <w:qFormat/>
    <w:rsid w:val="00BC3B1E"/>
    <w:pPr>
      <w:keepNext/>
      <w:spacing w:after="240"/>
      <w:ind w:left="720" w:hanging="720"/>
      <w:outlineLvl w:val="0"/>
    </w:pPr>
    <w:rPr>
      <w:rFonts w:ascii="Times New Roman Bold" w:hAnsi="Times New Roman Bold"/>
      <w:b/>
      <w:bCs/>
      <w:kern w:val="32"/>
    </w:rPr>
  </w:style>
  <w:style w:type="paragraph" w:styleId="Heading2">
    <w:name w:val="heading 2"/>
    <w:basedOn w:val="Normal"/>
    <w:next w:val="Normal"/>
    <w:link w:val="Heading2Char"/>
    <w:autoRedefine/>
    <w:uiPriority w:val="9"/>
    <w:qFormat/>
    <w:rsid w:val="00BC3B1E"/>
    <w:pPr>
      <w:keepNext/>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E924C7"/>
    <w:pPr>
      <w:keepNext/>
      <w:spacing w:after="240"/>
      <w:ind w:left="2160" w:hanging="72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spacing w:after="240"/>
      <w:ind w:left="2880" w:hanging="7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3B1E"/>
    <w:rPr>
      <w:rFonts w:ascii="Times New Roman Bold" w:hAnsi="Times New Roman Bold"/>
      <w:b/>
      <w:bCs/>
      <w:kern w:val="32"/>
      <w:sz w:val="24"/>
      <w:szCs w:val="24"/>
      <w:lang w:bidi="en-US"/>
    </w:rPr>
  </w:style>
  <w:style w:type="character" w:customStyle="1" w:styleId="Heading2Char">
    <w:name w:val="Heading 2 Char"/>
    <w:link w:val="Heading2"/>
    <w:uiPriority w:val="9"/>
    <w:rsid w:val="00BC3B1E"/>
    <w:rPr>
      <w:rFonts w:ascii="Times New Roman Bold" w:hAnsi="Times New Roman Bold"/>
      <w:b/>
      <w:bCs/>
      <w:iCs/>
      <w:sz w:val="24"/>
      <w:szCs w:val="28"/>
      <w:lang w:bidi="en-US"/>
    </w:rPr>
  </w:style>
  <w:style w:type="character" w:customStyle="1" w:styleId="Heading3Char">
    <w:name w:val="Heading 3 Char"/>
    <w:link w:val="Heading3"/>
    <w:uiPriority w:val="9"/>
    <w:rsid w:val="00E924C7"/>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D662E8"/>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D662E8"/>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D662E8"/>
    <w:pPr>
      <w:tabs>
        <w:tab w:val="decimal" w:leader="dot" w:pos="9360"/>
      </w:tabs>
      <w:spacing w:after="240"/>
      <w:ind w:left="2160" w:hanging="720"/>
      <w:outlineLvl w:val="2"/>
    </w:pPr>
  </w:style>
  <w:style w:type="character" w:customStyle="1" w:styleId="UnresolvedMention2">
    <w:name w:val="Unresolved Mention2"/>
    <w:basedOn w:val="DefaultParagraphFont"/>
    <w:uiPriority w:val="99"/>
    <w:rsid w:val="00B41D4F"/>
    <w:rPr>
      <w:color w:val="605E5C"/>
      <w:shd w:val="clear" w:color="auto" w:fill="E1DFDD"/>
    </w:rPr>
  </w:style>
  <w:style w:type="character" w:customStyle="1" w:styleId="UnresolvedMention3">
    <w:name w:val="Unresolved Mention3"/>
    <w:basedOn w:val="DefaultParagraphFont"/>
    <w:uiPriority w:val="99"/>
    <w:rsid w:val="00083A8B"/>
    <w:rPr>
      <w:color w:val="605E5C"/>
      <w:shd w:val="clear" w:color="auto" w:fill="E1DFDD"/>
    </w:rPr>
  </w:style>
  <w:style w:type="paragraph" w:styleId="BodyTextIndent3">
    <w:name w:val="Body Text Indent 3"/>
    <w:basedOn w:val="Normal"/>
    <w:link w:val="BodyTextIndent3Char"/>
    <w:uiPriority w:val="99"/>
    <w:unhideWhenUsed/>
    <w:rsid w:val="00644527"/>
    <w:pPr>
      <w:spacing w:after="120"/>
      <w:ind w:left="360"/>
    </w:pPr>
    <w:rPr>
      <w:sz w:val="16"/>
      <w:szCs w:val="16"/>
    </w:rPr>
  </w:style>
  <w:style w:type="character" w:customStyle="1" w:styleId="BodyTextIndent3Char">
    <w:name w:val="Body Text Indent 3 Char"/>
    <w:basedOn w:val="DefaultParagraphFont"/>
    <w:link w:val="BodyTextIndent3"/>
    <w:uiPriority w:val="99"/>
    <w:rsid w:val="00644527"/>
    <w:rPr>
      <w:sz w:val="16"/>
      <w:szCs w:val="16"/>
      <w:lang w:bidi="en-US"/>
    </w:rPr>
  </w:style>
  <w:style w:type="paragraph" w:customStyle="1" w:styleId="Default">
    <w:name w:val="Default"/>
    <w:rsid w:val="00022BE2"/>
    <w:pPr>
      <w:autoSpaceDE w:val="0"/>
      <w:autoSpaceDN w:val="0"/>
      <w:adjustRightInd w:val="0"/>
    </w:pPr>
    <w:rPr>
      <w:rFonts w:ascii="Palatino Linotype" w:hAnsi="Palatino Linotype" w:cs="Palatino Linotype"/>
      <w:color w:val="000000"/>
      <w:sz w:val="24"/>
      <w:szCs w:val="24"/>
    </w:rPr>
  </w:style>
  <w:style w:type="character" w:customStyle="1" w:styleId="UnresolvedMention4">
    <w:name w:val="Unresolved Mention4"/>
    <w:basedOn w:val="DefaultParagraphFont"/>
    <w:uiPriority w:val="99"/>
    <w:rsid w:val="00022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erner.margard@ohioAGO.gov" TargetMode="External" /><Relationship Id="rId11" Type="http://schemas.openxmlformats.org/officeDocument/2006/relationships/hyperlink" Target="mailto:sarah.parrot@puco.ohio.gov" TargetMode="External" /><Relationship Id="rId12" Type="http://schemas.openxmlformats.org/officeDocument/2006/relationships/hyperlink" Target="mailto:jacqueline.st.john@puco.ohio.gov" TargetMode="External" /><Relationship Id="rId13" Type="http://schemas.openxmlformats.org/officeDocument/2006/relationships/hyperlink" Target="mailto:bojko@carpenterlipps.com" TargetMode="External" /><Relationship Id="rId14" Type="http://schemas.openxmlformats.org/officeDocument/2006/relationships/hyperlink" Target="mailto:wygonski@carpenterlipps.com" TargetMode="External" /><Relationship Id="rId15" Type="http://schemas.openxmlformats.org/officeDocument/2006/relationships/hyperlink" Target="mailto:paul@carpenterlipps.com" TargetMode="External" /><Relationship Id="rId16" Type="http://schemas.openxmlformats.org/officeDocument/2006/relationships/hyperlink" Target="mailto:dressel@carpenterlipps.com" TargetMode="External" /><Relationship Id="rId17" Type="http://schemas.openxmlformats.org/officeDocument/2006/relationships/hyperlink" Target="mailto:rdove@keglerbrown.com" TargetMode="External" /><Relationship Id="rId18" Type="http://schemas.openxmlformats.org/officeDocument/2006/relationships/hyperlink" Target="mailto:josephclark@nisource.com" TargetMode="External" /><Relationship Id="rId19" Type="http://schemas.openxmlformats.org/officeDocument/2006/relationships/hyperlink" Target="mailto:egallon@porterwright.com" TargetMode="External" /><Relationship Id="rId2" Type="http://schemas.openxmlformats.org/officeDocument/2006/relationships/settings" Target="settings.xml" /><Relationship Id="rId20" Type="http://schemas.openxmlformats.org/officeDocument/2006/relationships/hyperlink" Target="mailto:bhughes@porterwright.com" TargetMode="Externa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angela.obrien@occ.ohio.gov" TargetMode="External" /><Relationship Id="rId9" Type="http://schemas.openxmlformats.org/officeDocument/2006/relationships/hyperlink" Target="mailto:robert.eubank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52CD-B4BF-45E6-BBDF-7719F72E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18-1205-GA-AIR Draft Reply (djd) ls.docx  -  Read-Only.docx</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2022-04-01T19:54:19Z</dcterms:created>
  <dcterms:modified xsi:type="dcterms:W3CDTF">2022-04-01T19:54:19Z</dcterms:modified>
</cp:coreProperties>
</file>