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8E71" w14:textId="77777777" w:rsidR="00E70F1B" w:rsidRPr="000C3B01" w:rsidRDefault="00E70F1B" w:rsidP="00E70F1B">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t>Before</w:t>
      </w:r>
    </w:p>
    <w:p w14:paraId="617C57EB" w14:textId="77777777" w:rsidR="00E70F1B" w:rsidRDefault="00E70F1B" w:rsidP="00E70F1B">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A45CE86" w14:textId="77777777" w:rsidR="00E70F1B" w:rsidRPr="000C3B01" w:rsidRDefault="00E70F1B" w:rsidP="00E70F1B">
      <w:pPr>
        <w:autoSpaceDE w:val="0"/>
        <w:autoSpaceDN w:val="0"/>
        <w:adjustRightInd w:val="0"/>
        <w:jc w:val="center"/>
        <w:rPr>
          <w:rFonts w:ascii="Arial Bold" w:hAnsi="Arial Bold" w:cs="Arial"/>
          <w:smallCaps/>
        </w:rPr>
      </w:pPr>
    </w:p>
    <w:p w14:paraId="6310EA0E"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1AF01333"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071D458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0900EFCA" w14:textId="77777777" w:rsidR="00E70F1B" w:rsidRDefault="00E70F1B" w:rsidP="00E70F1B">
      <w:pPr>
        <w:tabs>
          <w:tab w:val="left" w:pos="4680"/>
          <w:tab w:val="left" w:pos="5220"/>
        </w:tabs>
        <w:autoSpaceDE w:val="0"/>
        <w:autoSpaceDN w:val="0"/>
        <w:adjustRightInd w:val="0"/>
        <w:rPr>
          <w:rFonts w:cs="Arial"/>
        </w:rPr>
      </w:pPr>
    </w:p>
    <w:p w14:paraId="03FBBE2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BA8042"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6CD7569D" w14:textId="77777777" w:rsidR="00E70F1B" w:rsidRDefault="00E70F1B" w:rsidP="00E70F1B">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C22C1F1" w14:textId="77777777" w:rsidR="00E70F1B" w:rsidRPr="000C3B01" w:rsidRDefault="00E70F1B" w:rsidP="00E70F1B">
      <w:pPr>
        <w:tabs>
          <w:tab w:val="left" w:pos="4680"/>
          <w:tab w:val="left" w:pos="5220"/>
        </w:tabs>
        <w:autoSpaceDE w:val="0"/>
        <w:autoSpaceDN w:val="0"/>
        <w:adjustRightInd w:val="0"/>
        <w:rPr>
          <w:rFonts w:cs="Arial"/>
        </w:rPr>
      </w:pPr>
    </w:p>
    <w:p w14:paraId="7C770C98"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E2B1F72"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57625EE9"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73DFEC47" w14:textId="77777777" w:rsidR="00E70F1B" w:rsidRPr="000C3B01" w:rsidRDefault="00E70F1B" w:rsidP="00E70F1B">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7078659D" w14:textId="77777777" w:rsidR="00E70F1B" w:rsidRPr="009D12B6" w:rsidRDefault="00E70F1B" w:rsidP="00E70F1B">
      <w:pPr>
        <w:pBdr>
          <w:bottom w:val="single" w:sz="12" w:space="1" w:color="auto"/>
        </w:pBdr>
        <w:jc w:val="center"/>
      </w:pPr>
    </w:p>
    <w:p w14:paraId="55DF21C2" w14:textId="77777777" w:rsidR="00E70F1B" w:rsidRDefault="00E70F1B" w:rsidP="00E70F1B">
      <w:pPr>
        <w:jc w:val="center"/>
      </w:pPr>
    </w:p>
    <w:p w14:paraId="6C1EF4B4" w14:textId="6642B5C5" w:rsidR="00E70F1B" w:rsidRPr="007E6556" w:rsidRDefault="00E70F1B" w:rsidP="00E70F1B">
      <w:pPr>
        <w:pBdr>
          <w:bottom w:val="single" w:sz="12" w:space="1" w:color="auto"/>
        </w:pBdr>
        <w:jc w:val="center"/>
        <w:rPr>
          <w:rFonts w:ascii="Arial Bold" w:hAnsi="Arial Bold"/>
          <w:b/>
          <w:smallCaps/>
        </w:rPr>
      </w:pPr>
      <w:r w:rsidRPr="007E6556">
        <w:rPr>
          <w:rFonts w:ascii="Arial Bold" w:hAnsi="Arial Bold"/>
          <w:b/>
          <w:smallCaps/>
        </w:rPr>
        <w:t xml:space="preserve">Motion of Industrial Energy Users-Ohio for an Order Permitting It to File a </w:t>
      </w:r>
      <w:r w:rsidR="00320D54">
        <w:rPr>
          <w:rFonts w:ascii="Arial Bold" w:hAnsi="Arial Bold"/>
          <w:b/>
          <w:smallCaps/>
        </w:rPr>
        <w:t>Surreply Opposing</w:t>
      </w:r>
      <w:r w:rsidRPr="007E6556">
        <w:rPr>
          <w:rFonts w:ascii="Arial Bold" w:hAnsi="Arial Bold"/>
          <w:b/>
          <w:smallCaps/>
        </w:rPr>
        <w:t xml:space="preserve"> the Motion of The Dayton Power and Light Company to Implement the SSR Extension</w:t>
      </w:r>
      <w:r w:rsidR="00023566">
        <w:rPr>
          <w:rFonts w:ascii="Arial Bold" w:hAnsi="Arial Bold"/>
          <w:b/>
          <w:smallCaps/>
        </w:rPr>
        <w:t xml:space="preserve"> and Memorandum in Support</w:t>
      </w:r>
    </w:p>
    <w:p w14:paraId="7A9E8670" w14:textId="7D5C6B6E" w:rsidR="00E70F1B" w:rsidRPr="007E6556" w:rsidRDefault="00137313" w:rsidP="00E70F1B">
      <w:pPr>
        <w:pBdr>
          <w:bottom w:val="single" w:sz="12" w:space="1" w:color="auto"/>
        </w:pBdr>
        <w:jc w:val="center"/>
        <w:rPr>
          <w:rFonts w:ascii="Arial Bold" w:hAnsi="Arial Bold"/>
          <w:b/>
          <w:smallCaps/>
        </w:rPr>
      </w:pPr>
      <w:r>
        <w:rPr>
          <w:rFonts w:ascii="Arial Bold" w:hAnsi="Arial Bold"/>
          <w:b/>
          <w:smallCaps/>
        </w:rPr>
        <w:t>(CORRECTED VERSION)</w:t>
      </w:r>
      <w:bookmarkStart w:id="0" w:name="_GoBack"/>
      <w:bookmarkEnd w:id="0"/>
    </w:p>
    <w:p w14:paraId="2E986A01" w14:textId="77777777" w:rsidR="00E70F1B" w:rsidRDefault="00E70F1B" w:rsidP="00E70F1B"/>
    <w:p w14:paraId="282770D2" w14:textId="77777777" w:rsidR="00E70F1B" w:rsidRDefault="00E70F1B" w:rsidP="00E70F1B"/>
    <w:p w14:paraId="0C1FF492" w14:textId="77777777" w:rsidR="00E70F1B" w:rsidRDefault="00E70F1B" w:rsidP="00E70F1B"/>
    <w:p w14:paraId="40F63512" w14:textId="77777777" w:rsidR="00E70F1B" w:rsidRDefault="00E70F1B" w:rsidP="00E70F1B"/>
    <w:p w14:paraId="405EB793" w14:textId="77777777" w:rsidR="00E70F1B" w:rsidRDefault="00E70F1B" w:rsidP="00E70F1B"/>
    <w:p w14:paraId="0CB5598C" w14:textId="77777777" w:rsidR="00E70F1B" w:rsidRDefault="00E70F1B" w:rsidP="00E70F1B"/>
    <w:p w14:paraId="24390CDA" w14:textId="77777777" w:rsidR="00E70F1B" w:rsidRDefault="00E70F1B" w:rsidP="00E70F1B"/>
    <w:p w14:paraId="3BAEDB7D" w14:textId="77777777" w:rsidR="00E70F1B" w:rsidRPr="003533B4" w:rsidRDefault="00E70F1B" w:rsidP="00E70F1B">
      <w:pPr>
        <w:widowControl w:val="0"/>
        <w:ind w:left="4320"/>
        <w:rPr>
          <w:b/>
          <w:bCs/>
          <w:color w:val="000000" w:themeColor="text1"/>
        </w:rPr>
      </w:pPr>
      <w:r w:rsidRPr="003533B4">
        <w:rPr>
          <w:bCs/>
          <w:color w:val="000000" w:themeColor="text1"/>
        </w:rPr>
        <w:t>Frank P. Darr (Reg. No. 0025469)</w:t>
      </w:r>
    </w:p>
    <w:p w14:paraId="3E273183" w14:textId="77777777" w:rsidR="00E70F1B" w:rsidRPr="003533B4" w:rsidRDefault="00E70F1B" w:rsidP="00E70F1B">
      <w:pPr>
        <w:tabs>
          <w:tab w:val="right" w:pos="8640"/>
        </w:tabs>
        <w:ind w:left="432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00A34609" w14:textId="77777777" w:rsidR="00E70F1B" w:rsidRPr="003533B4" w:rsidRDefault="00E70F1B" w:rsidP="00E70F1B">
      <w:pPr>
        <w:widowControl w:val="0"/>
        <w:ind w:left="4320"/>
        <w:rPr>
          <w:b/>
          <w:bCs/>
          <w:color w:val="000000" w:themeColor="text1"/>
        </w:rPr>
      </w:pPr>
      <w:r w:rsidRPr="003533B4">
        <w:rPr>
          <w:bCs/>
          <w:color w:val="000000" w:themeColor="text1"/>
        </w:rPr>
        <w:t>Matthew R. Pritchard (Reg. No. 0088070)</w:t>
      </w:r>
    </w:p>
    <w:p w14:paraId="12C279C6" w14:textId="77777777" w:rsidR="00E70F1B" w:rsidRPr="003533B4" w:rsidRDefault="00E70F1B" w:rsidP="00E70F1B">
      <w:pPr>
        <w:widowControl w:val="0"/>
        <w:ind w:left="4320"/>
        <w:rPr>
          <w:b/>
          <w:bCs/>
          <w:smallCaps/>
          <w:color w:val="000000" w:themeColor="text1"/>
        </w:rPr>
      </w:pPr>
      <w:r w:rsidRPr="003533B4">
        <w:rPr>
          <w:bCs/>
          <w:smallCaps/>
          <w:color w:val="000000" w:themeColor="text1"/>
        </w:rPr>
        <w:t>McNees Wallace &amp; Nurick LLC</w:t>
      </w:r>
    </w:p>
    <w:p w14:paraId="49C664BE" w14:textId="77777777" w:rsidR="00E70F1B" w:rsidRPr="003533B4" w:rsidRDefault="00E70F1B" w:rsidP="00E70F1B">
      <w:pPr>
        <w:widowControl w:val="0"/>
        <w:ind w:left="432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5B139AC3"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Columbus, OH  43215</w:t>
      </w:r>
    </w:p>
    <w:p w14:paraId="1A2502CF"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Telephone:  (614) 469-8000</w:t>
      </w:r>
    </w:p>
    <w:p w14:paraId="18E97C1E"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Telecopier:  (614) 469-4653</w:t>
      </w:r>
    </w:p>
    <w:p w14:paraId="504B5839"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fdarr@mwncmh.com</w:t>
      </w:r>
    </w:p>
    <w:p w14:paraId="75846DED" w14:textId="77777777" w:rsidR="00E70F1B" w:rsidRPr="003533B4" w:rsidRDefault="00E70F1B" w:rsidP="00E70F1B">
      <w:pPr>
        <w:ind w:left="4320"/>
        <w:rPr>
          <w:rFonts w:eastAsia="Times New Roman"/>
          <w:color w:val="000000" w:themeColor="text1"/>
        </w:rPr>
      </w:pPr>
      <w:r w:rsidRPr="003533B4">
        <w:rPr>
          <w:rFonts w:eastAsia="Times New Roman"/>
          <w:color w:val="000000" w:themeColor="text1"/>
        </w:rPr>
        <w:t>mpritchard@mwncmh.com</w:t>
      </w:r>
    </w:p>
    <w:p w14:paraId="747A1A86" w14:textId="77777777" w:rsidR="00E70F1B" w:rsidRPr="003533B4" w:rsidRDefault="00E70F1B" w:rsidP="00E70F1B">
      <w:pPr>
        <w:tabs>
          <w:tab w:val="left" w:pos="4320"/>
          <w:tab w:val="right" w:pos="8640"/>
        </w:tabs>
        <w:rPr>
          <w:color w:val="000000"/>
        </w:rPr>
      </w:pPr>
    </w:p>
    <w:p w14:paraId="0B588995" w14:textId="07E443BD" w:rsidR="00E70F1B" w:rsidRPr="003533B4" w:rsidRDefault="00023566" w:rsidP="00E70F1B">
      <w:pPr>
        <w:tabs>
          <w:tab w:val="left" w:pos="4320"/>
          <w:tab w:val="right" w:pos="8640"/>
        </w:tabs>
        <w:rPr>
          <w:b/>
          <w:color w:val="000000"/>
        </w:rPr>
      </w:pPr>
      <w:r>
        <w:rPr>
          <w:b/>
          <w:color w:val="000000"/>
        </w:rPr>
        <w:t xml:space="preserve">June </w:t>
      </w:r>
      <w:r w:rsidR="00473F52">
        <w:rPr>
          <w:b/>
          <w:color w:val="000000"/>
        </w:rPr>
        <w:t>28</w:t>
      </w:r>
      <w:r>
        <w:rPr>
          <w:b/>
          <w:color w:val="000000"/>
        </w:rPr>
        <w:t>, 2016</w:t>
      </w:r>
      <w:r w:rsidR="00E70F1B" w:rsidRPr="003533B4">
        <w:rPr>
          <w:b/>
          <w:color w:val="000000"/>
        </w:rPr>
        <w:tab/>
        <w:t>Attorneys for Industrial Energy Users-Ohio</w:t>
      </w:r>
    </w:p>
    <w:p w14:paraId="5EA2D931" w14:textId="77777777" w:rsidR="00023566" w:rsidRDefault="00023566" w:rsidP="00E70F1B">
      <w:pPr>
        <w:sectPr w:rsidR="00023566" w:rsidSect="00B031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330B45F5" w14:textId="77777777" w:rsidR="009C1D86" w:rsidRPr="000C3B01" w:rsidRDefault="009C1D86" w:rsidP="009C1D86">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61901F34" w14:textId="5287A524" w:rsidR="009D12B6" w:rsidRDefault="009C1D86" w:rsidP="009C1D86">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109F4B1" w14:textId="77777777" w:rsidR="009D12B6" w:rsidRPr="000C3B01" w:rsidRDefault="009D12B6" w:rsidP="009D12B6">
      <w:pPr>
        <w:autoSpaceDE w:val="0"/>
        <w:autoSpaceDN w:val="0"/>
        <w:adjustRightInd w:val="0"/>
        <w:jc w:val="center"/>
        <w:rPr>
          <w:rFonts w:ascii="Arial Bold" w:hAnsi="Arial Bold" w:cs="Arial"/>
          <w:smallCaps/>
        </w:rPr>
      </w:pPr>
    </w:p>
    <w:p w14:paraId="25FD0C3C"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77CB1CDB"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461EED34"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B7EB03E" w14:textId="77777777" w:rsidR="009D12B6" w:rsidRDefault="009D12B6" w:rsidP="009D12B6">
      <w:pPr>
        <w:tabs>
          <w:tab w:val="left" w:pos="4680"/>
          <w:tab w:val="left" w:pos="5220"/>
        </w:tabs>
        <w:autoSpaceDE w:val="0"/>
        <w:autoSpaceDN w:val="0"/>
        <w:adjustRightInd w:val="0"/>
        <w:rPr>
          <w:rFonts w:cs="Arial"/>
        </w:rPr>
      </w:pPr>
    </w:p>
    <w:p w14:paraId="363C17E3"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3A6D1F61"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0759A3C2" w14:textId="77777777" w:rsidR="009D12B6" w:rsidRDefault="009D12B6" w:rsidP="009D12B6">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4EC02F3" w14:textId="77777777" w:rsidR="009D12B6" w:rsidRPr="000C3B01" w:rsidRDefault="009D12B6" w:rsidP="009D12B6">
      <w:pPr>
        <w:tabs>
          <w:tab w:val="left" w:pos="4680"/>
          <w:tab w:val="left" w:pos="5220"/>
        </w:tabs>
        <w:autoSpaceDE w:val="0"/>
        <w:autoSpaceDN w:val="0"/>
        <w:adjustRightInd w:val="0"/>
        <w:rPr>
          <w:rFonts w:cs="Arial"/>
        </w:rPr>
      </w:pPr>
    </w:p>
    <w:p w14:paraId="3D39E3F8"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0EB63B4"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115CDC97"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32874B6C" w14:textId="77777777" w:rsidR="009D12B6" w:rsidRPr="000C3B01" w:rsidRDefault="009D12B6" w:rsidP="009D12B6">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0B653B6A" w14:textId="77777777" w:rsidR="009D12B6" w:rsidRPr="009D12B6" w:rsidRDefault="009D12B6" w:rsidP="00645E72">
      <w:pPr>
        <w:pBdr>
          <w:bottom w:val="single" w:sz="12" w:space="1" w:color="auto"/>
        </w:pBdr>
        <w:jc w:val="center"/>
      </w:pPr>
    </w:p>
    <w:p w14:paraId="45A5086E" w14:textId="77777777" w:rsidR="009D12B6" w:rsidRDefault="009D12B6" w:rsidP="00645E72">
      <w:pPr>
        <w:jc w:val="center"/>
      </w:pPr>
    </w:p>
    <w:p w14:paraId="67414345" w14:textId="7758F52B" w:rsidR="008E3BF4" w:rsidRPr="007E6556" w:rsidRDefault="00EC0CA1" w:rsidP="00645E72">
      <w:pPr>
        <w:pBdr>
          <w:bottom w:val="single" w:sz="12" w:space="1" w:color="auto"/>
        </w:pBdr>
        <w:jc w:val="center"/>
        <w:rPr>
          <w:rFonts w:ascii="Arial Bold" w:hAnsi="Arial Bold"/>
          <w:b/>
          <w:smallCaps/>
        </w:rPr>
      </w:pPr>
      <w:r w:rsidRPr="007E6556">
        <w:rPr>
          <w:rFonts w:ascii="Arial Bold" w:hAnsi="Arial Bold"/>
          <w:b/>
          <w:smallCaps/>
        </w:rPr>
        <w:t xml:space="preserve">Motion of Industrial Energy Users-Ohio </w:t>
      </w:r>
      <w:r w:rsidR="00E66119" w:rsidRPr="007E6556">
        <w:rPr>
          <w:rFonts w:ascii="Arial Bold" w:hAnsi="Arial Bold"/>
          <w:b/>
          <w:smallCaps/>
        </w:rPr>
        <w:t>for an Order Permitting It to</w:t>
      </w:r>
      <w:r w:rsidR="00507069" w:rsidRPr="007E6556">
        <w:rPr>
          <w:rFonts w:ascii="Arial Bold" w:hAnsi="Arial Bold"/>
          <w:b/>
          <w:smallCaps/>
        </w:rPr>
        <w:t xml:space="preserve"> File a </w:t>
      </w:r>
      <w:r w:rsidR="0098142B">
        <w:rPr>
          <w:rFonts w:ascii="Arial Bold" w:hAnsi="Arial Bold"/>
          <w:b/>
          <w:smallCaps/>
        </w:rPr>
        <w:t>Surreply Opposing</w:t>
      </w:r>
      <w:r w:rsidRPr="007E6556">
        <w:rPr>
          <w:rFonts w:ascii="Arial Bold" w:hAnsi="Arial Bold"/>
          <w:b/>
          <w:smallCaps/>
        </w:rPr>
        <w:t xml:space="preserve"> the Motion of The Dayton Power and Light Company to Implement the SSR Extension</w:t>
      </w:r>
    </w:p>
    <w:p w14:paraId="4DBE89B4" w14:textId="77777777" w:rsidR="009D12B6" w:rsidRPr="007E6556" w:rsidRDefault="009D12B6" w:rsidP="00645E72">
      <w:pPr>
        <w:pBdr>
          <w:bottom w:val="single" w:sz="12" w:space="1" w:color="auto"/>
        </w:pBdr>
        <w:jc w:val="center"/>
        <w:rPr>
          <w:rFonts w:ascii="Arial Bold" w:hAnsi="Arial Bold"/>
          <w:b/>
          <w:smallCaps/>
        </w:rPr>
      </w:pPr>
    </w:p>
    <w:p w14:paraId="21B59DDA" w14:textId="77777777" w:rsidR="009D12B6" w:rsidRDefault="009D12B6"/>
    <w:p w14:paraId="4F757768" w14:textId="77777777" w:rsidR="007E6556" w:rsidRDefault="007E6556"/>
    <w:p w14:paraId="6872A7FF" w14:textId="06800586" w:rsidR="00EC0CA1" w:rsidRDefault="00EC0CA1" w:rsidP="007E6556">
      <w:pPr>
        <w:spacing w:line="480" w:lineRule="auto"/>
        <w:ind w:firstLine="720"/>
        <w:jc w:val="both"/>
      </w:pPr>
      <w:r>
        <w:t>Pursuant to Rule</w:t>
      </w:r>
      <w:r w:rsidR="007E6556">
        <w:t xml:space="preserve"> </w:t>
      </w:r>
      <w:r>
        <w:t xml:space="preserve">4901-1-12, </w:t>
      </w:r>
      <w:r w:rsidR="00A457ED">
        <w:t xml:space="preserve">Ohio Administrative Code (“OAC”), </w:t>
      </w:r>
      <w:r>
        <w:t xml:space="preserve">Industrial Energy Users-Ohio </w:t>
      </w:r>
      <w:r w:rsidR="001B07EC">
        <w:t xml:space="preserve">(“IEU-Ohio”) </w:t>
      </w:r>
      <w:r>
        <w:t xml:space="preserve">moves for an Order </w:t>
      </w:r>
      <w:r w:rsidR="00E66119">
        <w:t xml:space="preserve">permitting it to </w:t>
      </w:r>
      <w:r w:rsidR="00AC0BBC">
        <w:t xml:space="preserve">file </w:t>
      </w:r>
      <w:r w:rsidR="00373CB1">
        <w:t>a</w:t>
      </w:r>
      <w:r w:rsidR="00AC0BBC">
        <w:t xml:space="preserve"> </w:t>
      </w:r>
      <w:r w:rsidR="0098142B">
        <w:t>Surreply Opposing</w:t>
      </w:r>
      <w:r w:rsidR="00E66119">
        <w:t xml:space="preserve"> the Motion of The Dayton Power and Light Company to Implemen</w:t>
      </w:r>
      <w:r w:rsidR="00E336CC">
        <w:t xml:space="preserve">t the SSR Extension.  </w:t>
      </w:r>
      <w:r w:rsidR="00AC0BBC">
        <w:t xml:space="preserve">IEU-Ohio further requests that the Order provide that the </w:t>
      </w:r>
      <w:r w:rsidR="0098142B">
        <w:t>Surreply</w:t>
      </w:r>
      <w:r w:rsidR="007C4DDA">
        <w:t xml:space="preserve">, attached as Exhibit A to this Motion, be treated as filed </w:t>
      </w:r>
      <w:r w:rsidR="00D35DDC">
        <w:t xml:space="preserve">and served </w:t>
      </w:r>
      <w:r w:rsidR="007C4DDA">
        <w:t xml:space="preserve">as of the date of </w:t>
      </w:r>
      <w:r w:rsidR="008A240C">
        <w:t>the Commission’s o</w:t>
      </w:r>
      <w:r w:rsidR="007C4DDA">
        <w:t>rder</w:t>
      </w:r>
      <w:r w:rsidR="008A240C">
        <w:t xml:space="preserve"> granting this Motion</w:t>
      </w:r>
      <w:r w:rsidR="007C4DDA">
        <w:t xml:space="preserve">.  </w:t>
      </w:r>
      <w:r w:rsidR="00DE5A18">
        <w:t xml:space="preserve">A memorandum in support of this </w:t>
      </w:r>
      <w:r w:rsidR="00645E72">
        <w:t>Motion</w:t>
      </w:r>
      <w:r w:rsidR="00DE5A18">
        <w:t xml:space="preserve"> </w:t>
      </w:r>
      <w:r w:rsidR="001826ED">
        <w:t>is</w:t>
      </w:r>
      <w:r w:rsidR="00E336CC">
        <w:t xml:space="preserve"> attached.</w:t>
      </w:r>
    </w:p>
    <w:p w14:paraId="11A3CBF7" w14:textId="77777777" w:rsidR="00B21978" w:rsidRDefault="00B21978"/>
    <w:p w14:paraId="53D46C8A" w14:textId="77777777" w:rsidR="008B7D51" w:rsidRPr="008B7D51" w:rsidRDefault="008B7D51" w:rsidP="008B7D51">
      <w:pPr>
        <w:tabs>
          <w:tab w:val="left" w:pos="4320"/>
          <w:tab w:val="right" w:pos="8640"/>
        </w:tabs>
        <w:jc w:val="both"/>
        <w:rPr>
          <w:rFonts w:cs="Arial"/>
        </w:rPr>
      </w:pPr>
      <w:r>
        <w:rPr>
          <w:rFonts w:cs="Arial"/>
        </w:rPr>
        <w:tab/>
      </w:r>
      <w:r w:rsidRPr="008B7D51">
        <w:rPr>
          <w:rFonts w:cs="Arial"/>
        </w:rPr>
        <w:t>Respectfully submitted,</w:t>
      </w:r>
    </w:p>
    <w:p w14:paraId="1754D19D" w14:textId="77777777" w:rsidR="008B7D51" w:rsidRPr="008B7D51" w:rsidRDefault="008B7D51" w:rsidP="008B7D51">
      <w:pPr>
        <w:tabs>
          <w:tab w:val="left" w:pos="4320"/>
          <w:tab w:val="right" w:pos="8640"/>
        </w:tabs>
        <w:jc w:val="both"/>
        <w:rPr>
          <w:rFonts w:cs="Arial"/>
        </w:rPr>
      </w:pPr>
    </w:p>
    <w:p w14:paraId="2BFA2198" w14:textId="77777777" w:rsidR="008B7D51" w:rsidRPr="008B7D51" w:rsidRDefault="008B7D51" w:rsidP="008B7D51">
      <w:pPr>
        <w:tabs>
          <w:tab w:val="left" w:pos="4320"/>
          <w:tab w:val="right" w:pos="8640"/>
        </w:tabs>
        <w:jc w:val="both"/>
        <w:rPr>
          <w:rFonts w:cs="Arial"/>
        </w:rPr>
      </w:pPr>
    </w:p>
    <w:p w14:paraId="35E7887B" w14:textId="77777777" w:rsidR="008B7D51" w:rsidRPr="008B7D51" w:rsidRDefault="008B7D51" w:rsidP="008B7D51">
      <w:pPr>
        <w:tabs>
          <w:tab w:val="left" w:pos="4320"/>
          <w:tab w:val="right" w:pos="8640"/>
        </w:tabs>
        <w:jc w:val="both"/>
        <w:rPr>
          <w:rFonts w:cs="Arial"/>
          <w:i/>
          <w:u w:val="single"/>
        </w:rPr>
      </w:pPr>
      <w:r w:rsidRPr="008B7D51">
        <w:rPr>
          <w:rFonts w:cs="Arial"/>
          <w:i/>
        </w:rPr>
        <w:tab/>
      </w:r>
      <w:r w:rsidRPr="008B7D51">
        <w:rPr>
          <w:rFonts w:cs="Arial"/>
          <w:i/>
          <w:u w:val="single"/>
        </w:rPr>
        <w:t>/s/ Frank P. Darr</w:t>
      </w:r>
      <w:r w:rsidRPr="008B7D51">
        <w:rPr>
          <w:rFonts w:cs="Arial"/>
          <w:i/>
          <w:u w:val="single"/>
        </w:rPr>
        <w:tab/>
      </w:r>
    </w:p>
    <w:p w14:paraId="0E6B9C5F" w14:textId="77777777" w:rsidR="00871E22" w:rsidRDefault="008B7D51" w:rsidP="008B7D51">
      <w:pPr>
        <w:widowControl w:val="0"/>
        <w:tabs>
          <w:tab w:val="left" w:pos="4320"/>
        </w:tabs>
        <w:ind w:left="4320"/>
        <w:jc w:val="both"/>
        <w:rPr>
          <w:rFonts w:eastAsia="Calibri" w:cs="Arial"/>
          <w:bCs/>
        </w:rPr>
      </w:pPr>
      <w:r w:rsidRPr="008B7D51">
        <w:rPr>
          <w:rFonts w:eastAsia="Calibri" w:cs="Arial"/>
          <w:bCs/>
        </w:rPr>
        <w:t xml:space="preserve">Frank P. Darr </w:t>
      </w:r>
    </w:p>
    <w:p w14:paraId="515A9924" w14:textId="77777777" w:rsidR="008B7D51" w:rsidRPr="008B7D51" w:rsidRDefault="008B7D51" w:rsidP="008B7D51">
      <w:pPr>
        <w:widowControl w:val="0"/>
        <w:tabs>
          <w:tab w:val="left" w:pos="4320"/>
        </w:tabs>
        <w:ind w:left="4320"/>
        <w:jc w:val="both"/>
        <w:rPr>
          <w:rFonts w:eastAsia="Calibri" w:cs="Arial"/>
          <w:bCs/>
        </w:rPr>
      </w:pPr>
      <w:r w:rsidRPr="008B7D51">
        <w:rPr>
          <w:rFonts w:eastAsia="Calibri" w:cs="Arial"/>
        </w:rPr>
        <w:t>(Counsel of Record)</w:t>
      </w:r>
    </w:p>
    <w:p w14:paraId="1BB1CF80" w14:textId="77777777" w:rsidR="008B7D51" w:rsidRPr="008B7D51" w:rsidRDefault="008B7D51" w:rsidP="008B7D51">
      <w:pPr>
        <w:widowControl w:val="0"/>
        <w:tabs>
          <w:tab w:val="left" w:pos="4320"/>
        </w:tabs>
        <w:ind w:left="4320"/>
        <w:jc w:val="both"/>
        <w:rPr>
          <w:rFonts w:eastAsia="Calibri" w:cs="Arial"/>
          <w:b/>
          <w:bCs/>
        </w:rPr>
      </w:pPr>
      <w:r w:rsidRPr="008B7D51">
        <w:rPr>
          <w:rFonts w:eastAsia="Calibri" w:cs="Arial"/>
          <w:bCs/>
        </w:rPr>
        <w:t>Matthew R. Pritchard (Reg. No. 0088070)</w:t>
      </w:r>
    </w:p>
    <w:p w14:paraId="0F7217AD" w14:textId="77777777" w:rsidR="008B7D51" w:rsidRPr="008B7D51" w:rsidRDefault="008B7D51" w:rsidP="008B7D51">
      <w:pPr>
        <w:widowControl w:val="0"/>
        <w:tabs>
          <w:tab w:val="left" w:pos="4320"/>
        </w:tabs>
        <w:ind w:left="4320"/>
        <w:jc w:val="both"/>
        <w:rPr>
          <w:rFonts w:eastAsia="Calibri" w:cs="Arial"/>
          <w:b/>
          <w:bCs/>
          <w:smallCaps/>
        </w:rPr>
      </w:pPr>
      <w:r w:rsidRPr="008B7D51">
        <w:rPr>
          <w:rFonts w:eastAsia="Calibri" w:cs="Arial"/>
          <w:bCs/>
          <w:smallCaps/>
        </w:rPr>
        <w:lastRenderedPageBreak/>
        <w:t>McNees Wallace &amp; Nurick LLC</w:t>
      </w:r>
    </w:p>
    <w:p w14:paraId="270307D7" w14:textId="77777777" w:rsidR="008B7D51" w:rsidRPr="008B7D51" w:rsidRDefault="008B7D51" w:rsidP="008B7D51">
      <w:pPr>
        <w:widowControl w:val="0"/>
        <w:tabs>
          <w:tab w:val="left" w:pos="4320"/>
        </w:tabs>
        <w:ind w:left="4320"/>
        <w:jc w:val="both"/>
        <w:rPr>
          <w:rFonts w:eastAsia="Calibri" w:cs="Arial"/>
          <w:b/>
          <w:bCs/>
        </w:rPr>
      </w:pPr>
      <w:r w:rsidRPr="008B7D51">
        <w:rPr>
          <w:rFonts w:eastAsia="Calibri" w:cs="Arial"/>
          <w:bCs/>
        </w:rPr>
        <w:t>21 East State Street, 17</w:t>
      </w:r>
      <w:r w:rsidRPr="008B7D51">
        <w:rPr>
          <w:rFonts w:eastAsia="Calibri" w:cs="Arial"/>
          <w:bCs/>
          <w:vertAlign w:val="superscript"/>
        </w:rPr>
        <w:t>TH</w:t>
      </w:r>
      <w:r w:rsidRPr="008B7D51">
        <w:rPr>
          <w:rFonts w:eastAsia="Calibri" w:cs="Arial"/>
          <w:bCs/>
        </w:rPr>
        <w:t xml:space="preserve"> Floor</w:t>
      </w:r>
    </w:p>
    <w:p w14:paraId="3A507B3A"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Columbus, OH  43215</w:t>
      </w:r>
    </w:p>
    <w:p w14:paraId="3C943BC8"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Telephone:  (614) 469-8000</w:t>
      </w:r>
    </w:p>
    <w:p w14:paraId="1DC64E16" w14:textId="77777777" w:rsidR="008B7D51" w:rsidRPr="008B7D51" w:rsidRDefault="008B7D51" w:rsidP="008B7D51">
      <w:pPr>
        <w:tabs>
          <w:tab w:val="left" w:pos="-1440"/>
          <w:tab w:val="left" w:pos="-720"/>
          <w:tab w:val="left" w:pos="4320"/>
          <w:tab w:val="left" w:pos="5040"/>
          <w:tab w:val="center" w:pos="7200"/>
        </w:tabs>
        <w:overflowPunct w:val="0"/>
        <w:autoSpaceDE w:val="0"/>
        <w:autoSpaceDN w:val="0"/>
        <w:adjustRightInd w:val="0"/>
        <w:ind w:left="4320"/>
        <w:jc w:val="both"/>
        <w:rPr>
          <w:rFonts w:eastAsia="Calibri" w:cs="Arial"/>
        </w:rPr>
      </w:pPr>
      <w:r w:rsidRPr="008B7D51">
        <w:rPr>
          <w:rFonts w:eastAsia="Calibri" w:cs="Arial"/>
        </w:rPr>
        <w:t>Telecopier:  (614) 469-4653</w:t>
      </w:r>
    </w:p>
    <w:p w14:paraId="5BAE6115"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rPr>
        <w:t>fdarr@mwncmh.com</w:t>
      </w:r>
    </w:p>
    <w:p w14:paraId="4BCF3A38"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color w:val="000000"/>
        </w:rPr>
        <w:t>(willing to accept service by e-mail)</w:t>
      </w:r>
    </w:p>
    <w:p w14:paraId="67F95D25"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8B7D51">
        <w:rPr>
          <w:rFonts w:eastAsia="Calibri" w:cs="Arial"/>
          <w:color w:val="000000"/>
        </w:rPr>
        <w:t>mpritchard@mwncmh.com</w:t>
      </w:r>
    </w:p>
    <w:p w14:paraId="6477365F"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8B7D51">
        <w:rPr>
          <w:rFonts w:eastAsia="Calibri" w:cs="Arial"/>
          <w:color w:val="000000"/>
        </w:rPr>
        <w:t>(willing to accept service by e-mail)</w:t>
      </w:r>
    </w:p>
    <w:p w14:paraId="4C6DC3DC" w14:textId="77777777" w:rsidR="008B7D51" w:rsidRPr="008B7D51" w:rsidRDefault="008B7D51" w:rsidP="008B7D51">
      <w:pPr>
        <w:tabs>
          <w:tab w:val="left" w:pos="-1440"/>
          <w:tab w:val="left" w:pos="-720"/>
          <w:tab w:val="left" w:pos="5040"/>
          <w:tab w:val="center" w:pos="7200"/>
        </w:tabs>
        <w:overflowPunct w:val="0"/>
        <w:autoSpaceDE w:val="0"/>
        <w:autoSpaceDN w:val="0"/>
        <w:adjustRightInd w:val="0"/>
        <w:ind w:left="4320"/>
        <w:jc w:val="both"/>
        <w:rPr>
          <w:rFonts w:eastAsia="Calibri" w:cs="Arial"/>
          <w:b/>
          <w:smallCaps/>
        </w:rPr>
      </w:pPr>
    </w:p>
    <w:p w14:paraId="29FFB799" w14:textId="77777777" w:rsidR="008B7D51" w:rsidRDefault="008B7D51" w:rsidP="008B7D51">
      <w:pPr>
        <w:ind w:left="4320" w:hanging="4320"/>
        <w:jc w:val="both"/>
        <w:rPr>
          <w:rFonts w:eastAsia="Calibri" w:cs="Arial"/>
          <w:b/>
        </w:rPr>
      </w:pPr>
      <w:r w:rsidRPr="008B7D51">
        <w:rPr>
          <w:rFonts w:eastAsia="Calibri" w:cs="Arial"/>
          <w:b/>
        </w:rPr>
        <w:tab/>
        <w:t>Attorneys for Industrial Energy Users-Ohio</w:t>
      </w:r>
    </w:p>
    <w:p w14:paraId="523338E8" w14:textId="77777777" w:rsidR="0049041D" w:rsidRDefault="0049041D" w:rsidP="008B7D51">
      <w:pPr>
        <w:ind w:left="4320" w:hanging="4320"/>
        <w:jc w:val="both"/>
        <w:rPr>
          <w:rFonts w:eastAsia="Calibri" w:cs="Arial"/>
          <w:b/>
        </w:rPr>
      </w:pPr>
    </w:p>
    <w:p w14:paraId="121AEB55" w14:textId="77777777" w:rsidR="007C7F31" w:rsidRDefault="007C7F31" w:rsidP="00C74236">
      <w:pPr>
        <w:autoSpaceDE w:val="0"/>
        <w:autoSpaceDN w:val="0"/>
        <w:adjustRightInd w:val="0"/>
        <w:jc w:val="center"/>
        <w:rPr>
          <w:rFonts w:ascii="Arial Bold" w:hAnsi="Arial Bold" w:cs="Arial"/>
          <w:b/>
          <w:smallCaps/>
          <w:sz w:val="32"/>
          <w:szCs w:val="32"/>
        </w:rPr>
        <w:sectPr w:rsidR="007C7F31" w:rsidSect="00B031BA">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2DC2E78F" w14:textId="77777777" w:rsidR="00C74236" w:rsidRPr="000C3B01" w:rsidRDefault="00C74236" w:rsidP="00C74236">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293A1DF6" w14:textId="77777777" w:rsidR="00C74236" w:rsidRDefault="00C74236" w:rsidP="00C74236">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359C2502" w14:textId="77777777" w:rsidR="00C74236" w:rsidRPr="000C3B01" w:rsidRDefault="00C74236" w:rsidP="00C74236">
      <w:pPr>
        <w:autoSpaceDE w:val="0"/>
        <w:autoSpaceDN w:val="0"/>
        <w:adjustRightInd w:val="0"/>
        <w:jc w:val="center"/>
        <w:rPr>
          <w:rFonts w:ascii="Arial Bold" w:hAnsi="Arial Bold" w:cs="Arial"/>
          <w:smallCaps/>
        </w:rPr>
      </w:pPr>
    </w:p>
    <w:p w14:paraId="424491DF"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5B9CF12D"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2EDD2B08"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75C8AA05" w14:textId="77777777" w:rsidR="00C74236" w:rsidRDefault="00C74236" w:rsidP="00C74236">
      <w:pPr>
        <w:tabs>
          <w:tab w:val="left" w:pos="4680"/>
          <w:tab w:val="left" w:pos="5220"/>
        </w:tabs>
        <w:autoSpaceDE w:val="0"/>
        <w:autoSpaceDN w:val="0"/>
        <w:adjustRightInd w:val="0"/>
        <w:rPr>
          <w:rFonts w:cs="Arial"/>
        </w:rPr>
      </w:pPr>
    </w:p>
    <w:p w14:paraId="2E2F7309"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D5CE56D"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1FDA798A" w14:textId="77777777" w:rsidR="00C74236" w:rsidRDefault="00C74236" w:rsidP="00C74236">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1B756F30" w14:textId="77777777" w:rsidR="00C74236" w:rsidRPr="000C3B01" w:rsidRDefault="00C74236" w:rsidP="00C74236">
      <w:pPr>
        <w:tabs>
          <w:tab w:val="left" w:pos="4680"/>
          <w:tab w:val="left" w:pos="5220"/>
        </w:tabs>
        <w:autoSpaceDE w:val="0"/>
        <w:autoSpaceDN w:val="0"/>
        <w:adjustRightInd w:val="0"/>
        <w:rPr>
          <w:rFonts w:cs="Arial"/>
        </w:rPr>
      </w:pPr>
    </w:p>
    <w:p w14:paraId="033745EE"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7A82657E"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777C8F27"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008CD02B" w14:textId="77777777" w:rsidR="00C74236" w:rsidRPr="000C3B01" w:rsidRDefault="00C74236" w:rsidP="00C74236">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351AC4FC" w14:textId="77777777" w:rsidR="00C74236" w:rsidRPr="009D12B6" w:rsidRDefault="00C74236" w:rsidP="00C74236">
      <w:pPr>
        <w:pBdr>
          <w:bottom w:val="single" w:sz="12" w:space="1" w:color="auto"/>
        </w:pBdr>
        <w:jc w:val="center"/>
      </w:pPr>
    </w:p>
    <w:p w14:paraId="5F03B656" w14:textId="77777777" w:rsidR="00C74236" w:rsidRDefault="00C74236" w:rsidP="00C74236">
      <w:pPr>
        <w:jc w:val="center"/>
      </w:pPr>
    </w:p>
    <w:p w14:paraId="2C76EED4" w14:textId="23BB3ECD" w:rsidR="00C74236" w:rsidRPr="00C74236" w:rsidRDefault="00C74236" w:rsidP="00C74236">
      <w:pPr>
        <w:jc w:val="center"/>
        <w:rPr>
          <w:rFonts w:ascii="Arial Bold" w:hAnsi="Arial Bold"/>
          <w:b/>
          <w:smallCaps/>
        </w:rPr>
      </w:pPr>
      <w:r w:rsidRPr="00C74236">
        <w:rPr>
          <w:rFonts w:ascii="Arial Bold" w:hAnsi="Arial Bold"/>
          <w:b/>
          <w:smallCaps/>
        </w:rPr>
        <w:t xml:space="preserve">Memorandum in Support of an Order Permitting Industrial Energy Users-Ohio to </w:t>
      </w:r>
      <w:r w:rsidR="001728D4">
        <w:rPr>
          <w:rFonts w:ascii="Arial Bold" w:hAnsi="Arial Bold"/>
          <w:b/>
          <w:smallCaps/>
        </w:rPr>
        <w:t>File a Surreply Opposing</w:t>
      </w:r>
      <w:r w:rsidRPr="00C74236">
        <w:rPr>
          <w:rFonts w:ascii="Arial Bold" w:hAnsi="Arial Bold"/>
          <w:b/>
          <w:smallCaps/>
        </w:rPr>
        <w:t xml:space="preserve"> the Motion of The Dayton Power and Light Company to Implement the SSR Extension</w:t>
      </w:r>
    </w:p>
    <w:p w14:paraId="69B4F442" w14:textId="77777777" w:rsidR="00C74236" w:rsidRPr="007E6556" w:rsidRDefault="00C74236" w:rsidP="00C74236">
      <w:pPr>
        <w:pBdr>
          <w:bottom w:val="single" w:sz="12" w:space="1" w:color="auto"/>
        </w:pBdr>
        <w:jc w:val="center"/>
        <w:rPr>
          <w:rFonts w:ascii="Arial Bold" w:hAnsi="Arial Bold"/>
          <w:b/>
          <w:smallCaps/>
        </w:rPr>
      </w:pPr>
    </w:p>
    <w:p w14:paraId="5E0B7F7C" w14:textId="77777777" w:rsidR="00C74236" w:rsidRDefault="00C74236" w:rsidP="00C74236"/>
    <w:p w14:paraId="3C362ECD" w14:textId="09BCFAE0" w:rsidR="008516F8" w:rsidRPr="00175181" w:rsidRDefault="008516F8" w:rsidP="00175181">
      <w:pPr>
        <w:pStyle w:val="Heading1"/>
      </w:pPr>
      <w:bookmarkStart w:id="1" w:name="_Toc454877900"/>
      <w:bookmarkStart w:id="2" w:name="_Toc454885964"/>
      <w:r w:rsidRPr="00175181">
        <w:t>Introduction</w:t>
      </w:r>
      <w:bookmarkEnd w:id="1"/>
      <w:bookmarkEnd w:id="2"/>
    </w:p>
    <w:p w14:paraId="0D525B73" w14:textId="61EDB243" w:rsidR="00CB7770" w:rsidRPr="00175181" w:rsidRDefault="008516F8" w:rsidP="00175181">
      <w:pPr>
        <w:spacing w:line="480" w:lineRule="auto"/>
        <w:jc w:val="both"/>
      </w:pPr>
      <w:r w:rsidRPr="00175181">
        <w:tab/>
        <w:t>Under Rule 4901-1-12,</w:t>
      </w:r>
      <w:r w:rsidR="00BA51CD">
        <w:t xml:space="preserve"> OAC,</w:t>
      </w:r>
      <w:r w:rsidRPr="00175181">
        <w:t xml:space="preserve"> IEU-Ohio moves for an order authorizing it to file </w:t>
      </w:r>
      <w:r w:rsidR="002B6A75" w:rsidRPr="00175181">
        <w:t xml:space="preserve">the </w:t>
      </w:r>
      <w:r w:rsidR="001728D4">
        <w:t>Surreply</w:t>
      </w:r>
      <w:r w:rsidRPr="00175181">
        <w:t xml:space="preserve"> </w:t>
      </w:r>
      <w:r w:rsidR="002B6A75" w:rsidRPr="00175181">
        <w:t xml:space="preserve">(Attachment A) </w:t>
      </w:r>
      <w:r w:rsidRPr="00175181">
        <w:t xml:space="preserve">opposing </w:t>
      </w:r>
      <w:r w:rsidR="00571A0C" w:rsidRPr="00175181">
        <w:t>the Dayton Power and Light Company’s (“</w:t>
      </w:r>
      <w:r w:rsidRPr="00175181">
        <w:t>DP&amp;L</w:t>
      </w:r>
      <w:r w:rsidR="00571A0C" w:rsidRPr="00175181">
        <w:t>”)</w:t>
      </w:r>
      <w:r w:rsidRPr="00175181">
        <w:t xml:space="preserve"> motion to increase the </w:t>
      </w:r>
      <w:r w:rsidR="008864F9" w:rsidRPr="00175181">
        <w:t xml:space="preserve">Service Stability Rider-Extension </w:t>
      </w:r>
      <w:r w:rsidR="00571A0C" w:rsidRPr="00175181">
        <w:t>(“</w:t>
      </w:r>
      <w:r w:rsidRPr="00175181">
        <w:t>SSR-E</w:t>
      </w:r>
      <w:r w:rsidR="00571A0C" w:rsidRPr="00175181">
        <w:t>”)</w:t>
      </w:r>
      <w:r w:rsidRPr="00175181">
        <w:t xml:space="preserve"> rate.  </w:t>
      </w:r>
      <w:r w:rsidR="00CB7770" w:rsidRPr="00175181">
        <w:t xml:space="preserve">Although </w:t>
      </w:r>
      <w:r w:rsidR="00DE78D1" w:rsidRPr="00175181">
        <w:t xml:space="preserve">the </w:t>
      </w:r>
      <w:r w:rsidR="00CB7770" w:rsidRPr="00175181">
        <w:t>rules</w:t>
      </w:r>
      <w:r w:rsidR="006A46E6">
        <w:t xml:space="preserve"> of the</w:t>
      </w:r>
      <w:r w:rsidR="00CB7770" w:rsidRPr="00175181">
        <w:t xml:space="preserve"> </w:t>
      </w:r>
      <w:r w:rsidR="006A46E6" w:rsidRPr="00175181">
        <w:t xml:space="preserve">Public Utilities Commission of Ohio (“Commission”) </w:t>
      </w:r>
      <w:r w:rsidR="00CB7770" w:rsidRPr="00175181">
        <w:t xml:space="preserve">do not expressly authorize a </w:t>
      </w:r>
      <w:r w:rsidR="00586FEC">
        <w:t>surreply</w:t>
      </w:r>
      <w:r w:rsidR="00CB7770" w:rsidRPr="00175181">
        <w:t xml:space="preserve">, the Commission has permitted parties to file </w:t>
      </w:r>
      <w:r w:rsidR="006B72A2">
        <w:t>surreplies</w:t>
      </w:r>
      <w:r w:rsidR="00571DD1">
        <w:t xml:space="preserve"> </w:t>
      </w:r>
      <w:r w:rsidR="00DE384B">
        <w:t>to prevent prejudice and so that the Commission is fully informed as to the merits of the issues before it</w:t>
      </w:r>
      <w:r w:rsidR="00CB7770" w:rsidRPr="00175181">
        <w:t>.</w:t>
      </w:r>
      <w:r w:rsidR="00CB7770" w:rsidRPr="00175181">
        <w:rPr>
          <w:rStyle w:val="FootnoteReference"/>
        </w:rPr>
        <w:footnoteReference w:id="1"/>
      </w:r>
      <w:r w:rsidR="00CB7770" w:rsidRPr="00175181">
        <w:t xml:space="preserve">  </w:t>
      </w:r>
      <w:r w:rsidR="006D6A2A" w:rsidRPr="00D8311D">
        <w:rPr>
          <w:i/>
          <w:color w:val="373739"/>
        </w:rPr>
        <w:t>In the Matter of the Complaint of McLeodUSA Telecommunications Services, Inc. dba PAETEC Business Services and LDMI TeleCommunications, Inc. v. AT&amp;T Ohio</w:t>
      </w:r>
      <w:r w:rsidR="006D6A2A">
        <w:rPr>
          <w:color w:val="373739"/>
        </w:rPr>
        <w:t xml:space="preserve">, Case No. 11-3407-TP-CSS, Entry (Oct. 12, 2011) (surreplies permitted so that the </w:t>
      </w:r>
      <w:r w:rsidR="006D6A2A">
        <w:rPr>
          <w:color w:val="373739"/>
        </w:rPr>
        <w:lastRenderedPageBreak/>
        <w:t>Commission is more fully advised</w:t>
      </w:r>
      <w:r w:rsidR="00DE384B">
        <w:rPr>
          <w:color w:val="373739"/>
        </w:rPr>
        <w:t>);</w:t>
      </w:r>
      <w:r w:rsidR="006B72A2">
        <w:t xml:space="preserve"> </w:t>
      </w:r>
      <w:r w:rsidR="00144C54" w:rsidRPr="00D1439A">
        <w:rPr>
          <w:i/>
        </w:rPr>
        <w:t>In the Matter of the Complaint of Time Warner Telecom of Ohio, L.P. v. Ameritech Ohio (now known as SBC Ohio)</w:t>
      </w:r>
      <w:r w:rsidR="00144C54">
        <w:t>, Case No. 02-796-TP-CSS, Opinion and Order at 22 (Nov. 10, 2004)</w:t>
      </w:r>
      <w:r w:rsidR="00D67DB2">
        <w:t xml:space="preserve"> (surreplies permitted to prevent prejudice and so that the Commission is fully informed as to the merits of the issues before it)</w:t>
      </w:r>
      <w:r w:rsidR="00144C54">
        <w:t xml:space="preserve">.  </w:t>
      </w:r>
    </w:p>
    <w:p w14:paraId="4391131E" w14:textId="57A6F47B" w:rsidR="008516F8" w:rsidRDefault="00CB7770" w:rsidP="00175181">
      <w:pPr>
        <w:spacing w:line="480" w:lineRule="auto"/>
        <w:ind w:firstLine="720"/>
        <w:jc w:val="both"/>
      </w:pPr>
      <w:r w:rsidRPr="00175181">
        <w:t xml:space="preserve">In this instance, there is good cause to grant IEU-Ohio’s </w:t>
      </w:r>
      <w:r w:rsidR="00063EB6">
        <w:t>M</w:t>
      </w:r>
      <w:r w:rsidRPr="00175181">
        <w:t>otion.  After IEU-Ohio filed its Memorandum Contra opposing DP&amp;L’s motion to increase the rate of the SSR-E</w:t>
      </w:r>
      <w:r w:rsidR="00A8735F">
        <w:t>,</w:t>
      </w:r>
      <w:r w:rsidR="00B83E3F">
        <w:t xml:space="preserve"> </w:t>
      </w:r>
      <w:r w:rsidR="006660A7">
        <w:t>the Supreme Court of Ohio</w:t>
      </w:r>
      <w:r w:rsidR="00420A2E" w:rsidRPr="00175181">
        <w:t xml:space="preserve"> </w:t>
      </w:r>
      <w:r w:rsidRPr="00175181">
        <w:t xml:space="preserve">held that the Commission is without authority to authorize </w:t>
      </w:r>
      <w:r w:rsidR="00721328">
        <w:t>DP&amp;L</w:t>
      </w:r>
      <w:r w:rsidR="00420A2E" w:rsidRPr="00175181">
        <w:t xml:space="preserve"> </w:t>
      </w:r>
      <w:r w:rsidRPr="00175181">
        <w:t>to bill and collect transition revenue or its equivalent</w:t>
      </w:r>
      <w:r w:rsidR="00721328">
        <w:t xml:space="preserve"> under the guise of R.C. 4928.143(B)(2)(d)</w:t>
      </w:r>
      <w:r w:rsidR="00144C54">
        <w:t xml:space="preserve">.  </w:t>
      </w:r>
      <w:r w:rsidR="00C25E66">
        <w:t>Because the Court’s decision was not available at the time IEU-Ohio filed its Memorandum Contra and, as discussed below, that decision disposes of DP&amp;L’s claims that an increase in the SSR-E would not violate</w:t>
      </w:r>
      <w:r w:rsidR="00B36611">
        <w:t xml:space="preserve"> R.C. 4928.38</w:t>
      </w:r>
      <w:r w:rsidR="00B83E3F" w:rsidRPr="00175181">
        <w:t xml:space="preserve">, there is good cause to grant </w:t>
      </w:r>
      <w:r w:rsidR="007A4561">
        <w:t>this</w:t>
      </w:r>
      <w:r w:rsidR="007A4561" w:rsidRPr="00175181">
        <w:t xml:space="preserve"> </w:t>
      </w:r>
      <w:r w:rsidR="007A4561">
        <w:t>M</w:t>
      </w:r>
      <w:r w:rsidR="00B83E3F" w:rsidRPr="00175181">
        <w:t>otion.</w:t>
      </w:r>
      <w:r w:rsidR="00B83E3F">
        <w:t xml:space="preserve">  </w:t>
      </w:r>
    </w:p>
    <w:p w14:paraId="10BFCD74" w14:textId="2315130F" w:rsidR="002B6A75" w:rsidRDefault="002B6A75" w:rsidP="00175181">
      <w:pPr>
        <w:pStyle w:val="Heading1"/>
      </w:pPr>
      <w:bookmarkStart w:id="3" w:name="_Toc454877901"/>
      <w:bookmarkStart w:id="4" w:name="_Toc454885965"/>
      <w:r>
        <w:t>Argument</w:t>
      </w:r>
      <w:bookmarkEnd w:id="3"/>
      <w:bookmarkEnd w:id="4"/>
    </w:p>
    <w:p w14:paraId="38D673AD" w14:textId="7894B380" w:rsidR="00B608D9" w:rsidRDefault="00880C4D" w:rsidP="00C74236">
      <w:pPr>
        <w:spacing w:line="480" w:lineRule="auto"/>
        <w:jc w:val="both"/>
      </w:pPr>
      <w:r>
        <w:tab/>
        <w:t xml:space="preserve">The </w:t>
      </w:r>
      <w:r w:rsidR="00033DE4">
        <w:t>Commission</w:t>
      </w:r>
      <w:r>
        <w:t xml:space="preserve"> issued its Opinion and Order </w:t>
      </w:r>
      <w:r w:rsidR="004F5821">
        <w:t>approving</w:t>
      </w:r>
      <w:r>
        <w:t xml:space="preserve"> </w:t>
      </w:r>
      <w:r w:rsidR="004D5880">
        <w:t xml:space="preserve">an </w:t>
      </w:r>
      <w:r w:rsidR="00BE570B">
        <w:t>electric security plan (“</w:t>
      </w:r>
      <w:r w:rsidR="004D5880">
        <w:t>ESP</w:t>
      </w:r>
      <w:r w:rsidR="00BE570B">
        <w:t>”)</w:t>
      </w:r>
      <w:r w:rsidR="004D5880">
        <w:t xml:space="preserve"> for </w:t>
      </w:r>
      <w:r w:rsidR="00FE20DD">
        <w:t>DP&amp;L</w:t>
      </w:r>
      <w:r w:rsidR="007A00C3">
        <w:t xml:space="preserve"> </w:t>
      </w:r>
      <w:r>
        <w:t>on September 4, 2013</w:t>
      </w:r>
      <w:r w:rsidR="00AC2C4C">
        <w:t xml:space="preserve"> and modifi</w:t>
      </w:r>
      <w:r w:rsidR="008A240C">
        <w:t>ed that order through an Entry N</w:t>
      </w:r>
      <w:r w:rsidR="00AC2C4C">
        <w:t xml:space="preserve">unc </w:t>
      </w:r>
      <w:r w:rsidR="00332452">
        <w:t xml:space="preserve">Pro </w:t>
      </w:r>
      <w:r w:rsidR="00AC2C4C">
        <w:t>Tunc on September 6, 2013</w:t>
      </w:r>
      <w:r>
        <w:t>.</w:t>
      </w:r>
      <w:r w:rsidR="001D093E">
        <w:t xml:space="preserve">  </w:t>
      </w:r>
      <w:r w:rsidR="00033DE4">
        <w:t xml:space="preserve">As a term of the ESP, the Commission authorized the </w:t>
      </w:r>
      <w:r w:rsidR="00514F1C">
        <w:t>Service Stability Rider (“</w:t>
      </w:r>
      <w:r w:rsidR="00033DE4">
        <w:t>SSR</w:t>
      </w:r>
      <w:r w:rsidR="00514F1C">
        <w:t>”)</w:t>
      </w:r>
      <w:r w:rsidR="00033DE4">
        <w:t xml:space="preserve"> </w:t>
      </w:r>
      <w:r w:rsidR="009604AC">
        <w:t>(</w:t>
      </w:r>
      <w:r w:rsidR="00033DE4">
        <w:t>with a term that ended on December 31, 2016</w:t>
      </w:r>
      <w:r w:rsidR="009604AC">
        <w:t>)</w:t>
      </w:r>
      <w:r w:rsidR="00033DE4">
        <w:t xml:space="preserve"> and </w:t>
      </w:r>
      <w:r w:rsidR="00514F1C">
        <w:t>the</w:t>
      </w:r>
      <w:r w:rsidR="00033DE4">
        <w:t xml:space="preserve"> SSR-E.  </w:t>
      </w:r>
      <w:r w:rsidR="008E5878">
        <w:rPr>
          <w:i/>
        </w:rPr>
        <w:t xml:space="preserve">In the Matter of the Application of The Dayton Power and Light Company </w:t>
      </w:r>
      <w:r w:rsidR="00096E23">
        <w:rPr>
          <w:i/>
        </w:rPr>
        <w:t>to Establish a Standard Service Offer in the Form of an Electric Security Plan</w:t>
      </w:r>
      <w:r w:rsidR="008E5878">
        <w:rPr>
          <w:i/>
        </w:rPr>
        <w:t xml:space="preserve">, </w:t>
      </w:r>
      <w:r w:rsidR="008E5878">
        <w:t xml:space="preserve">Case Nos. 12-426-EL-SSO, </w:t>
      </w:r>
      <w:r w:rsidR="008E5878" w:rsidRPr="00175181">
        <w:rPr>
          <w:i/>
        </w:rPr>
        <w:t>et al</w:t>
      </w:r>
      <w:r w:rsidR="008E5878">
        <w:t xml:space="preserve">., </w:t>
      </w:r>
      <w:r w:rsidR="00B608D9">
        <w:t>Opinion and Order</w:t>
      </w:r>
      <w:r w:rsidR="00AC2C4C">
        <w:t xml:space="preserve"> at </w:t>
      </w:r>
      <w:r w:rsidR="00B422B7">
        <w:t>17-</w:t>
      </w:r>
      <w:r w:rsidR="001555C8">
        <w:t>28</w:t>
      </w:r>
      <w:r w:rsidR="00AC2C4C">
        <w:t xml:space="preserve">; Entry Nunc </w:t>
      </w:r>
      <w:r w:rsidR="00332452">
        <w:t xml:space="preserve">Pro </w:t>
      </w:r>
      <w:r w:rsidR="00AC2C4C">
        <w:t>Tunc at 2</w:t>
      </w:r>
      <w:r w:rsidR="00101D41">
        <w:t xml:space="preserve"> (“</w:t>
      </w:r>
      <w:r w:rsidR="00101D41" w:rsidRPr="00BE570B">
        <w:rPr>
          <w:i/>
        </w:rPr>
        <w:t>DP&amp;L ESP II</w:t>
      </w:r>
      <w:r w:rsidR="00101D41">
        <w:t>”)</w:t>
      </w:r>
      <w:r w:rsidR="00AC2C4C">
        <w:t xml:space="preserve">.  </w:t>
      </w:r>
      <w:r w:rsidR="00B608D9">
        <w:t xml:space="preserve">The Commission set </w:t>
      </w:r>
      <w:r w:rsidR="002B6A75">
        <w:t xml:space="preserve">the </w:t>
      </w:r>
      <w:r w:rsidR="00B608D9">
        <w:t xml:space="preserve">rate of the SSR-E at zero and required DP&amp;L to file an application and </w:t>
      </w:r>
      <w:r w:rsidR="00010246">
        <w:t xml:space="preserve">satisfy </w:t>
      </w:r>
      <w:r w:rsidR="00B608D9">
        <w:t xml:space="preserve">several conditions if it sought </w:t>
      </w:r>
      <w:r w:rsidR="00947F23">
        <w:t xml:space="preserve">to </w:t>
      </w:r>
      <w:r w:rsidR="002B6A75">
        <w:t>increase the rate of</w:t>
      </w:r>
      <w:r w:rsidR="00B608D9">
        <w:t xml:space="preserve"> the SSR-</w:t>
      </w:r>
      <w:r w:rsidR="00B608D9">
        <w:lastRenderedPageBreak/>
        <w:t xml:space="preserve">E on or after January 1, 2017.  </w:t>
      </w:r>
      <w:r w:rsidR="00101D41" w:rsidRPr="000327C9">
        <w:rPr>
          <w:i/>
        </w:rPr>
        <w:t>Id</w:t>
      </w:r>
      <w:r w:rsidR="00101D41">
        <w:t xml:space="preserve">., </w:t>
      </w:r>
      <w:r w:rsidR="00710B90">
        <w:t>Opinion and Order</w:t>
      </w:r>
      <w:r w:rsidR="00B608D9">
        <w:t xml:space="preserve"> at </w:t>
      </w:r>
      <w:r w:rsidR="00FE20DD">
        <w:t>26-28</w:t>
      </w:r>
      <w:r w:rsidR="00631771">
        <w:t xml:space="preserve">; Entry Nunc </w:t>
      </w:r>
      <w:r w:rsidR="001A4C16">
        <w:t>P</w:t>
      </w:r>
      <w:r w:rsidR="00631771">
        <w:t>ro Tunc at 2</w:t>
      </w:r>
      <w:r w:rsidR="00B608D9">
        <w:t xml:space="preserve">.  </w:t>
      </w:r>
    </w:p>
    <w:p w14:paraId="16207D0E" w14:textId="540FBBBB" w:rsidR="00880C4D" w:rsidRDefault="001D093E" w:rsidP="00C74236">
      <w:pPr>
        <w:spacing w:line="480" w:lineRule="auto"/>
        <w:ind w:firstLine="720"/>
        <w:jc w:val="both"/>
      </w:pPr>
      <w:r>
        <w:t xml:space="preserve">After several rounds of rehearing, </w:t>
      </w:r>
      <w:r w:rsidR="000E4D21">
        <w:t xml:space="preserve">IEU-Ohio </w:t>
      </w:r>
      <w:r>
        <w:t xml:space="preserve">and the Office of the Ohio Consumers’ Counsel </w:t>
      </w:r>
      <w:r w:rsidR="006817C4">
        <w:t xml:space="preserve">(“OCC”) </w:t>
      </w:r>
      <w:r>
        <w:t xml:space="preserve">filed notices of appeal </w:t>
      </w:r>
      <w:r w:rsidR="00710B90">
        <w:t xml:space="preserve">of the Commission’s authorization of the SSR </w:t>
      </w:r>
      <w:r>
        <w:t>to the</w:t>
      </w:r>
      <w:r w:rsidR="00856040">
        <w:t xml:space="preserve"> </w:t>
      </w:r>
      <w:r w:rsidR="001047AE">
        <w:t xml:space="preserve">Supreme </w:t>
      </w:r>
      <w:r w:rsidR="00856040">
        <w:t>Court</w:t>
      </w:r>
      <w:r w:rsidR="001047AE">
        <w:t xml:space="preserve"> of Ohio</w:t>
      </w:r>
      <w:r>
        <w:t xml:space="preserve">.  See, </w:t>
      </w:r>
      <w:r w:rsidRPr="00175181">
        <w:rPr>
          <w:i/>
        </w:rPr>
        <w:t>e.g</w:t>
      </w:r>
      <w:r>
        <w:t xml:space="preserve">., Notice of Appeal of </w:t>
      </w:r>
      <w:r w:rsidR="004F5821">
        <w:t>Industrial Energy Users-Ohio</w:t>
      </w:r>
      <w:r w:rsidR="00033DE4">
        <w:t>, Sup. Ct. Case No. 2014-1505 (Aug. 29, 2014).</w:t>
      </w:r>
    </w:p>
    <w:p w14:paraId="776A4751" w14:textId="749138DE" w:rsidR="00A65399" w:rsidRDefault="00F35A2C" w:rsidP="00C74236">
      <w:pPr>
        <w:spacing w:line="480" w:lineRule="auto"/>
        <w:jc w:val="both"/>
      </w:pPr>
      <w:r>
        <w:tab/>
      </w:r>
      <w:r w:rsidR="006D121C">
        <w:t xml:space="preserve">While the appeal of the SSR was pending, DP&amp;L filed an application for approval of a new ESP.  </w:t>
      </w:r>
      <w:r w:rsidR="006D121C" w:rsidRPr="00727F9F">
        <w:rPr>
          <w:i/>
        </w:rPr>
        <w:t>In the Matter of the Application of The Dayton Power and Light Company for Approval of its Electric Security Plan</w:t>
      </w:r>
      <w:r w:rsidR="006D121C">
        <w:t>, Case</w:t>
      </w:r>
      <w:r w:rsidR="00AC6CC3">
        <w:t xml:space="preserve"> Nos. 16-395-EL-SSO, </w:t>
      </w:r>
      <w:r w:rsidR="00AC6CC3" w:rsidRPr="00727F9F">
        <w:rPr>
          <w:i/>
        </w:rPr>
        <w:t>et al</w:t>
      </w:r>
      <w:r w:rsidR="00AC6CC3">
        <w:t>., Application (Feb. 22, 2016) (“</w:t>
      </w:r>
      <w:r w:rsidR="00AC6CC3" w:rsidRPr="00684092">
        <w:rPr>
          <w:i/>
        </w:rPr>
        <w:t>DP&amp;L</w:t>
      </w:r>
      <w:r w:rsidR="00AC6CC3">
        <w:t xml:space="preserve"> </w:t>
      </w:r>
      <w:r w:rsidR="00AC6CC3" w:rsidRPr="00727F9F">
        <w:rPr>
          <w:i/>
        </w:rPr>
        <w:t>ESP III</w:t>
      </w:r>
      <w:r w:rsidR="00AC6CC3">
        <w:t xml:space="preserve">”).  </w:t>
      </w:r>
      <w:r w:rsidR="00EC5469">
        <w:t>On</w:t>
      </w:r>
      <w:r>
        <w:t xml:space="preserve"> March 30</w:t>
      </w:r>
      <w:r w:rsidR="00EC5469" w:rsidRPr="00EC5469">
        <w:t xml:space="preserve"> </w:t>
      </w:r>
      <w:r w:rsidR="00065189">
        <w:t>i</w:t>
      </w:r>
      <w:r w:rsidR="00EC5469">
        <w:t xml:space="preserve">n the </w:t>
      </w:r>
      <w:r w:rsidR="00EC5469" w:rsidRPr="00684092">
        <w:rPr>
          <w:i/>
        </w:rPr>
        <w:t>DP&amp;L ESP III</w:t>
      </w:r>
      <w:r w:rsidR="00EC5469">
        <w:t xml:space="preserve"> case</w:t>
      </w:r>
      <w:r>
        <w:t>, 2016</w:t>
      </w:r>
      <w:r w:rsidR="00085109">
        <w:t>,</w:t>
      </w:r>
      <w:r w:rsidR="006817C4">
        <w:t xml:space="preserve"> </w:t>
      </w:r>
      <w:r w:rsidR="00FE20DD">
        <w:t>DP&amp;L</w:t>
      </w:r>
      <w:r>
        <w:t xml:space="preserve"> filed </w:t>
      </w:r>
      <w:r w:rsidR="003E64A2">
        <w:t xml:space="preserve">its </w:t>
      </w:r>
      <w:r>
        <w:t xml:space="preserve">motion seeking authorization to </w:t>
      </w:r>
      <w:r w:rsidR="00581552">
        <w:t xml:space="preserve">increase the rate of </w:t>
      </w:r>
      <w:r>
        <w:t>the SSR-E</w:t>
      </w:r>
      <w:r w:rsidR="007955E6">
        <w:t xml:space="preserve">.  </w:t>
      </w:r>
      <w:r w:rsidR="00CC6D63">
        <w:t>Motion of The Dayton Power and Light Company to Implement the SSR Extension Rider (Mar. 30, 2016)</w:t>
      </w:r>
      <w:r w:rsidR="000D056E">
        <w:t xml:space="preserve"> (“DP&amp;L Motion”)</w:t>
      </w:r>
      <w:r w:rsidR="00CC6D63">
        <w:t>.</w:t>
      </w:r>
      <w:r w:rsidR="00DA0F56">
        <w:t xml:space="preserve"> </w:t>
      </w:r>
      <w:r w:rsidR="00CC6D63">
        <w:t xml:space="preserve"> In the Motion, DP&amp;L </w:t>
      </w:r>
      <w:r w:rsidR="00DA0F56">
        <w:t xml:space="preserve">asserted that it had satisfied the conditions that the Commission had established for </w:t>
      </w:r>
      <w:r w:rsidR="00065189">
        <w:t>authorization</w:t>
      </w:r>
      <w:r w:rsidR="00DA0F56">
        <w:t xml:space="preserve"> of a</w:t>
      </w:r>
      <w:r w:rsidR="002B6A75">
        <w:t xml:space="preserve">n </w:t>
      </w:r>
      <w:r w:rsidR="00DA0F56">
        <w:t xml:space="preserve">increase </w:t>
      </w:r>
      <w:r w:rsidR="002B6A75">
        <w:t xml:space="preserve">of the rate of </w:t>
      </w:r>
      <w:r w:rsidR="00DA0F56">
        <w:t>the SSR-E</w:t>
      </w:r>
      <w:r>
        <w:t xml:space="preserve">.  </w:t>
      </w:r>
      <w:r w:rsidR="000D056E">
        <w:t>DP&amp;L Motion at 2.</w:t>
      </w:r>
    </w:p>
    <w:p w14:paraId="433EE856" w14:textId="790B0A8B" w:rsidR="001C34DA" w:rsidRDefault="00542E21" w:rsidP="00C74236">
      <w:pPr>
        <w:spacing w:line="480" w:lineRule="auto"/>
        <w:ind w:firstLine="720"/>
        <w:jc w:val="both"/>
      </w:pPr>
      <w:r>
        <w:t>On April 29</w:t>
      </w:r>
      <w:r w:rsidR="00F35A69">
        <w:t>, 2016,</w:t>
      </w:r>
      <w:r w:rsidR="007E0CEF">
        <w:rPr>
          <w:rStyle w:val="FootnoteReference"/>
        </w:rPr>
        <w:footnoteReference w:id="2"/>
      </w:r>
      <w:r w:rsidR="00F35A69">
        <w:t xml:space="preserve"> </w:t>
      </w:r>
      <w:r w:rsidR="000E4D21">
        <w:t>IEU-Ohio</w:t>
      </w:r>
      <w:r w:rsidR="00F35A2C">
        <w:t xml:space="preserve"> </w:t>
      </w:r>
      <w:r w:rsidR="00F35A69">
        <w:t xml:space="preserve">filed its memorandum opposing </w:t>
      </w:r>
      <w:r w:rsidR="00B443E1">
        <w:t>the DP&amp;L Motion</w:t>
      </w:r>
      <w:r w:rsidR="00BB1C83">
        <w:t xml:space="preserve"> which </w:t>
      </w:r>
      <w:r w:rsidR="00045AA9">
        <w:t xml:space="preserve">demonstrated that DP&amp;L had failed to satisfy the conditions </w:t>
      </w:r>
      <w:r w:rsidR="001433EA">
        <w:t xml:space="preserve">for an increase in the SSR-E rate </w:t>
      </w:r>
      <w:r w:rsidR="00045AA9">
        <w:t>set out in the Opin</w:t>
      </w:r>
      <w:r w:rsidR="00DB7515">
        <w:t xml:space="preserve">ion and Order.  </w:t>
      </w:r>
      <w:r w:rsidR="00D53338">
        <w:t>Industrial Energy Users-Ohio’s Memorandum Contra the Motion of The Dayton Power and Light Company to Implement the SSR Extension Rider at 6-15 (Apr. 29, 2016)</w:t>
      </w:r>
      <w:r w:rsidR="003231B6">
        <w:t xml:space="preserve"> (“IEU-Ohio Memo Contra”)</w:t>
      </w:r>
      <w:r w:rsidR="00D53338">
        <w:t>.  Additionally, IEU-Ohio</w:t>
      </w:r>
      <w:r w:rsidR="00DB7515">
        <w:t xml:space="preserve"> argued </w:t>
      </w:r>
      <w:r w:rsidR="001433EA">
        <w:t>that authorization of the increase would trigger a violation of R.C. 4928.38 because it would permit DP&amp;L to bill and collect transit</w:t>
      </w:r>
      <w:r w:rsidR="00A65399">
        <w:t xml:space="preserve">ion revenue or </w:t>
      </w:r>
      <w:r w:rsidR="00A65399">
        <w:lastRenderedPageBreak/>
        <w:t>its equivalent.</w:t>
      </w:r>
      <w:r w:rsidR="00DE5569">
        <w:t xml:space="preserve"> </w:t>
      </w:r>
      <w:r w:rsidR="00D53338">
        <w:t xml:space="preserve"> </w:t>
      </w:r>
      <w:r w:rsidR="00D53338" w:rsidRPr="00175181">
        <w:rPr>
          <w:i/>
        </w:rPr>
        <w:t>Id</w:t>
      </w:r>
      <w:r w:rsidR="00D53338">
        <w:t>. at</w:t>
      </w:r>
      <w:r w:rsidR="00DE5569">
        <w:t xml:space="preserve"> </w:t>
      </w:r>
      <w:r w:rsidR="00D53338">
        <w:t xml:space="preserve">18-20.  </w:t>
      </w:r>
      <w:r w:rsidR="00E629B9">
        <w:t xml:space="preserve">In support of this argument, IEU-Ohio cited </w:t>
      </w:r>
      <w:r w:rsidR="00E629B9" w:rsidRPr="005C3242">
        <w:rPr>
          <w:i/>
        </w:rPr>
        <w:t>In re Application of Columbus</w:t>
      </w:r>
      <w:r w:rsidR="00D5429B">
        <w:rPr>
          <w:i/>
        </w:rPr>
        <w:t xml:space="preserve"> Southern</w:t>
      </w:r>
      <w:r w:rsidR="00E629B9" w:rsidRPr="005C3242">
        <w:rPr>
          <w:i/>
        </w:rPr>
        <w:t xml:space="preserve"> Power Co</w:t>
      </w:r>
      <w:r w:rsidR="00E629B9">
        <w:t>., 2016-Ohio-1608</w:t>
      </w:r>
      <w:r w:rsidR="002B6A75">
        <w:t xml:space="preserve"> </w:t>
      </w:r>
      <w:r w:rsidR="002F7FDC">
        <w:t xml:space="preserve">(Apr. 21, 2016) </w:t>
      </w:r>
      <w:r w:rsidR="002B6A75">
        <w:t>(“</w:t>
      </w:r>
      <w:r w:rsidR="002B6A75" w:rsidRPr="00175181">
        <w:rPr>
          <w:i/>
        </w:rPr>
        <w:t>CSP</w:t>
      </w:r>
      <w:r w:rsidR="002B6A75">
        <w:t>”).</w:t>
      </w:r>
      <w:r w:rsidR="00E629B9">
        <w:t xml:space="preserve">  In the </w:t>
      </w:r>
      <w:r w:rsidR="002B6A75">
        <w:rPr>
          <w:i/>
        </w:rPr>
        <w:t>CSP</w:t>
      </w:r>
      <w:r w:rsidR="00E629B9">
        <w:t xml:space="preserve"> decision, the </w:t>
      </w:r>
      <w:r w:rsidR="002B70A8">
        <w:t>Court</w:t>
      </w:r>
      <w:r w:rsidR="00E629B9">
        <w:t xml:space="preserve"> concluded that the Commission had violated the prohibition </w:t>
      </w:r>
      <w:r w:rsidR="003F6FC3">
        <w:t>in</w:t>
      </w:r>
      <w:r w:rsidR="00E629B9">
        <w:t xml:space="preserve"> R.C. 4928.38 </w:t>
      </w:r>
      <w:r w:rsidR="00204177">
        <w:t>o</w:t>
      </w:r>
      <w:r w:rsidR="00736E31">
        <w:t>f</w:t>
      </w:r>
      <w:r w:rsidR="00204177">
        <w:t xml:space="preserve"> the authorization of </w:t>
      </w:r>
      <w:r w:rsidR="00736E31">
        <w:t>receipt</w:t>
      </w:r>
      <w:r w:rsidR="00204177">
        <w:t xml:space="preserve"> of transition revenue or its equivalent </w:t>
      </w:r>
      <w:r w:rsidR="00E629B9">
        <w:t xml:space="preserve">when it authorized </w:t>
      </w:r>
      <w:r w:rsidR="00C1119C">
        <w:t>the Ohio Power Company</w:t>
      </w:r>
      <w:r w:rsidR="00D5429B">
        <w:t xml:space="preserve"> (“AEP-Ohio”)</w:t>
      </w:r>
      <w:r w:rsidR="00C1119C">
        <w:t xml:space="preserve"> to bill and collect generation-related </w:t>
      </w:r>
      <w:r w:rsidR="00204177">
        <w:t xml:space="preserve">lost </w:t>
      </w:r>
      <w:r w:rsidR="00C1119C">
        <w:t xml:space="preserve">revenue </w:t>
      </w:r>
      <w:r w:rsidR="00E629B9">
        <w:t xml:space="preserve">under the guise of R.C. 4928.143(B)(2)(d).  </w:t>
      </w:r>
      <w:r w:rsidR="002B6A75">
        <w:rPr>
          <w:i/>
        </w:rPr>
        <w:t>Id.</w:t>
      </w:r>
      <w:r w:rsidR="00E629B9">
        <w:t xml:space="preserve">, </w:t>
      </w:r>
      <w:r w:rsidR="00E629B9">
        <w:rPr>
          <w:rFonts w:cs="Arial"/>
        </w:rPr>
        <w:t>¶¶</w:t>
      </w:r>
      <w:r w:rsidR="00E629B9">
        <w:t xml:space="preserve"> 12-40.  </w:t>
      </w:r>
      <w:r w:rsidR="00DB7515">
        <w:t xml:space="preserve">In reliance on the Court’s decision in </w:t>
      </w:r>
      <w:r w:rsidR="00DB7515" w:rsidRPr="003F6FC3">
        <w:rPr>
          <w:i/>
        </w:rPr>
        <w:t>CSP</w:t>
      </w:r>
      <w:r w:rsidR="00DB7515">
        <w:t xml:space="preserve">, </w:t>
      </w:r>
      <w:r w:rsidR="003F6FC3">
        <w:t xml:space="preserve">IEU-Ohio argued that </w:t>
      </w:r>
      <w:r w:rsidR="00B23BD6">
        <w:t xml:space="preserve">an authorization of an increase in the </w:t>
      </w:r>
      <w:r w:rsidR="003F6FC3">
        <w:t xml:space="preserve">SSR-E </w:t>
      </w:r>
      <w:r w:rsidR="003231B6">
        <w:t xml:space="preserve">would permit DP&amp;L to bill and collect </w:t>
      </w:r>
      <w:r w:rsidR="00BD473E">
        <w:t xml:space="preserve">generation-related </w:t>
      </w:r>
      <w:r w:rsidR="003231B6">
        <w:t>revenue</w:t>
      </w:r>
      <w:r w:rsidR="003F6FC3">
        <w:t xml:space="preserve"> not recoverable in the market, that the revenue recovered by the SSR-E would be by definition transition revenue or its equivalent, and that the analysis DP&amp;L was relying upon to justify the SSR-E increase was the </w:t>
      </w:r>
      <w:r w:rsidR="00BD473E">
        <w:t>same as</w:t>
      </w:r>
      <w:r w:rsidR="00D775ED">
        <w:t xml:space="preserve"> the</w:t>
      </w:r>
      <w:r w:rsidR="003F6FC3">
        <w:t xml:space="preserve"> </w:t>
      </w:r>
      <w:r w:rsidR="00B23BD6">
        <w:t>justification</w:t>
      </w:r>
      <w:r w:rsidR="003F6FC3">
        <w:t xml:space="preserve"> that the Court rejected in </w:t>
      </w:r>
      <w:r w:rsidR="003F6FC3" w:rsidRPr="00B23BD6">
        <w:rPr>
          <w:i/>
        </w:rPr>
        <w:t>CSP</w:t>
      </w:r>
      <w:r w:rsidR="003F6FC3">
        <w:t>.</w:t>
      </w:r>
      <w:r w:rsidR="003231B6">
        <w:t xml:space="preserve">  </w:t>
      </w:r>
      <w:r w:rsidR="00185BB3">
        <w:t>IEU-Ohio Memo Contra at 20.</w:t>
      </w:r>
    </w:p>
    <w:p w14:paraId="5F63F319" w14:textId="6538A19D" w:rsidR="00F35A2C" w:rsidRDefault="007E0CEF" w:rsidP="00C74236">
      <w:pPr>
        <w:spacing w:line="480" w:lineRule="auto"/>
        <w:ind w:firstLine="720"/>
        <w:jc w:val="both"/>
      </w:pPr>
      <w:r>
        <w:t>DP&amp;L</w:t>
      </w:r>
      <w:r w:rsidR="00880C4D">
        <w:t xml:space="preserve"> filed its re</w:t>
      </w:r>
      <w:r w:rsidR="00542E21">
        <w:t>ply on May 13</w:t>
      </w:r>
      <w:r w:rsidR="00880C4D">
        <w:t>, 2016.</w:t>
      </w:r>
      <w:r w:rsidR="009E4708">
        <w:rPr>
          <w:rStyle w:val="FootnoteReference"/>
        </w:rPr>
        <w:footnoteReference w:id="3"/>
      </w:r>
      <w:r w:rsidR="00880C4D">
        <w:t xml:space="preserve">  </w:t>
      </w:r>
      <w:r w:rsidR="0071088D">
        <w:t>Reply Memorandum in Support of the Motion of the Dayton Power and Light Company to Implement the SSR Extension Rider (May 13, 2016)</w:t>
      </w:r>
      <w:r w:rsidR="00774DCE">
        <w:t xml:space="preserve"> (“DP&amp;L Reply”)</w:t>
      </w:r>
      <w:r w:rsidR="0071088D">
        <w:t xml:space="preserve">.  </w:t>
      </w:r>
      <w:r w:rsidR="00603861">
        <w:t xml:space="preserve">In that reply, DP&amp;L argued the Court’s decision in </w:t>
      </w:r>
      <w:r w:rsidR="00603861" w:rsidRPr="00175181">
        <w:rPr>
          <w:i/>
        </w:rPr>
        <w:t xml:space="preserve">CSP </w:t>
      </w:r>
      <w:r w:rsidR="000D6BE3">
        <w:t>was inapplicable to its Motion</w:t>
      </w:r>
      <w:r w:rsidR="00603861">
        <w:t xml:space="preserve"> because the Court had not addressed </w:t>
      </w:r>
      <w:r w:rsidR="0021773A">
        <w:t>whether</w:t>
      </w:r>
      <w:r w:rsidR="00603861">
        <w:t xml:space="preserve"> the Commission could authorize the recovery of transition revenue under R.C. 4928.143(B)(2)(d) under alternative </w:t>
      </w:r>
      <w:r w:rsidR="00451EF1">
        <w:t>claims that</w:t>
      </w:r>
      <w:r w:rsidR="00F26132">
        <w:t xml:space="preserve"> DP&amp;L was advancing in the appeal of the SSR</w:t>
      </w:r>
      <w:r w:rsidR="00E94DD0">
        <w:t xml:space="preserve">.  </w:t>
      </w:r>
      <w:r w:rsidR="00D872EB">
        <w:t xml:space="preserve">According to </w:t>
      </w:r>
      <w:r w:rsidR="00F26132">
        <w:t>DP&amp;L</w:t>
      </w:r>
      <w:r w:rsidR="00D872EB">
        <w:t xml:space="preserve">, </w:t>
      </w:r>
      <w:r w:rsidR="00E94DD0">
        <w:t>R.C. 4928.143(B)(2)(d)</w:t>
      </w:r>
      <w:r w:rsidR="00102AE4">
        <w:t xml:space="preserve"> permitted</w:t>
      </w:r>
      <w:r w:rsidR="00BE2AA9">
        <w:t xml:space="preserve"> the Commission to authorize the receipt of</w:t>
      </w:r>
      <w:r w:rsidR="00102AE4">
        <w:t xml:space="preserve"> transition revenue </w:t>
      </w:r>
      <w:r w:rsidR="00BE2AA9">
        <w:t>or its equivalent that would otherwise violate R.C. 4928.38</w:t>
      </w:r>
      <w:r w:rsidR="00102AE4">
        <w:t xml:space="preserve"> due to the “notwithstanding” clause of R.C. 4928.143(B)(2)</w:t>
      </w:r>
      <w:r w:rsidR="00C062BE">
        <w:t>.  Additionally, DP&amp;L claimed</w:t>
      </w:r>
      <w:r w:rsidR="00102AE4">
        <w:t xml:space="preserve"> </w:t>
      </w:r>
      <w:r w:rsidR="00E94DD0">
        <w:t xml:space="preserve">that </w:t>
      </w:r>
      <w:r w:rsidR="00102AE4">
        <w:t xml:space="preserve">an </w:t>
      </w:r>
      <w:r w:rsidR="00A90AD0">
        <w:t>irreconcilable</w:t>
      </w:r>
      <w:r w:rsidR="00102AE4">
        <w:t xml:space="preserve"> </w:t>
      </w:r>
      <w:r w:rsidR="00984FD8">
        <w:t xml:space="preserve">conflict </w:t>
      </w:r>
      <w:r w:rsidR="00102AE4">
        <w:t>between R.C. 4928.143(B)(2)(d)</w:t>
      </w:r>
      <w:r w:rsidR="00984FD8">
        <w:t xml:space="preserve"> (which </w:t>
      </w:r>
      <w:r w:rsidR="00984FD8">
        <w:lastRenderedPageBreak/>
        <w:t xml:space="preserve">DP&amp;L claimed allows the </w:t>
      </w:r>
      <w:r w:rsidR="000F1D93">
        <w:t>authorization of the receipt</w:t>
      </w:r>
      <w:r w:rsidR="00984FD8">
        <w:t xml:space="preserve"> of transition revenue or its equivalent)</w:t>
      </w:r>
      <w:r w:rsidR="00102AE4">
        <w:t xml:space="preserve"> and R.C. 4928.38</w:t>
      </w:r>
      <w:r w:rsidR="00984FD8">
        <w:t xml:space="preserve"> (which expressly prohibits </w:t>
      </w:r>
      <w:r w:rsidR="00DF3359">
        <w:t>the Commission from authorizing the rece</w:t>
      </w:r>
      <w:r w:rsidR="00734380">
        <w:t>i</w:t>
      </w:r>
      <w:r w:rsidR="00DF3359">
        <w:t xml:space="preserve">pt of transition revenue or its equivalent except as provided by </w:t>
      </w:r>
      <w:r w:rsidR="003B0B74">
        <w:t>R.C. 4928.31 to 4928.40)</w:t>
      </w:r>
      <w:r w:rsidR="00102AE4">
        <w:t xml:space="preserve"> required the former section to be enforced</w:t>
      </w:r>
      <w:r w:rsidR="00CC1CE3">
        <w:t xml:space="preserve"> </w:t>
      </w:r>
      <w:r w:rsidR="00C062BE">
        <w:t>since it was the later-enacted statute</w:t>
      </w:r>
      <w:r w:rsidR="00102AE4">
        <w:t xml:space="preserve">.  </w:t>
      </w:r>
      <w:r w:rsidR="000C2F3B" w:rsidRPr="00EE4588">
        <w:rPr>
          <w:i/>
        </w:rPr>
        <w:t>Id</w:t>
      </w:r>
      <w:r w:rsidR="000C2F3B">
        <w:t>. at 11-16</w:t>
      </w:r>
      <w:r w:rsidR="00EE4588">
        <w:t xml:space="preserve">.  </w:t>
      </w:r>
    </w:p>
    <w:p w14:paraId="164E6F7C" w14:textId="0F5CCF97" w:rsidR="002B6A75" w:rsidRDefault="00BB3008" w:rsidP="00C74236">
      <w:pPr>
        <w:spacing w:line="480" w:lineRule="auto"/>
        <w:ind w:firstLine="720"/>
        <w:jc w:val="both"/>
      </w:pPr>
      <w:r>
        <w:t xml:space="preserve">After </w:t>
      </w:r>
      <w:r w:rsidR="00DF5F50">
        <w:t xml:space="preserve">DP&amp;L filed </w:t>
      </w:r>
      <w:r w:rsidR="00774DCE">
        <w:t>the DP&amp;L Reply</w:t>
      </w:r>
      <w:r>
        <w:t>, DP&amp;L</w:t>
      </w:r>
      <w:r w:rsidR="002B6A75">
        <w:t xml:space="preserve"> (with the Commission)</w:t>
      </w:r>
      <w:r>
        <w:t xml:space="preserve"> </w:t>
      </w:r>
      <w:r w:rsidR="002440BF">
        <w:t>filed a supplemental brief</w:t>
      </w:r>
      <w:r w:rsidR="00DB6014">
        <w:t xml:space="preserve"> </w:t>
      </w:r>
      <w:r w:rsidR="00064A5C">
        <w:t xml:space="preserve">with the </w:t>
      </w:r>
      <w:r w:rsidR="00292AC2">
        <w:t>Court</w:t>
      </w:r>
      <w:r w:rsidR="00064A5C">
        <w:t xml:space="preserve"> in the appeal of the SSR.  </w:t>
      </w:r>
      <w:r w:rsidR="00BE1886" w:rsidRPr="00493633">
        <w:rPr>
          <w:i/>
        </w:rPr>
        <w:t xml:space="preserve">In re Matter of the </w:t>
      </w:r>
      <w:r w:rsidR="00493633" w:rsidRPr="00493633">
        <w:rPr>
          <w:i/>
        </w:rPr>
        <w:t>Application</w:t>
      </w:r>
      <w:r w:rsidR="00BE1886" w:rsidRPr="00493633">
        <w:rPr>
          <w:i/>
        </w:rPr>
        <w:t xml:space="preserve"> of The Dayton Power and Light Company for Approval of its Electric Security Plan</w:t>
      </w:r>
      <w:r w:rsidR="00BE1886">
        <w:t xml:space="preserve">, Sup. Ct. Case No. 14-1505, </w:t>
      </w:r>
      <w:r w:rsidR="0004697A">
        <w:t xml:space="preserve">Supplemental Brief of Appellee the Public Utilities Commission of Ohio and Cross-Appellant the Dayton Power and Light Company Regarding Recent Supreme Court </w:t>
      </w:r>
      <w:r w:rsidR="00BE1886">
        <w:t>Decision (June 2, 2016</w:t>
      </w:r>
      <w:r w:rsidR="00F90565">
        <w:t>)</w:t>
      </w:r>
      <w:r w:rsidR="00BE1886">
        <w:t xml:space="preserve">.  </w:t>
      </w:r>
      <w:r w:rsidR="002B6A75">
        <w:t>In the supplemental brief</w:t>
      </w:r>
      <w:r w:rsidR="00BE1886">
        <w:t>,</w:t>
      </w:r>
      <w:r w:rsidR="007256CD">
        <w:t xml:space="preserve"> </w:t>
      </w:r>
      <w:r w:rsidR="003B5657">
        <w:t xml:space="preserve">DP&amp;L </w:t>
      </w:r>
      <w:r w:rsidR="002B6A75">
        <w:t xml:space="preserve">repeated </w:t>
      </w:r>
      <w:r w:rsidR="003B5657">
        <w:t xml:space="preserve">the same two </w:t>
      </w:r>
      <w:r w:rsidR="00E128AD">
        <w:t xml:space="preserve">claims </w:t>
      </w:r>
      <w:r w:rsidR="003B5657">
        <w:t xml:space="preserve">that DP&amp;L presented in </w:t>
      </w:r>
      <w:r w:rsidR="00A831A4">
        <w:t>the DP&amp;L Reply</w:t>
      </w:r>
      <w:r w:rsidR="00817AAC">
        <w:t xml:space="preserve">.  First, </w:t>
      </w:r>
      <w:r w:rsidR="002B6A75">
        <w:t xml:space="preserve">it </w:t>
      </w:r>
      <w:r w:rsidR="00817AAC">
        <w:t xml:space="preserve">argued that the Commission could authorize DP&amp;L to collect transition revenue </w:t>
      </w:r>
      <w:r w:rsidR="009A5510">
        <w:t xml:space="preserve">or its equivalent </w:t>
      </w:r>
      <w:r w:rsidR="00817AAC">
        <w:t xml:space="preserve">under R.C. 4928.143(B)(2)(d) because the “notwithstanding” clause in </w:t>
      </w:r>
      <w:r w:rsidR="008F3A44">
        <w:t xml:space="preserve">R.C. 4928.143(B)(2) permitted the Commission to do so.  </w:t>
      </w:r>
      <w:r w:rsidR="008A2BF6" w:rsidRPr="00175181">
        <w:rPr>
          <w:i/>
        </w:rPr>
        <w:t>Id</w:t>
      </w:r>
      <w:r w:rsidR="008A2BF6">
        <w:t xml:space="preserve">. at 3-6.  </w:t>
      </w:r>
      <w:r w:rsidR="008F3A44">
        <w:t xml:space="preserve">Second, </w:t>
      </w:r>
      <w:r w:rsidR="002B6A75">
        <w:t xml:space="preserve">it </w:t>
      </w:r>
      <w:r w:rsidR="008F3A44">
        <w:t xml:space="preserve">argued that the Commission </w:t>
      </w:r>
      <w:r w:rsidR="00255F51">
        <w:t xml:space="preserve">can ignore the </w:t>
      </w:r>
      <w:r w:rsidR="008A2BF6">
        <w:t xml:space="preserve">previously enacted </w:t>
      </w:r>
      <w:r w:rsidR="00255F51">
        <w:t xml:space="preserve">prohibition of the authorization of transition revenue or its equivalent because that section irreconcilably conflicts with the </w:t>
      </w:r>
      <w:r w:rsidR="008A2BF6">
        <w:t xml:space="preserve">subsequently enacted </w:t>
      </w:r>
      <w:r w:rsidR="00255F51">
        <w:t>authority provided by R.C. 4928.143(B)(2)(d)</w:t>
      </w:r>
      <w:r w:rsidR="008A2BF6">
        <w:t xml:space="preserve"> and the conflict should be resolved in favor of the more recently enacted statute.  </w:t>
      </w:r>
      <w:r w:rsidR="008A2BF6" w:rsidRPr="00175181">
        <w:rPr>
          <w:i/>
        </w:rPr>
        <w:t>Id</w:t>
      </w:r>
      <w:r w:rsidR="008A2BF6">
        <w:t xml:space="preserve">. at </w:t>
      </w:r>
      <w:r w:rsidR="007257C9">
        <w:t xml:space="preserve">6-9.  </w:t>
      </w:r>
    </w:p>
    <w:p w14:paraId="1871E757" w14:textId="4AD70F1F" w:rsidR="007256CD" w:rsidRDefault="007257C9" w:rsidP="00C74236">
      <w:pPr>
        <w:spacing w:line="480" w:lineRule="auto"/>
        <w:ind w:firstLine="720"/>
        <w:jc w:val="both"/>
      </w:pPr>
      <w:r>
        <w:t xml:space="preserve">IEU-Ohio and OCC filed replies to the </w:t>
      </w:r>
      <w:r w:rsidR="00880A54">
        <w:t xml:space="preserve">supplemental </w:t>
      </w:r>
      <w:r w:rsidR="002B6A75">
        <w:t xml:space="preserve">brief </w:t>
      </w:r>
      <w:r w:rsidR="00A831A4">
        <w:t xml:space="preserve">that </w:t>
      </w:r>
      <w:r w:rsidR="002B6A75">
        <w:t>DP&amp;L and the Commission filed with the Court</w:t>
      </w:r>
      <w:r w:rsidR="00CA41FE">
        <w:t xml:space="preserve">.  </w:t>
      </w:r>
      <w:r w:rsidR="00A831A4">
        <w:t xml:space="preserve">In their </w:t>
      </w:r>
      <w:r w:rsidR="0077567A">
        <w:t>replies</w:t>
      </w:r>
      <w:r w:rsidR="00A831A4">
        <w:t xml:space="preserve">, IEU-Ohio and OCC </w:t>
      </w:r>
      <w:r>
        <w:t xml:space="preserve">demonstrated that </w:t>
      </w:r>
      <w:r w:rsidR="00917BD5">
        <w:t>R.C. 4928.143 does not authorize the collection of transition revenue or its equivalent</w:t>
      </w:r>
      <w:r w:rsidR="00ED6D39">
        <w:t xml:space="preserve"> </w:t>
      </w:r>
      <w:r w:rsidR="00ED6D39">
        <w:lastRenderedPageBreak/>
        <w:t xml:space="preserve">and that </w:t>
      </w:r>
      <w:r w:rsidR="00880A54">
        <w:t xml:space="preserve">DP&amp;L’s </w:t>
      </w:r>
      <w:r w:rsidR="00ED6D39">
        <w:t>interpretation of the Commission’s statutory authority under R.C. 4928.143 and 4928</w:t>
      </w:r>
      <w:r w:rsidR="00F12481">
        <w:t>.38 violated legislative intent and</w:t>
      </w:r>
      <w:r w:rsidR="00ED6D39">
        <w:t xml:space="preserve"> the Commission’s application of the statutes</w:t>
      </w:r>
      <w:r w:rsidR="00F12481">
        <w:t xml:space="preserve">.  See </w:t>
      </w:r>
      <w:r w:rsidR="004B6AD3" w:rsidRPr="00493633">
        <w:rPr>
          <w:i/>
        </w:rPr>
        <w:t>In re Matter of the Application of The Dayton Power and Light Company for Approval of its Electric Security Plan</w:t>
      </w:r>
      <w:r w:rsidR="004B6AD3">
        <w:t xml:space="preserve">, Sup. Ct. Case No. 14-1505, </w:t>
      </w:r>
      <w:r w:rsidR="00F12481">
        <w:t xml:space="preserve">Supplemental Brief of Appellant/Cross Appellee Industrial Energy Users-Ohio </w:t>
      </w:r>
      <w:r w:rsidR="004B6AD3">
        <w:t>(June 6, 2016) and Supplemental Brief by Appellant the Office of the Ohio Consumers’ Counsel (June 7, 2016).</w:t>
      </w:r>
    </w:p>
    <w:p w14:paraId="64C4C59A" w14:textId="75A6621F" w:rsidR="007E0CEF" w:rsidRDefault="007E0CEF" w:rsidP="00C74236">
      <w:pPr>
        <w:spacing w:line="480" w:lineRule="auto"/>
        <w:jc w:val="both"/>
      </w:pPr>
      <w:r>
        <w:tab/>
        <w:t xml:space="preserve">On June </w:t>
      </w:r>
      <w:r w:rsidR="00880C4D">
        <w:t xml:space="preserve">20, 2016, the </w:t>
      </w:r>
      <w:r w:rsidR="00A037B2">
        <w:t>Court</w:t>
      </w:r>
      <w:r w:rsidR="00C360D6">
        <w:t xml:space="preserve"> issued a decision </w:t>
      </w:r>
      <w:r w:rsidR="00645E72">
        <w:t xml:space="preserve">in the appeal of the Opinion and Order </w:t>
      </w:r>
      <w:r w:rsidR="002B6A75">
        <w:t>authorizing the SSR</w:t>
      </w:r>
      <w:r w:rsidR="00185BB3">
        <w:t>.</w:t>
      </w:r>
      <w:r w:rsidR="00645E72">
        <w:t xml:space="preserve">  </w:t>
      </w:r>
      <w:r w:rsidR="000F50E6" w:rsidRPr="005C3242">
        <w:rPr>
          <w:i/>
        </w:rPr>
        <w:t>In re Application of Dayton Power and Light Co.</w:t>
      </w:r>
      <w:r w:rsidR="000F50E6">
        <w:t>, Slip Op. 2016-Ohio-</w:t>
      </w:r>
      <w:r w:rsidR="00F52639">
        <w:t>349</w:t>
      </w:r>
      <w:r w:rsidR="0011755B">
        <w:t>0</w:t>
      </w:r>
      <w:r w:rsidR="000F50E6">
        <w:t xml:space="preserve">, Decision (June 20, 2016).  </w:t>
      </w:r>
      <w:r w:rsidR="00645E72">
        <w:t xml:space="preserve">The Court </w:t>
      </w:r>
      <w:r w:rsidR="003C3C6E">
        <w:t xml:space="preserve">summarily </w:t>
      </w:r>
      <w:r w:rsidR="00FC4428">
        <w:t xml:space="preserve">reversed the Commission’s order </w:t>
      </w:r>
      <w:r w:rsidR="00A71B6A">
        <w:t>in a single sentence:</w:t>
      </w:r>
      <w:r w:rsidR="00645E72">
        <w:t xml:space="preserve"> “</w:t>
      </w:r>
      <w:r w:rsidR="005C3242">
        <w:t>The d</w:t>
      </w:r>
      <w:r w:rsidR="000F50E6">
        <w:t xml:space="preserve">ecision of the Public Utilities Commission is reversed on the authority of </w:t>
      </w:r>
      <w:r w:rsidR="005B36E8" w:rsidRPr="00175181">
        <w:rPr>
          <w:i/>
        </w:rPr>
        <w:t>In re Application of Columbus S. Power Co</w:t>
      </w:r>
      <w:r w:rsidR="005B36E8">
        <w:t xml:space="preserve">., __ Ohio St.3d __, 2016-Ohio-1608, __ </w:t>
      </w:r>
      <w:r w:rsidR="006F24A2">
        <w:t xml:space="preserve">N.E.3d </w:t>
      </w:r>
      <w:r w:rsidR="005B36E8">
        <w:t>__.”</w:t>
      </w:r>
    </w:p>
    <w:p w14:paraId="6BDD8C58" w14:textId="6DC918D4" w:rsidR="005C3242" w:rsidRDefault="005C3242" w:rsidP="00C74236">
      <w:pPr>
        <w:spacing w:line="480" w:lineRule="auto"/>
        <w:jc w:val="both"/>
      </w:pPr>
      <w:r>
        <w:tab/>
      </w:r>
      <w:r w:rsidR="000F1417">
        <w:t xml:space="preserve">As noted above, IEU-Ohio’s Memo Contra was due and filed on April 29, 2016.  </w:t>
      </w:r>
      <w:r w:rsidR="002963DE">
        <w:t>DP&amp;L filed the DP&amp;L Reply on May 13, 2016.  On June 20, 2016, t</w:t>
      </w:r>
      <w:r w:rsidR="000F1417">
        <w:t xml:space="preserve">he Court issued its decision </w:t>
      </w:r>
      <w:r w:rsidR="001F5154">
        <w:t xml:space="preserve">summarily </w:t>
      </w:r>
      <w:r w:rsidR="000F1417">
        <w:t xml:space="preserve">reversing the authorization of the SSR.  </w:t>
      </w:r>
      <w:r w:rsidR="004D7F9B">
        <w:t xml:space="preserve">While no further reply or surreply is authorized under the Commission’s rules, </w:t>
      </w:r>
      <w:r w:rsidR="007032B2">
        <w:t>there is good cause to allow a surreply</w:t>
      </w:r>
      <w:r w:rsidR="00322C4A">
        <w:t xml:space="preserve"> to be filed</w:t>
      </w:r>
      <w:r w:rsidR="007032B2">
        <w:t xml:space="preserve"> in this instance because</w:t>
      </w:r>
      <w:r w:rsidR="000F110D">
        <w:t xml:space="preserve"> IEU-Ohio </w:t>
      </w:r>
      <w:r w:rsidR="00CE0661">
        <w:t>could not have provi</w:t>
      </w:r>
      <w:r w:rsidR="00D66F30">
        <w:t>ded the Commission its argument</w:t>
      </w:r>
      <w:r w:rsidR="00CE0661">
        <w:t xml:space="preserve"> that the recent </w:t>
      </w:r>
      <w:r w:rsidR="00EF33E4">
        <w:t xml:space="preserve">Court </w:t>
      </w:r>
      <w:r w:rsidR="00CE0661">
        <w:t xml:space="preserve">decision </w:t>
      </w:r>
      <w:r w:rsidR="00214BA1">
        <w:t xml:space="preserve">rejects </w:t>
      </w:r>
      <w:r w:rsidR="00CC6EE2">
        <w:t xml:space="preserve">the same </w:t>
      </w:r>
      <w:r w:rsidR="00AF1F9C">
        <w:t>claims</w:t>
      </w:r>
      <w:r w:rsidR="00CC6EE2">
        <w:t xml:space="preserve"> DP&amp;L has advanced in this motion to support its request to bill and collect transition revenue or its equivalent under the SSR-E</w:t>
      </w:r>
      <w:r w:rsidR="00684CC8">
        <w:t xml:space="preserve">.  </w:t>
      </w:r>
      <w:r w:rsidR="005E3900" w:rsidRPr="00D1439A">
        <w:rPr>
          <w:i/>
        </w:rPr>
        <w:t>In the Matter of the Complaint of Time Warner Telecom of Ohio, L.P. v. Ameritech Ohio (now known as SBC Ohio)</w:t>
      </w:r>
      <w:r w:rsidR="005E3900">
        <w:t>, Case No. 02-796-TP-CSS, Opinion and Order at 22 (Nov. 10, 2004)</w:t>
      </w:r>
      <w:r w:rsidR="00243CD7">
        <w:t>.</w:t>
      </w:r>
    </w:p>
    <w:p w14:paraId="05BA307B" w14:textId="77777777" w:rsidR="002B6A75" w:rsidRPr="00175181" w:rsidRDefault="002B6A75" w:rsidP="00175181">
      <w:pPr>
        <w:pStyle w:val="Heading1"/>
      </w:pPr>
      <w:bookmarkStart w:id="5" w:name="_Toc454877902"/>
      <w:bookmarkStart w:id="6" w:name="_Toc454885966"/>
      <w:r w:rsidRPr="00175181">
        <w:lastRenderedPageBreak/>
        <w:t>Conclusion</w:t>
      </w:r>
      <w:bookmarkEnd w:id="5"/>
      <w:bookmarkEnd w:id="6"/>
    </w:p>
    <w:p w14:paraId="2D5DFF49" w14:textId="18D13738" w:rsidR="00C516CB" w:rsidRDefault="002B6A75" w:rsidP="002B6A75">
      <w:pPr>
        <w:spacing w:line="480" w:lineRule="auto"/>
        <w:jc w:val="both"/>
      </w:pPr>
      <w:r w:rsidRPr="00175181">
        <w:tab/>
        <w:t>Because IEU-Ohio has set out good cause to grant its motion</w:t>
      </w:r>
      <w:r w:rsidR="00C516CB" w:rsidRPr="00175181">
        <w:t xml:space="preserve">, the Commission </w:t>
      </w:r>
      <w:r w:rsidRPr="00175181">
        <w:t>should issue an order permitting</w:t>
      </w:r>
      <w:r w:rsidR="00C516CB" w:rsidRPr="00175181">
        <w:t xml:space="preserve"> IEU-Ohio to </w:t>
      </w:r>
      <w:r w:rsidR="00ED0B75">
        <w:t>file the Surreply</w:t>
      </w:r>
      <w:r w:rsidR="00075637">
        <w:t xml:space="preserve">, attached as </w:t>
      </w:r>
      <w:r w:rsidR="00C516CB" w:rsidRPr="00175181">
        <w:t>Exhibit</w:t>
      </w:r>
      <w:r w:rsidR="00010610" w:rsidRPr="00175181">
        <w:t xml:space="preserve"> A</w:t>
      </w:r>
      <w:r w:rsidR="0050786C">
        <w:t xml:space="preserve">.  The order should </w:t>
      </w:r>
      <w:r w:rsidR="00AF1F9C">
        <w:t>further</w:t>
      </w:r>
      <w:r w:rsidR="0050786C">
        <w:t xml:space="preserve"> provide </w:t>
      </w:r>
      <w:r w:rsidRPr="00175181">
        <w:t xml:space="preserve">that the </w:t>
      </w:r>
      <w:r w:rsidR="002963DE">
        <w:t xml:space="preserve">attached </w:t>
      </w:r>
      <w:r w:rsidR="00075637">
        <w:t>Surreply</w:t>
      </w:r>
      <w:r w:rsidRPr="00175181">
        <w:t xml:space="preserve"> be treated as filed </w:t>
      </w:r>
      <w:r w:rsidR="00075637">
        <w:t xml:space="preserve">and served </w:t>
      </w:r>
      <w:r w:rsidRPr="00175181">
        <w:t>as of the date of the Commission’s order</w:t>
      </w:r>
      <w:r w:rsidR="00C516CB" w:rsidRPr="00175181">
        <w:t>.</w:t>
      </w:r>
    </w:p>
    <w:p w14:paraId="0A175BFB" w14:textId="77777777" w:rsidR="007C4DDA" w:rsidRDefault="007C4DDA"/>
    <w:p w14:paraId="3D305219" w14:textId="77777777" w:rsidR="001A5B41" w:rsidRPr="00041744" w:rsidRDefault="001A5B41" w:rsidP="001A5B41">
      <w:pPr>
        <w:tabs>
          <w:tab w:val="left" w:pos="4320"/>
          <w:tab w:val="right" w:pos="8640"/>
        </w:tabs>
      </w:pPr>
      <w:r>
        <w:tab/>
      </w:r>
      <w:r w:rsidRPr="00041744">
        <w:t>Respectfully submitted,</w:t>
      </w:r>
    </w:p>
    <w:p w14:paraId="01CA5F7A" w14:textId="77777777" w:rsidR="001A5B41" w:rsidRPr="00041744" w:rsidRDefault="001A5B41" w:rsidP="001A5B41">
      <w:pPr>
        <w:tabs>
          <w:tab w:val="left" w:pos="4320"/>
          <w:tab w:val="right" w:pos="8640"/>
        </w:tabs>
      </w:pPr>
    </w:p>
    <w:p w14:paraId="4BBD8F5B" w14:textId="77777777" w:rsidR="001A5B41" w:rsidRPr="00041744" w:rsidRDefault="001A5B41" w:rsidP="001A5B41">
      <w:pPr>
        <w:tabs>
          <w:tab w:val="left" w:pos="4320"/>
          <w:tab w:val="right" w:pos="8640"/>
        </w:tabs>
      </w:pPr>
    </w:p>
    <w:p w14:paraId="42316D34" w14:textId="77777777" w:rsidR="001A5B41" w:rsidRPr="00041744" w:rsidRDefault="001A5B41" w:rsidP="001A5B41">
      <w:pPr>
        <w:tabs>
          <w:tab w:val="left" w:pos="4320"/>
          <w:tab w:val="right" w:pos="8640"/>
        </w:tabs>
        <w:rPr>
          <w:i/>
          <w:u w:val="single"/>
        </w:rPr>
      </w:pPr>
      <w:r w:rsidRPr="00041744">
        <w:rPr>
          <w:i/>
        </w:rPr>
        <w:tab/>
      </w:r>
      <w:r w:rsidRPr="00041744">
        <w:rPr>
          <w:i/>
          <w:u w:val="single"/>
        </w:rPr>
        <w:t>/s/ Frank P. Darr</w:t>
      </w:r>
      <w:r w:rsidRPr="00041744">
        <w:rPr>
          <w:i/>
          <w:u w:val="single"/>
        </w:rPr>
        <w:tab/>
      </w:r>
    </w:p>
    <w:p w14:paraId="7D3737E2" w14:textId="77777777" w:rsidR="001A5B41" w:rsidRPr="00041744" w:rsidRDefault="001A5B41" w:rsidP="001A5B41">
      <w:pPr>
        <w:widowControl w:val="0"/>
        <w:tabs>
          <w:tab w:val="left" w:pos="4320"/>
        </w:tabs>
        <w:ind w:left="4320"/>
        <w:rPr>
          <w:rFonts w:eastAsia="Calibri"/>
        </w:rPr>
      </w:pPr>
      <w:r w:rsidRPr="00041744">
        <w:rPr>
          <w:rFonts w:eastAsia="Calibri"/>
          <w:bCs/>
        </w:rPr>
        <w:t>Frank P. Darr (Reg. No. 0025469)</w:t>
      </w:r>
      <w:r w:rsidRPr="00041744">
        <w:rPr>
          <w:rFonts w:eastAsia="Calibri"/>
        </w:rPr>
        <w:t xml:space="preserve"> </w:t>
      </w:r>
    </w:p>
    <w:p w14:paraId="4A67CAB1" w14:textId="77777777" w:rsidR="001A5B41" w:rsidRPr="00041744" w:rsidRDefault="001A5B41" w:rsidP="001A5B41">
      <w:pPr>
        <w:widowControl w:val="0"/>
        <w:tabs>
          <w:tab w:val="left" w:pos="4320"/>
        </w:tabs>
        <w:ind w:left="4320"/>
        <w:rPr>
          <w:rFonts w:eastAsia="Calibri"/>
          <w:bCs/>
        </w:rPr>
      </w:pPr>
      <w:r w:rsidRPr="00041744">
        <w:rPr>
          <w:rFonts w:eastAsia="Calibri"/>
        </w:rPr>
        <w:t>(Counsel of Record)</w:t>
      </w:r>
    </w:p>
    <w:p w14:paraId="0AD7D03B" w14:textId="77777777" w:rsidR="001A5B41" w:rsidRPr="00041744" w:rsidRDefault="001A5B41" w:rsidP="001A5B41">
      <w:pPr>
        <w:widowControl w:val="0"/>
        <w:tabs>
          <w:tab w:val="left" w:pos="4320"/>
        </w:tabs>
        <w:ind w:left="4320"/>
        <w:rPr>
          <w:rFonts w:eastAsia="Calibri"/>
          <w:b/>
          <w:bCs/>
        </w:rPr>
      </w:pPr>
      <w:r w:rsidRPr="00041744">
        <w:rPr>
          <w:rFonts w:eastAsia="Calibri"/>
          <w:bCs/>
        </w:rPr>
        <w:t>Matthew R. Pritchard (Reg. No. 0088070)</w:t>
      </w:r>
    </w:p>
    <w:p w14:paraId="145C1871" w14:textId="77777777" w:rsidR="001A5B41" w:rsidRPr="00041744" w:rsidRDefault="001A5B41" w:rsidP="001A5B41">
      <w:pPr>
        <w:widowControl w:val="0"/>
        <w:tabs>
          <w:tab w:val="left" w:pos="4320"/>
        </w:tabs>
        <w:ind w:left="4320"/>
        <w:rPr>
          <w:rFonts w:eastAsia="Calibri"/>
          <w:b/>
          <w:bCs/>
          <w:smallCaps/>
        </w:rPr>
      </w:pPr>
      <w:r w:rsidRPr="00041744">
        <w:rPr>
          <w:rFonts w:eastAsia="Calibri"/>
          <w:bCs/>
          <w:smallCaps/>
        </w:rPr>
        <w:t>McNees Wallace &amp; Nurick LLC</w:t>
      </w:r>
    </w:p>
    <w:p w14:paraId="2C225296" w14:textId="77777777" w:rsidR="001A5B41" w:rsidRPr="00041744" w:rsidRDefault="001A5B41" w:rsidP="001A5B41">
      <w:pPr>
        <w:widowControl w:val="0"/>
        <w:tabs>
          <w:tab w:val="left" w:pos="4320"/>
        </w:tabs>
        <w:ind w:left="4320"/>
        <w:rPr>
          <w:rFonts w:eastAsia="Calibri"/>
          <w:b/>
          <w:bCs/>
        </w:rPr>
      </w:pPr>
      <w:r w:rsidRPr="00041744">
        <w:rPr>
          <w:rFonts w:eastAsia="Calibri"/>
          <w:bCs/>
        </w:rPr>
        <w:t>21 East State Street, 17</w:t>
      </w:r>
      <w:r w:rsidRPr="00041744">
        <w:rPr>
          <w:rFonts w:eastAsia="Calibri"/>
          <w:bCs/>
          <w:vertAlign w:val="superscript"/>
        </w:rPr>
        <w:t>TH</w:t>
      </w:r>
      <w:r w:rsidRPr="00041744">
        <w:rPr>
          <w:rFonts w:eastAsia="Calibri"/>
          <w:bCs/>
        </w:rPr>
        <w:t xml:space="preserve"> Floor</w:t>
      </w:r>
    </w:p>
    <w:p w14:paraId="3BC70C6D"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Columbus, OH  43215</w:t>
      </w:r>
    </w:p>
    <w:p w14:paraId="5E347375"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Telephone:  (614) 469-8000</w:t>
      </w:r>
    </w:p>
    <w:p w14:paraId="1D3E42BF" w14:textId="77777777" w:rsidR="001A5B41" w:rsidRPr="00041744" w:rsidRDefault="001A5B41" w:rsidP="001A5B41">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Telecopier:  (614) 469-4653</w:t>
      </w:r>
    </w:p>
    <w:p w14:paraId="78935ACC"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rPr>
        <w:t>fdarr@mwncmh.com</w:t>
      </w:r>
    </w:p>
    <w:p w14:paraId="480F33E7"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0A46FF0F"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sidRPr="00041744">
        <w:rPr>
          <w:rFonts w:eastAsia="Calibri"/>
          <w:color w:val="000000"/>
        </w:rPr>
        <w:t>mpritchard@mwncmh.com</w:t>
      </w:r>
    </w:p>
    <w:p w14:paraId="60B3A9A1"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677F74C1" w14:textId="77777777" w:rsidR="001A5B41" w:rsidRPr="00041744" w:rsidRDefault="001A5B41" w:rsidP="001A5B41">
      <w:pPr>
        <w:tabs>
          <w:tab w:val="left" w:pos="-1440"/>
          <w:tab w:val="left" w:pos="-720"/>
          <w:tab w:val="left" w:pos="5040"/>
          <w:tab w:val="center" w:pos="7200"/>
        </w:tabs>
        <w:overflowPunct w:val="0"/>
        <w:autoSpaceDE w:val="0"/>
        <w:autoSpaceDN w:val="0"/>
        <w:adjustRightInd w:val="0"/>
        <w:ind w:left="4320"/>
        <w:rPr>
          <w:rFonts w:eastAsia="Calibri"/>
          <w:b/>
          <w:smallCaps/>
        </w:rPr>
      </w:pPr>
    </w:p>
    <w:p w14:paraId="1FAF0634" w14:textId="77777777" w:rsidR="001A5B41" w:rsidRDefault="001A5B41" w:rsidP="001A5B41">
      <w:pPr>
        <w:ind w:left="4320" w:hanging="4320"/>
        <w:rPr>
          <w:rFonts w:eastAsia="Calibri"/>
          <w:b/>
        </w:rPr>
      </w:pPr>
      <w:r w:rsidRPr="00041744">
        <w:rPr>
          <w:rFonts w:eastAsia="Calibri"/>
          <w:b/>
        </w:rPr>
        <w:tab/>
        <w:t>Attorneys for Industrial Energy Users-Ohio</w:t>
      </w:r>
    </w:p>
    <w:p w14:paraId="188DB68F" w14:textId="77777777" w:rsidR="00D23E02" w:rsidRDefault="00D23E02" w:rsidP="001A5B41">
      <w:pPr>
        <w:ind w:left="4320" w:hanging="4320"/>
        <w:rPr>
          <w:rFonts w:eastAsia="Calibri"/>
          <w:b/>
        </w:rPr>
      </w:pPr>
    </w:p>
    <w:p w14:paraId="0FA1523C" w14:textId="77777777" w:rsidR="00D23E02" w:rsidRDefault="00D23E02" w:rsidP="001A5B41">
      <w:pPr>
        <w:ind w:left="4320" w:hanging="4320"/>
        <w:sectPr w:rsidR="00D23E02" w:rsidSect="001C69A3">
          <w:headerReference w:type="default" r:id="rId18"/>
          <w:footerReference w:type="default" r:id="rId19"/>
          <w:headerReference w:type="first" r:id="rId20"/>
          <w:footerReference w:type="first" r:id="rId21"/>
          <w:pgSz w:w="12240" w:h="15840" w:code="1"/>
          <w:pgMar w:top="1440" w:right="1440" w:bottom="1440" w:left="1440" w:header="720" w:footer="720" w:gutter="0"/>
          <w:pgNumType w:start="3"/>
          <w:cols w:space="720"/>
          <w:titlePg/>
          <w:docGrid w:linePitch="360"/>
        </w:sectPr>
      </w:pPr>
    </w:p>
    <w:p w14:paraId="3ADC89CF" w14:textId="77777777" w:rsidR="00D23E02" w:rsidRPr="00D23E02" w:rsidRDefault="00D23E02" w:rsidP="00D23E02">
      <w:pPr>
        <w:tabs>
          <w:tab w:val="left" w:pos="2160"/>
          <w:tab w:val="left" w:pos="2280"/>
        </w:tabs>
        <w:jc w:val="center"/>
        <w:rPr>
          <w:rFonts w:ascii="Arial Bold" w:hAnsi="Arial Bold" w:cs="Arial"/>
          <w:b/>
          <w:smallCaps/>
          <w:sz w:val="28"/>
          <w:u w:val="single"/>
        </w:rPr>
      </w:pPr>
      <w:r w:rsidRPr="00D23E02">
        <w:rPr>
          <w:rFonts w:ascii="Arial Bold" w:hAnsi="Arial Bold" w:cs="Arial"/>
          <w:b/>
          <w:smallCaps/>
          <w:sz w:val="28"/>
          <w:u w:val="single"/>
        </w:rPr>
        <w:lastRenderedPageBreak/>
        <w:t>Certificate of Service</w:t>
      </w:r>
    </w:p>
    <w:p w14:paraId="399FA503" w14:textId="77777777" w:rsidR="00D23E02" w:rsidRPr="00D23E02" w:rsidRDefault="00D23E02" w:rsidP="00D23E02">
      <w:pPr>
        <w:rPr>
          <w:rFonts w:cs="Arial"/>
        </w:rPr>
      </w:pPr>
    </w:p>
    <w:p w14:paraId="3C8A43A0" w14:textId="20B06B61" w:rsidR="00D23E02" w:rsidRPr="00D23E02" w:rsidRDefault="00D23E02" w:rsidP="00D23E02">
      <w:pPr>
        <w:spacing w:line="480" w:lineRule="auto"/>
        <w:ind w:firstLine="720"/>
        <w:jc w:val="both"/>
        <w:rPr>
          <w:rFonts w:eastAsia="Times New Roman" w:cs="Arial"/>
        </w:rPr>
      </w:pPr>
      <w:r w:rsidRPr="00D23E02">
        <w:rPr>
          <w:rFonts w:eastAsia="Times New Roman" w:cs="Arial"/>
        </w:rPr>
        <w:t>In accordance with Rule 4901-1-05, Ohio Administrative Code, the PUCO's e</w:t>
      </w:r>
      <w:r w:rsidRPr="00D23E02">
        <w:rPr>
          <w:rFonts w:eastAsia="Times New Roman" w:cs="Arial"/>
        </w:rPr>
        <w:noBreakHyphen/>
        <w:t xml:space="preserve">filing system will electronically serve notice of the filing of this document upon the following parties.  In addition, I hereby certify that a service copy of the foregoing </w:t>
      </w:r>
      <w:r w:rsidR="00F92561" w:rsidRPr="00D855C5">
        <w:rPr>
          <w:i/>
        </w:rPr>
        <w:t xml:space="preserve">Motion of Industrial Energy Users-Ohio for an Order Permitting It to File a </w:t>
      </w:r>
      <w:r w:rsidR="00851700">
        <w:rPr>
          <w:i/>
        </w:rPr>
        <w:t>Surreply Opposing</w:t>
      </w:r>
      <w:r w:rsidR="00F92561" w:rsidRPr="00D855C5">
        <w:rPr>
          <w:i/>
        </w:rPr>
        <w:t xml:space="preserve"> the Motion of The Dayton Power and Light Company to Implement the SSR Extension</w:t>
      </w:r>
      <w:r w:rsidR="00A03894">
        <w:rPr>
          <w:i/>
        </w:rPr>
        <w:t xml:space="preserve">, </w:t>
      </w:r>
      <w:r w:rsidR="00F92561" w:rsidRPr="00D855C5">
        <w:rPr>
          <w:i/>
        </w:rPr>
        <w:t>Memorandum in Support</w:t>
      </w:r>
      <w:r w:rsidR="00A03894">
        <w:rPr>
          <w:i/>
        </w:rPr>
        <w:t xml:space="preserve">, </w:t>
      </w:r>
      <w:r w:rsidR="00A03894" w:rsidRPr="00F61894">
        <w:t>and</w:t>
      </w:r>
      <w:r w:rsidR="00A03894">
        <w:rPr>
          <w:i/>
        </w:rPr>
        <w:t xml:space="preserve"> </w:t>
      </w:r>
      <w:r w:rsidR="00851700">
        <w:rPr>
          <w:i/>
        </w:rPr>
        <w:t>Surreply</w:t>
      </w:r>
      <w:r w:rsidR="00A03894" w:rsidRPr="00175181">
        <w:rPr>
          <w:i/>
        </w:rPr>
        <w:t xml:space="preserve"> of Industrial Energy Users-Ohio </w:t>
      </w:r>
      <w:r w:rsidR="00851700">
        <w:rPr>
          <w:i/>
        </w:rPr>
        <w:t>Opposing</w:t>
      </w:r>
      <w:r w:rsidR="00A03894" w:rsidRPr="00175181">
        <w:rPr>
          <w:i/>
        </w:rPr>
        <w:t xml:space="preserve"> the Motion of The Dayton Power and Light Company to Implement the SSR Extension</w:t>
      </w:r>
      <w:r w:rsidR="00A03894">
        <w:rPr>
          <w:i/>
        </w:rPr>
        <w:t xml:space="preserve"> </w:t>
      </w:r>
      <w:r w:rsidRPr="00D23E02">
        <w:rPr>
          <w:rFonts w:eastAsia="Times New Roman" w:cs="Arial"/>
        </w:rPr>
        <w:t xml:space="preserve">was sent by, or on behalf of, the undersigned counsel for IEU-Ohio to the following parties of record this </w:t>
      </w:r>
      <w:r w:rsidR="00DA3AC2">
        <w:rPr>
          <w:rFonts w:eastAsia="Times New Roman" w:cs="Arial"/>
        </w:rPr>
        <w:t>28</w:t>
      </w:r>
      <w:r w:rsidR="00DA3AC2" w:rsidRPr="00DA3AC2">
        <w:rPr>
          <w:rFonts w:eastAsia="Times New Roman" w:cs="Arial"/>
          <w:vertAlign w:val="superscript"/>
        </w:rPr>
        <w:t>th</w:t>
      </w:r>
      <w:r w:rsidR="00DA3AC2">
        <w:rPr>
          <w:rFonts w:eastAsia="Times New Roman" w:cs="Arial"/>
        </w:rPr>
        <w:t xml:space="preserve"> </w:t>
      </w:r>
      <w:r w:rsidRPr="00D23E02">
        <w:rPr>
          <w:rFonts w:eastAsia="Times New Roman" w:cs="Arial"/>
        </w:rPr>
        <w:t xml:space="preserve">day of </w:t>
      </w:r>
      <w:r w:rsidR="00D855C5">
        <w:rPr>
          <w:rFonts w:eastAsia="Times New Roman" w:cs="Arial"/>
        </w:rPr>
        <w:t xml:space="preserve">June </w:t>
      </w:r>
      <w:r w:rsidRPr="00D23E02">
        <w:rPr>
          <w:rFonts w:eastAsia="Times New Roman" w:cs="Arial"/>
        </w:rPr>
        <w:t xml:space="preserve">2016, </w:t>
      </w:r>
      <w:r w:rsidRPr="00D23E02">
        <w:rPr>
          <w:rFonts w:eastAsia="Times New Roman" w:cs="Arial"/>
          <w:i/>
        </w:rPr>
        <w:t>via</w:t>
      </w:r>
      <w:r w:rsidRPr="00D23E02">
        <w:rPr>
          <w:rFonts w:eastAsia="Times New Roman" w:cs="Arial"/>
        </w:rPr>
        <w:t xml:space="preserve"> electronic transmission. </w:t>
      </w:r>
    </w:p>
    <w:p w14:paraId="1F511B4E" w14:textId="77777777" w:rsidR="00D23E02" w:rsidRPr="00D23E02" w:rsidRDefault="00D23E02" w:rsidP="00D23E02">
      <w:pPr>
        <w:tabs>
          <w:tab w:val="center" w:pos="7200"/>
          <w:tab w:val="right" w:pos="9360"/>
        </w:tabs>
        <w:ind w:left="5040"/>
        <w:rPr>
          <w:rFonts w:cs="Arial"/>
          <w:i/>
          <w:u w:val="single"/>
        </w:rPr>
      </w:pPr>
      <w:r w:rsidRPr="00D23E02">
        <w:rPr>
          <w:rFonts w:cs="Arial"/>
          <w:i/>
          <w:u w:val="single"/>
        </w:rPr>
        <w:t xml:space="preserve">/s/ </w:t>
      </w:r>
      <w:r w:rsidR="00994868">
        <w:rPr>
          <w:rFonts w:cs="Arial"/>
          <w:i/>
          <w:u w:val="single"/>
        </w:rPr>
        <w:t>Frank P. Darr</w:t>
      </w:r>
      <w:r w:rsidR="00994868">
        <w:rPr>
          <w:rFonts w:cs="Arial"/>
          <w:i/>
          <w:u w:val="single"/>
        </w:rPr>
        <w:tab/>
      </w:r>
      <w:r w:rsidRPr="00D23E02">
        <w:rPr>
          <w:rFonts w:cs="Arial"/>
          <w:i/>
          <w:u w:val="single"/>
        </w:rPr>
        <w:tab/>
      </w:r>
    </w:p>
    <w:p w14:paraId="0AD209E5" w14:textId="77777777" w:rsidR="00EB1CE4" w:rsidRDefault="00994868" w:rsidP="00D23E02">
      <w:pPr>
        <w:tabs>
          <w:tab w:val="center" w:pos="7200"/>
          <w:tab w:val="right" w:pos="9360"/>
        </w:tabs>
        <w:ind w:left="5760"/>
        <w:rPr>
          <w:rFonts w:cs="Arial"/>
        </w:rPr>
        <w:sectPr w:rsidR="00EB1CE4" w:rsidSect="00B031BA">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r>
        <w:rPr>
          <w:rFonts w:cs="Arial"/>
        </w:rPr>
        <w:t>Frank P. Darr</w:t>
      </w:r>
    </w:p>
    <w:p w14:paraId="0591526F" w14:textId="32A1F8C9" w:rsidR="00994868" w:rsidRDefault="00994868" w:rsidP="00D23E02">
      <w:pPr>
        <w:tabs>
          <w:tab w:val="center" w:pos="7200"/>
          <w:tab w:val="right" w:pos="9360"/>
        </w:tabs>
        <w:ind w:left="5760"/>
        <w:rPr>
          <w:rFonts w:cs="Arial"/>
        </w:rPr>
      </w:pPr>
    </w:p>
    <w:p w14:paraId="4D30FDC7"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Charles J. Faruki (Reg. No. 0010417)</w:t>
      </w:r>
    </w:p>
    <w:p w14:paraId="6B849042"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(Counsel of Record)</w:t>
      </w:r>
    </w:p>
    <w:p w14:paraId="579F336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 Jeffrey Ireland (Reg. No. 0010443)</w:t>
      </w:r>
    </w:p>
    <w:p w14:paraId="1184DBC1"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Jeffrey S. Sharkey (Reg. No. 0067892)</w:t>
      </w:r>
    </w:p>
    <w:p w14:paraId="30EF37F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FARUKI IRELAND &amp; COX P.L.L.</w:t>
      </w:r>
    </w:p>
    <w:p w14:paraId="6442785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110 North Main Street, Suite 1600</w:t>
      </w:r>
    </w:p>
    <w:p w14:paraId="651050C3"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Dayton, OH 45402</w:t>
      </w:r>
    </w:p>
    <w:p w14:paraId="3DF745E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cfaruki@ficlaw.com</w:t>
      </w:r>
    </w:p>
    <w:p w14:paraId="52414219" w14:textId="77777777" w:rsidR="003B20C1" w:rsidRDefault="003B20C1" w:rsidP="003B20C1">
      <w:pPr>
        <w:autoSpaceDE w:val="0"/>
        <w:autoSpaceDN w:val="0"/>
        <w:adjustRightInd w:val="0"/>
        <w:rPr>
          <w:rFonts w:cs="Arial"/>
          <w:color w:val="000000" w:themeColor="text1"/>
          <w:sz w:val="20"/>
          <w:szCs w:val="20"/>
        </w:rPr>
      </w:pPr>
      <w:r w:rsidRPr="008E2B37">
        <w:rPr>
          <w:rFonts w:cs="Arial"/>
          <w:color w:val="000000" w:themeColor="text1"/>
          <w:sz w:val="20"/>
          <w:szCs w:val="20"/>
        </w:rPr>
        <w:t>djireland@ficlaw.com</w:t>
      </w:r>
    </w:p>
    <w:p w14:paraId="2C91A61B" w14:textId="77777777" w:rsidR="003B20C1" w:rsidRDefault="003B20C1" w:rsidP="003B20C1">
      <w:pPr>
        <w:autoSpaceDE w:val="0"/>
        <w:autoSpaceDN w:val="0"/>
        <w:adjustRightInd w:val="0"/>
        <w:rPr>
          <w:rFonts w:cs="Arial"/>
          <w:color w:val="000000" w:themeColor="text1"/>
          <w:sz w:val="20"/>
          <w:szCs w:val="20"/>
        </w:rPr>
      </w:pPr>
      <w:r w:rsidRPr="008E2B37">
        <w:rPr>
          <w:rFonts w:cs="Arial"/>
          <w:color w:val="000000" w:themeColor="text1"/>
          <w:sz w:val="20"/>
          <w:szCs w:val="20"/>
        </w:rPr>
        <w:t>jsharkey@ficlaw.com</w:t>
      </w:r>
    </w:p>
    <w:p w14:paraId="6A9E184C" w14:textId="77777777" w:rsidR="003B20C1" w:rsidRPr="005031FA" w:rsidRDefault="003B20C1" w:rsidP="003B20C1">
      <w:pPr>
        <w:autoSpaceDE w:val="0"/>
        <w:autoSpaceDN w:val="0"/>
        <w:adjustRightInd w:val="0"/>
        <w:rPr>
          <w:rFonts w:cs="Arial"/>
          <w:color w:val="000000" w:themeColor="text1"/>
          <w:sz w:val="20"/>
          <w:szCs w:val="20"/>
        </w:rPr>
      </w:pPr>
    </w:p>
    <w:p w14:paraId="4E17082E" w14:textId="77777777" w:rsidR="003B20C1" w:rsidRPr="005031FA" w:rsidRDefault="003B20C1" w:rsidP="003B20C1">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w:t>
      </w:r>
      <w:r w:rsidRPr="005031FA">
        <w:rPr>
          <w:rFonts w:cs="Arial"/>
          <w:b/>
          <w:smallCaps/>
          <w:color w:val="000000" w:themeColor="text1"/>
          <w:sz w:val="20"/>
          <w:szCs w:val="20"/>
        </w:rPr>
        <w:t xml:space="preserve"> for The Dayton Power and</w:t>
      </w:r>
    </w:p>
    <w:p w14:paraId="64A1AE1E" w14:textId="77777777" w:rsidR="003B20C1" w:rsidRPr="005031FA" w:rsidRDefault="003B20C1" w:rsidP="003B20C1">
      <w:pPr>
        <w:rPr>
          <w:rFonts w:cs="Arial"/>
          <w:b/>
          <w:smallCaps/>
          <w:color w:val="000000" w:themeColor="text1"/>
          <w:sz w:val="20"/>
          <w:szCs w:val="20"/>
        </w:rPr>
      </w:pPr>
      <w:r w:rsidRPr="005031FA">
        <w:rPr>
          <w:rFonts w:cs="Arial"/>
          <w:b/>
          <w:smallCaps/>
          <w:color w:val="000000" w:themeColor="text1"/>
          <w:sz w:val="20"/>
          <w:szCs w:val="20"/>
        </w:rPr>
        <w:t>Light Company</w:t>
      </w:r>
    </w:p>
    <w:p w14:paraId="29A193D6" w14:textId="77777777" w:rsidR="003B20C1" w:rsidRPr="005031FA" w:rsidRDefault="003B20C1" w:rsidP="003B20C1">
      <w:pPr>
        <w:rPr>
          <w:rFonts w:cs="Arial"/>
          <w:color w:val="000000" w:themeColor="text1"/>
          <w:sz w:val="20"/>
          <w:szCs w:val="20"/>
        </w:rPr>
      </w:pPr>
    </w:p>
    <w:p w14:paraId="36B1318A" w14:textId="77777777" w:rsidR="003B20C1"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Madeline Fleisher</w:t>
      </w:r>
    </w:p>
    <w:p w14:paraId="46C648D5"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Kristin Field</w:t>
      </w:r>
    </w:p>
    <w:p w14:paraId="3FE4FB1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Environmental Law &amp; Policy Center</w:t>
      </w:r>
    </w:p>
    <w:p w14:paraId="4E811717"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21 West Broad St., Suite 500</w:t>
      </w:r>
    </w:p>
    <w:p w14:paraId="495FAB9D"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Columbus, OH 43215</w:t>
      </w:r>
    </w:p>
    <w:p w14:paraId="7647933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mfleisher@elpc.org</w:t>
      </w:r>
    </w:p>
    <w:p w14:paraId="32E724AF" w14:textId="77777777" w:rsidR="003B20C1" w:rsidRPr="005031FA" w:rsidRDefault="003B20C1" w:rsidP="003B20C1">
      <w:pPr>
        <w:autoSpaceDE w:val="0"/>
        <w:autoSpaceDN w:val="0"/>
        <w:adjustRightInd w:val="0"/>
        <w:rPr>
          <w:rFonts w:cs="Arial"/>
          <w:iCs/>
          <w:color w:val="000000" w:themeColor="text1"/>
          <w:sz w:val="20"/>
          <w:szCs w:val="20"/>
        </w:rPr>
      </w:pPr>
    </w:p>
    <w:p w14:paraId="68770B8A" w14:textId="77777777" w:rsidR="003B20C1" w:rsidRPr="005031FA" w:rsidRDefault="003B20C1" w:rsidP="003B20C1">
      <w:pPr>
        <w:autoSpaceDE w:val="0"/>
        <w:autoSpaceDN w:val="0"/>
        <w:adjustRightInd w:val="0"/>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Counsel for the Environmental Law &amp;</w:t>
      </w:r>
    </w:p>
    <w:p w14:paraId="3A028F4A" w14:textId="77777777" w:rsidR="003B20C1" w:rsidRPr="005031FA" w:rsidRDefault="003B20C1" w:rsidP="003B20C1">
      <w:pPr>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Policy Center</w:t>
      </w:r>
    </w:p>
    <w:p w14:paraId="0F3FE1C7" w14:textId="77777777" w:rsidR="003B20C1" w:rsidRPr="005031FA" w:rsidRDefault="003B20C1" w:rsidP="003B20C1">
      <w:pPr>
        <w:rPr>
          <w:rFonts w:cs="Arial"/>
          <w:color w:val="000000" w:themeColor="text1"/>
          <w:sz w:val="20"/>
          <w:szCs w:val="20"/>
        </w:rPr>
      </w:pPr>
    </w:p>
    <w:p w14:paraId="20C5453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Jeffrey W. Mayes</w:t>
      </w:r>
    </w:p>
    <w:p w14:paraId="4AFE2CF8"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General Counsel</w:t>
      </w:r>
    </w:p>
    <w:p w14:paraId="141010F2"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Monitoring Analytics, LLC</w:t>
      </w:r>
    </w:p>
    <w:p w14:paraId="4766C82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2621 Van Buren Avenue, Suite 160</w:t>
      </w:r>
    </w:p>
    <w:p w14:paraId="519AA796" w14:textId="77777777" w:rsidR="000830F2" w:rsidRDefault="000830F2" w:rsidP="003B20C1">
      <w:pPr>
        <w:autoSpaceDE w:val="0"/>
        <w:autoSpaceDN w:val="0"/>
        <w:adjustRightInd w:val="0"/>
        <w:rPr>
          <w:rFonts w:cs="Arial"/>
          <w:color w:val="000000" w:themeColor="text1"/>
          <w:sz w:val="20"/>
          <w:szCs w:val="20"/>
        </w:rPr>
      </w:pPr>
    </w:p>
    <w:p w14:paraId="4D18D7B5"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Valley Forge Corporate Center</w:t>
      </w:r>
    </w:p>
    <w:p w14:paraId="4D18114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 xml:space="preserve">Eagleville, </w:t>
      </w:r>
      <w:r>
        <w:rPr>
          <w:rFonts w:cs="Arial"/>
          <w:color w:val="000000" w:themeColor="text1"/>
          <w:sz w:val="20"/>
          <w:szCs w:val="20"/>
        </w:rPr>
        <w:t xml:space="preserve">PA  </w:t>
      </w:r>
      <w:r w:rsidRPr="005031FA">
        <w:rPr>
          <w:rFonts w:cs="Arial"/>
          <w:color w:val="000000" w:themeColor="text1"/>
          <w:sz w:val="20"/>
          <w:szCs w:val="20"/>
        </w:rPr>
        <w:t>19403</w:t>
      </w:r>
    </w:p>
    <w:p w14:paraId="2F5C6295" w14:textId="77777777" w:rsidR="003B20C1" w:rsidRPr="005031FA" w:rsidRDefault="00137313" w:rsidP="003B20C1">
      <w:pPr>
        <w:rPr>
          <w:rFonts w:cs="Arial"/>
          <w:iCs/>
          <w:color w:val="000000" w:themeColor="text1"/>
          <w:sz w:val="20"/>
          <w:szCs w:val="20"/>
        </w:rPr>
      </w:pPr>
      <w:hyperlink r:id="rId26" w:history="1">
        <w:r w:rsidR="003B20C1" w:rsidRPr="005031FA">
          <w:rPr>
            <w:rStyle w:val="Hyperlink"/>
            <w:rFonts w:cs="Arial"/>
            <w:iCs/>
            <w:color w:val="000000" w:themeColor="text1"/>
            <w:sz w:val="20"/>
            <w:szCs w:val="20"/>
          </w:rPr>
          <w:t>jeffrey.mayes@monitoringanalytics.com</w:t>
        </w:r>
      </w:hyperlink>
    </w:p>
    <w:p w14:paraId="063EBD08" w14:textId="77777777" w:rsidR="003B20C1" w:rsidRPr="005031FA" w:rsidRDefault="003B20C1" w:rsidP="003B20C1">
      <w:pPr>
        <w:rPr>
          <w:rFonts w:cs="Arial"/>
          <w:iCs/>
          <w:color w:val="000000" w:themeColor="text1"/>
          <w:sz w:val="20"/>
          <w:szCs w:val="20"/>
        </w:rPr>
      </w:pPr>
    </w:p>
    <w:p w14:paraId="2FE699A6" w14:textId="6EA08A2B"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Evelyn R. Robinson (#0022836)</w:t>
      </w:r>
    </w:p>
    <w:p w14:paraId="3CA1428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PJM Interconnection, L.L.C.</w:t>
      </w:r>
    </w:p>
    <w:p w14:paraId="118325D8"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2750 Monroe Boulevard</w:t>
      </w:r>
    </w:p>
    <w:p w14:paraId="6F4F844A"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Audubon, PA 19403</w:t>
      </w:r>
    </w:p>
    <w:p w14:paraId="58930D42" w14:textId="77777777" w:rsidR="003B20C1" w:rsidRPr="005031FA" w:rsidRDefault="00137313" w:rsidP="003B20C1">
      <w:pPr>
        <w:rPr>
          <w:rFonts w:cs="Arial"/>
          <w:iCs/>
          <w:color w:val="000000" w:themeColor="text1"/>
          <w:sz w:val="20"/>
          <w:szCs w:val="20"/>
        </w:rPr>
      </w:pPr>
      <w:hyperlink r:id="rId27" w:history="1">
        <w:r w:rsidR="003B20C1" w:rsidRPr="005031FA">
          <w:rPr>
            <w:rStyle w:val="Hyperlink"/>
            <w:rFonts w:cs="Arial"/>
            <w:iCs/>
            <w:color w:val="000000" w:themeColor="text1"/>
            <w:sz w:val="20"/>
            <w:szCs w:val="20"/>
          </w:rPr>
          <w:t>evelyn.robinson@pjm.com</w:t>
        </w:r>
      </w:hyperlink>
    </w:p>
    <w:p w14:paraId="1C7078EB" w14:textId="77777777" w:rsidR="003B20C1" w:rsidRDefault="003B20C1" w:rsidP="003B20C1">
      <w:pPr>
        <w:rPr>
          <w:rFonts w:cs="Arial"/>
          <w:iCs/>
          <w:color w:val="000000" w:themeColor="text1"/>
          <w:sz w:val="20"/>
          <w:szCs w:val="20"/>
        </w:rPr>
      </w:pPr>
    </w:p>
    <w:p w14:paraId="21DB7DFB" w14:textId="77777777" w:rsidR="003B20C1" w:rsidRPr="005031FA" w:rsidRDefault="003B20C1" w:rsidP="003B20C1">
      <w:pPr>
        <w:autoSpaceDE w:val="0"/>
        <w:autoSpaceDN w:val="0"/>
        <w:adjustRightInd w:val="0"/>
        <w:rPr>
          <w:rFonts w:ascii="Arial Bold" w:hAnsi="Arial Bold" w:cs="Arial"/>
          <w:b/>
          <w:iCs/>
          <w:smallCaps/>
          <w:color w:val="000000" w:themeColor="text1"/>
          <w:sz w:val="20"/>
          <w:szCs w:val="20"/>
        </w:rPr>
      </w:pPr>
      <w:r w:rsidRPr="005031FA">
        <w:rPr>
          <w:rFonts w:ascii="Arial Bold" w:hAnsi="Arial Bold" w:cs="Arial"/>
          <w:b/>
          <w:iCs/>
          <w:smallCaps/>
          <w:color w:val="000000" w:themeColor="text1"/>
          <w:sz w:val="20"/>
          <w:szCs w:val="20"/>
        </w:rPr>
        <w:t xml:space="preserve">Counsel for </w:t>
      </w:r>
      <w:r>
        <w:rPr>
          <w:rFonts w:ascii="Arial Bold" w:hAnsi="Arial Bold" w:cs="Arial"/>
          <w:b/>
          <w:iCs/>
          <w:smallCaps/>
          <w:color w:val="000000" w:themeColor="text1"/>
          <w:sz w:val="20"/>
          <w:szCs w:val="20"/>
        </w:rPr>
        <w:t>Monitoring Analytics, LLC</w:t>
      </w:r>
    </w:p>
    <w:p w14:paraId="7C7CB8E8" w14:textId="77777777" w:rsidR="003B20C1" w:rsidRPr="005031FA" w:rsidRDefault="003B20C1" w:rsidP="003B20C1">
      <w:pPr>
        <w:rPr>
          <w:rFonts w:cs="Arial"/>
          <w:iCs/>
          <w:color w:val="000000" w:themeColor="text1"/>
          <w:sz w:val="20"/>
          <w:szCs w:val="20"/>
        </w:rPr>
      </w:pPr>
    </w:p>
    <w:p w14:paraId="57CE9B5C"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David F. Boeh</w:t>
      </w:r>
      <w:r w:rsidRPr="005031FA">
        <w:rPr>
          <w:rFonts w:cs="Arial"/>
          <w:color w:val="000000" w:themeColor="text1"/>
          <w:sz w:val="20"/>
          <w:szCs w:val="20"/>
        </w:rPr>
        <w:t>m, Esq.</w:t>
      </w:r>
    </w:p>
    <w:p w14:paraId="2C2AF4A9"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Michael L. Kurtz, Esq.</w:t>
      </w:r>
    </w:p>
    <w:p w14:paraId="06F8C1E1"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Kurt J. Boehm, Esq.</w:t>
      </w:r>
    </w:p>
    <w:p w14:paraId="103276FC"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Jody Kyler Cohn, Esq.</w:t>
      </w:r>
    </w:p>
    <w:p w14:paraId="7B0B5565"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Boehm</w:t>
      </w:r>
      <w:r w:rsidRPr="005031FA">
        <w:rPr>
          <w:rFonts w:cs="Arial"/>
          <w:color w:val="000000" w:themeColor="text1"/>
          <w:sz w:val="20"/>
          <w:szCs w:val="20"/>
        </w:rPr>
        <w:t>, Kurtz &amp; Lowry</w:t>
      </w:r>
    </w:p>
    <w:p w14:paraId="7CD7F834"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36 East Seventh Street, Suite 1510</w:t>
      </w:r>
    </w:p>
    <w:p w14:paraId="0459CE1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 xml:space="preserve">Cincinnati, </w:t>
      </w:r>
      <w:r>
        <w:rPr>
          <w:rFonts w:cs="Arial"/>
          <w:color w:val="000000" w:themeColor="text1"/>
          <w:sz w:val="20"/>
          <w:szCs w:val="20"/>
        </w:rPr>
        <w:t xml:space="preserve">OH  </w:t>
      </w:r>
      <w:r w:rsidRPr="005031FA">
        <w:rPr>
          <w:rFonts w:cs="Arial"/>
          <w:color w:val="000000" w:themeColor="text1"/>
          <w:sz w:val="20"/>
          <w:szCs w:val="20"/>
        </w:rPr>
        <w:t>45202</w:t>
      </w:r>
    </w:p>
    <w:p w14:paraId="044505AE"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dboehm@BKLlawfirm.com mkurtzt@BKLlawfirm.com</w:t>
      </w:r>
    </w:p>
    <w:p w14:paraId="66F7A133"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kboehm@BKLlawfirm.com</w:t>
      </w:r>
    </w:p>
    <w:p w14:paraId="44F01C2F" w14:textId="77777777" w:rsidR="003B20C1" w:rsidRPr="005031FA" w:rsidRDefault="003B20C1" w:rsidP="003B20C1">
      <w:pPr>
        <w:autoSpaceDE w:val="0"/>
        <w:autoSpaceDN w:val="0"/>
        <w:adjustRightInd w:val="0"/>
        <w:rPr>
          <w:rFonts w:cs="Arial"/>
          <w:color w:val="000000" w:themeColor="text1"/>
          <w:sz w:val="20"/>
          <w:szCs w:val="20"/>
        </w:rPr>
      </w:pPr>
      <w:r w:rsidRPr="005031FA">
        <w:rPr>
          <w:rFonts w:cs="Arial"/>
          <w:color w:val="000000" w:themeColor="text1"/>
          <w:sz w:val="20"/>
          <w:szCs w:val="20"/>
        </w:rPr>
        <w:t>jkylercohn@BKLlawfirm.com</w:t>
      </w:r>
    </w:p>
    <w:p w14:paraId="4A761E2D" w14:textId="77777777" w:rsidR="003B20C1" w:rsidRDefault="003B20C1" w:rsidP="003B20C1">
      <w:pPr>
        <w:rPr>
          <w:rFonts w:cs="Arial"/>
          <w:color w:val="000000" w:themeColor="text1"/>
          <w:sz w:val="20"/>
          <w:szCs w:val="20"/>
        </w:rPr>
      </w:pPr>
    </w:p>
    <w:p w14:paraId="30707BCA" w14:textId="77777777" w:rsidR="003B20C1" w:rsidRPr="00AF4360" w:rsidRDefault="003B20C1" w:rsidP="003B20C1">
      <w:pPr>
        <w:rPr>
          <w:rFonts w:ascii="Arial Bold" w:hAnsi="Arial Bold" w:cs="Arial"/>
          <w:b/>
          <w:smallCaps/>
          <w:color w:val="000000" w:themeColor="text1"/>
          <w:sz w:val="20"/>
          <w:szCs w:val="20"/>
        </w:rPr>
      </w:pPr>
      <w:r w:rsidRPr="00AF4360">
        <w:rPr>
          <w:rFonts w:ascii="Arial Bold" w:hAnsi="Arial Bold" w:cs="Arial"/>
          <w:b/>
          <w:smallCaps/>
          <w:color w:val="000000" w:themeColor="text1"/>
          <w:sz w:val="20"/>
          <w:szCs w:val="20"/>
        </w:rPr>
        <w:t>Counsel for Ohio Energy Group</w:t>
      </w:r>
    </w:p>
    <w:p w14:paraId="6649CD3F" w14:textId="77777777" w:rsidR="003B20C1" w:rsidRPr="005031FA" w:rsidRDefault="003B20C1" w:rsidP="003B20C1">
      <w:pPr>
        <w:rPr>
          <w:rFonts w:cs="Arial"/>
          <w:color w:val="000000" w:themeColor="text1"/>
          <w:sz w:val="20"/>
          <w:szCs w:val="20"/>
        </w:rPr>
      </w:pPr>
    </w:p>
    <w:p w14:paraId="3853D410" w14:textId="77777777" w:rsidR="003B20C1"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Kevin R. Schmidt (Reg. No. 0086722)</w:t>
      </w:r>
    </w:p>
    <w:p w14:paraId="02FB2C0E" w14:textId="77777777" w:rsidR="003B20C1" w:rsidRDefault="003B20C1" w:rsidP="003B20C1">
      <w:pPr>
        <w:autoSpaceDE w:val="0"/>
        <w:autoSpaceDN w:val="0"/>
        <w:adjustRightInd w:val="0"/>
        <w:rPr>
          <w:rFonts w:cs="Arial"/>
          <w:color w:val="000000" w:themeColor="text1"/>
          <w:sz w:val="20"/>
          <w:szCs w:val="20"/>
        </w:rPr>
      </w:pPr>
      <w:r w:rsidRPr="00C00E35">
        <w:rPr>
          <w:rFonts w:cs="Arial"/>
          <w:color w:val="000000" w:themeColor="text1"/>
          <w:sz w:val="20"/>
          <w:szCs w:val="20"/>
        </w:rPr>
        <w:t>Strategic Public Partners</w:t>
      </w:r>
    </w:p>
    <w:p w14:paraId="78D5B813" w14:textId="77777777" w:rsidR="003B20C1"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lastRenderedPageBreak/>
        <w:t>88 East Broad Street, Suite 1770</w:t>
      </w:r>
    </w:p>
    <w:p w14:paraId="3A03AA70"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Columbus, OH  43215</w:t>
      </w:r>
    </w:p>
    <w:p w14:paraId="39AE6D12" w14:textId="77777777" w:rsidR="003B20C1" w:rsidRPr="005031FA" w:rsidRDefault="003B20C1" w:rsidP="003B20C1">
      <w:pPr>
        <w:autoSpaceDE w:val="0"/>
        <w:autoSpaceDN w:val="0"/>
        <w:adjustRightInd w:val="0"/>
        <w:rPr>
          <w:rFonts w:cs="Arial"/>
          <w:color w:val="000000" w:themeColor="text1"/>
          <w:sz w:val="20"/>
          <w:szCs w:val="20"/>
        </w:rPr>
      </w:pPr>
      <w:r>
        <w:rPr>
          <w:rFonts w:cs="Arial"/>
          <w:color w:val="000000" w:themeColor="text1"/>
          <w:sz w:val="20"/>
          <w:szCs w:val="20"/>
        </w:rPr>
        <w:t>schmidt@sppgrp.com</w:t>
      </w:r>
    </w:p>
    <w:p w14:paraId="739B11F8" w14:textId="77777777" w:rsidR="003B20C1" w:rsidRDefault="003B20C1" w:rsidP="003B20C1">
      <w:pPr>
        <w:rPr>
          <w:rFonts w:cs="Arial"/>
          <w:color w:val="000000" w:themeColor="text1"/>
          <w:sz w:val="20"/>
          <w:szCs w:val="20"/>
        </w:rPr>
      </w:pPr>
    </w:p>
    <w:p w14:paraId="1F0D4D68" w14:textId="77777777" w:rsidR="003B20C1" w:rsidRPr="00AF4360" w:rsidRDefault="003B20C1" w:rsidP="003B20C1">
      <w:pPr>
        <w:rPr>
          <w:rFonts w:ascii="Arial Bold" w:hAnsi="Arial Bold" w:cs="Arial"/>
          <w:b/>
          <w:smallCaps/>
          <w:color w:val="000000" w:themeColor="text1"/>
          <w:sz w:val="20"/>
          <w:szCs w:val="20"/>
        </w:rPr>
      </w:pPr>
      <w:r w:rsidRPr="00AF4360">
        <w:rPr>
          <w:rFonts w:ascii="Arial Bold" w:hAnsi="Arial Bold" w:cs="Arial"/>
          <w:b/>
          <w:smallCaps/>
          <w:color w:val="000000" w:themeColor="text1"/>
          <w:sz w:val="20"/>
          <w:szCs w:val="20"/>
        </w:rPr>
        <w:t xml:space="preserve">Counsel for </w:t>
      </w:r>
      <w:r>
        <w:rPr>
          <w:rFonts w:ascii="Arial Bold" w:hAnsi="Arial Bold" w:cs="Arial"/>
          <w:b/>
          <w:smallCaps/>
          <w:color w:val="000000" w:themeColor="text1"/>
          <w:sz w:val="20"/>
          <w:szCs w:val="20"/>
        </w:rPr>
        <w:t>Energy Professionals of Ohio</w:t>
      </w:r>
    </w:p>
    <w:p w14:paraId="5C5F616D" w14:textId="77777777" w:rsidR="003B20C1" w:rsidRPr="005031FA" w:rsidRDefault="003B20C1" w:rsidP="003B20C1">
      <w:pPr>
        <w:rPr>
          <w:rFonts w:cs="Arial"/>
          <w:color w:val="000000" w:themeColor="text1"/>
          <w:sz w:val="20"/>
          <w:szCs w:val="20"/>
        </w:rPr>
      </w:pPr>
    </w:p>
    <w:p w14:paraId="522979D9" w14:textId="351C09AC" w:rsidR="003B20C1" w:rsidRDefault="003B20C1" w:rsidP="003B20C1">
      <w:pPr>
        <w:rPr>
          <w:rFonts w:cs="Arial"/>
          <w:color w:val="000000" w:themeColor="text1"/>
          <w:sz w:val="20"/>
          <w:szCs w:val="20"/>
        </w:rPr>
      </w:pPr>
      <w:r>
        <w:rPr>
          <w:rFonts w:cs="Arial"/>
          <w:color w:val="000000" w:themeColor="text1"/>
          <w:sz w:val="20"/>
          <w:szCs w:val="20"/>
        </w:rPr>
        <w:t>William J. Michael (Reg. No. 0070921</w:t>
      </w:r>
    </w:p>
    <w:p w14:paraId="1C345F36" w14:textId="77777777" w:rsidR="003B20C1" w:rsidRDefault="003B20C1" w:rsidP="003B20C1">
      <w:pPr>
        <w:rPr>
          <w:rFonts w:cs="Arial"/>
          <w:color w:val="000000" w:themeColor="text1"/>
          <w:sz w:val="20"/>
          <w:szCs w:val="20"/>
        </w:rPr>
      </w:pPr>
      <w:r>
        <w:rPr>
          <w:rFonts w:cs="Arial"/>
          <w:color w:val="000000" w:themeColor="text1"/>
          <w:sz w:val="20"/>
          <w:szCs w:val="20"/>
        </w:rPr>
        <w:t>Counsel of Record</w:t>
      </w:r>
    </w:p>
    <w:p w14:paraId="20356B3E" w14:textId="77777777" w:rsidR="003B20C1" w:rsidRDefault="003B20C1" w:rsidP="003B20C1">
      <w:pPr>
        <w:rPr>
          <w:rFonts w:cs="Arial"/>
          <w:color w:val="000000" w:themeColor="text1"/>
          <w:sz w:val="20"/>
          <w:szCs w:val="20"/>
        </w:rPr>
      </w:pPr>
      <w:r>
        <w:rPr>
          <w:rFonts w:cs="Arial"/>
          <w:color w:val="000000" w:themeColor="text1"/>
          <w:sz w:val="20"/>
          <w:szCs w:val="20"/>
        </w:rPr>
        <w:t>Kevin F. Moore (Reg. No. 0089228</w:t>
      </w:r>
    </w:p>
    <w:p w14:paraId="3C5FEE15" w14:textId="77777777" w:rsidR="003B20C1" w:rsidRDefault="003B20C1" w:rsidP="003B20C1">
      <w:pPr>
        <w:rPr>
          <w:rFonts w:cs="Arial"/>
          <w:color w:val="000000" w:themeColor="text1"/>
          <w:sz w:val="20"/>
          <w:szCs w:val="20"/>
        </w:rPr>
      </w:pPr>
      <w:r>
        <w:rPr>
          <w:rFonts w:cs="Arial"/>
          <w:color w:val="000000" w:themeColor="text1"/>
          <w:sz w:val="20"/>
          <w:szCs w:val="20"/>
        </w:rPr>
        <w:t>10 West Broad Street, Suite 1800</w:t>
      </w:r>
    </w:p>
    <w:p w14:paraId="473D7D2F" w14:textId="77777777" w:rsidR="003B20C1" w:rsidRDefault="003B20C1" w:rsidP="003B20C1">
      <w:pPr>
        <w:rPr>
          <w:rFonts w:cs="Arial"/>
          <w:color w:val="000000" w:themeColor="text1"/>
          <w:sz w:val="20"/>
          <w:szCs w:val="20"/>
        </w:rPr>
      </w:pPr>
      <w:r>
        <w:rPr>
          <w:rFonts w:cs="Arial"/>
          <w:color w:val="000000" w:themeColor="text1"/>
          <w:sz w:val="20"/>
          <w:szCs w:val="20"/>
        </w:rPr>
        <w:t>Columbus, OH  43215-3485</w:t>
      </w:r>
    </w:p>
    <w:p w14:paraId="1CF860F3" w14:textId="77777777" w:rsidR="003B20C1" w:rsidRDefault="00137313" w:rsidP="003B20C1">
      <w:pPr>
        <w:rPr>
          <w:rFonts w:cs="Arial"/>
          <w:color w:val="000000" w:themeColor="text1"/>
          <w:sz w:val="20"/>
          <w:szCs w:val="20"/>
        </w:rPr>
      </w:pPr>
      <w:hyperlink r:id="rId28" w:history="1">
        <w:r w:rsidR="003B20C1" w:rsidRPr="009E6DB4">
          <w:rPr>
            <w:rStyle w:val="Hyperlink"/>
            <w:rFonts w:cs="Arial"/>
            <w:sz w:val="20"/>
            <w:szCs w:val="20"/>
          </w:rPr>
          <w:t>William.Michael@occ.ohio.gov</w:t>
        </w:r>
      </w:hyperlink>
    </w:p>
    <w:p w14:paraId="7FABFAD4" w14:textId="77777777" w:rsidR="003B20C1" w:rsidRDefault="00137313" w:rsidP="003B20C1">
      <w:pPr>
        <w:rPr>
          <w:rFonts w:cs="Arial"/>
          <w:color w:val="000000" w:themeColor="text1"/>
          <w:sz w:val="20"/>
          <w:szCs w:val="20"/>
        </w:rPr>
      </w:pPr>
      <w:hyperlink r:id="rId29" w:history="1">
        <w:r w:rsidR="003B20C1" w:rsidRPr="009E6DB4">
          <w:rPr>
            <w:rStyle w:val="Hyperlink"/>
            <w:rFonts w:cs="Arial"/>
            <w:sz w:val="20"/>
            <w:szCs w:val="20"/>
          </w:rPr>
          <w:t>Kevin.Moore@occ.ohio.gov</w:t>
        </w:r>
      </w:hyperlink>
    </w:p>
    <w:p w14:paraId="03C28BD5" w14:textId="77777777" w:rsidR="003B20C1" w:rsidRDefault="003B20C1" w:rsidP="003B20C1">
      <w:pPr>
        <w:rPr>
          <w:rFonts w:cs="Arial"/>
          <w:color w:val="000000" w:themeColor="text1"/>
          <w:sz w:val="20"/>
          <w:szCs w:val="20"/>
        </w:rPr>
      </w:pPr>
    </w:p>
    <w:p w14:paraId="597B24BF"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Office of the Ohio Consumers’ Counsel</w:t>
      </w:r>
    </w:p>
    <w:p w14:paraId="643DA055" w14:textId="77777777" w:rsidR="003B20C1" w:rsidRDefault="003B20C1" w:rsidP="003B20C1">
      <w:pPr>
        <w:rPr>
          <w:rFonts w:cs="Arial"/>
          <w:color w:val="000000" w:themeColor="text1"/>
          <w:sz w:val="20"/>
          <w:szCs w:val="20"/>
        </w:rPr>
      </w:pPr>
    </w:p>
    <w:p w14:paraId="2B3CBAC4" w14:textId="77777777" w:rsidR="003B20C1" w:rsidRDefault="003B20C1" w:rsidP="003B20C1">
      <w:pPr>
        <w:rPr>
          <w:rFonts w:cs="Arial"/>
          <w:color w:val="000000" w:themeColor="text1"/>
          <w:sz w:val="20"/>
          <w:szCs w:val="20"/>
        </w:rPr>
      </w:pPr>
      <w:r>
        <w:rPr>
          <w:rFonts w:cs="Arial"/>
          <w:color w:val="000000" w:themeColor="text1"/>
          <w:sz w:val="20"/>
          <w:szCs w:val="20"/>
        </w:rPr>
        <w:t>Ryan P. O’Rourke (Reg. No. 0082651)</w:t>
      </w:r>
    </w:p>
    <w:p w14:paraId="53D5BB88"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49883170" w14:textId="77777777" w:rsidR="003B20C1" w:rsidRDefault="003B20C1" w:rsidP="003B20C1">
      <w:pPr>
        <w:rPr>
          <w:rFonts w:cs="Arial"/>
          <w:color w:val="000000" w:themeColor="text1"/>
          <w:sz w:val="20"/>
          <w:szCs w:val="20"/>
        </w:rPr>
      </w:pPr>
      <w:r>
        <w:rPr>
          <w:rFonts w:cs="Arial"/>
          <w:color w:val="000000" w:themeColor="text1"/>
          <w:sz w:val="20"/>
          <w:szCs w:val="20"/>
        </w:rPr>
        <w:t>280 Plaza, Suite 1300</w:t>
      </w:r>
    </w:p>
    <w:p w14:paraId="08DD7826" w14:textId="77777777" w:rsidR="003B20C1" w:rsidRDefault="003B20C1" w:rsidP="003B20C1">
      <w:pPr>
        <w:rPr>
          <w:rFonts w:cs="Arial"/>
          <w:color w:val="000000" w:themeColor="text1"/>
          <w:sz w:val="20"/>
          <w:szCs w:val="20"/>
        </w:rPr>
      </w:pPr>
      <w:r>
        <w:rPr>
          <w:rFonts w:cs="Arial"/>
          <w:color w:val="000000" w:themeColor="text1"/>
          <w:sz w:val="20"/>
          <w:szCs w:val="20"/>
        </w:rPr>
        <w:t>280 North High Street</w:t>
      </w:r>
    </w:p>
    <w:p w14:paraId="3356F0D8"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29625A4C" w14:textId="77777777" w:rsidR="003B20C1" w:rsidRDefault="003B20C1" w:rsidP="003B20C1">
      <w:pPr>
        <w:rPr>
          <w:rFonts w:cs="Arial"/>
          <w:color w:val="000000" w:themeColor="text1"/>
          <w:sz w:val="20"/>
          <w:szCs w:val="20"/>
        </w:rPr>
      </w:pPr>
      <w:r>
        <w:rPr>
          <w:rFonts w:cs="Arial"/>
          <w:color w:val="000000" w:themeColor="text1"/>
          <w:sz w:val="20"/>
          <w:szCs w:val="20"/>
        </w:rPr>
        <w:t>O’Rourke@carpenterlipps.com</w:t>
      </w:r>
    </w:p>
    <w:p w14:paraId="3D2EE88E" w14:textId="77777777" w:rsidR="003B20C1" w:rsidRDefault="003B20C1" w:rsidP="003B20C1">
      <w:pPr>
        <w:rPr>
          <w:rFonts w:cs="Arial"/>
          <w:color w:val="000000" w:themeColor="text1"/>
          <w:sz w:val="20"/>
          <w:szCs w:val="20"/>
        </w:rPr>
      </w:pPr>
    </w:p>
    <w:p w14:paraId="4B9C6C59"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The Kroger Co.</w:t>
      </w:r>
    </w:p>
    <w:p w14:paraId="4AF5673A" w14:textId="77777777" w:rsidR="003B20C1" w:rsidRDefault="003B20C1" w:rsidP="003B20C1">
      <w:pPr>
        <w:rPr>
          <w:rFonts w:cs="Arial"/>
          <w:color w:val="000000" w:themeColor="text1"/>
          <w:sz w:val="20"/>
          <w:szCs w:val="20"/>
        </w:rPr>
      </w:pPr>
    </w:p>
    <w:p w14:paraId="4385EE31" w14:textId="77777777" w:rsidR="003B20C1" w:rsidRDefault="003B20C1" w:rsidP="003B20C1">
      <w:pPr>
        <w:rPr>
          <w:rFonts w:cs="Arial"/>
          <w:color w:val="000000" w:themeColor="text1"/>
          <w:sz w:val="20"/>
          <w:szCs w:val="20"/>
        </w:rPr>
      </w:pPr>
      <w:r>
        <w:rPr>
          <w:rFonts w:cs="Arial"/>
          <w:color w:val="000000" w:themeColor="text1"/>
          <w:sz w:val="20"/>
          <w:szCs w:val="20"/>
        </w:rPr>
        <w:t>Kimberly W. Bojko (Reg. No. 0069402)</w:t>
      </w:r>
    </w:p>
    <w:p w14:paraId="040FAAA4" w14:textId="77777777" w:rsidR="003B20C1" w:rsidRDefault="003B20C1" w:rsidP="003B20C1">
      <w:pPr>
        <w:rPr>
          <w:rFonts w:cs="Arial"/>
          <w:color w:val="000000" w:themeColor="text1"/>
          <w:sz w:val="20"/>
          <w:szCs w:val="20"/>
        </w:rPr>
      </w:pPr>
      <w:r>
        <w:rPr>
          <w:rFonts w:cs="Arial"/>
          <w:color w:val="000000" w:themeColor="text1"/>
          <w:sz w:val="20"/>
          <w:szCs w:val="20"/>
        </w:rPr>
        <w:t>Danielle M. Ghiloni (Reg. No. 0085245)</w:t>
      </w:r>
    </w:p>
    <w:p w14:paraId="68120B13"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173FCC45" w14:textId="77777777" w:rsidR="003B20C1" w:rsidRDefault="003B20C1" w:rsidP="003B20C1">
      <w:pPr>
        <w:rPr>
          <w:rFonts w:cs="Arial"/>
          <w:color w:val="000000" w:themeColor="text1"/>
          <w:sz w:val="20"/>
          <w:szCs w:val="20"/>
        </w:rPr>
      </w:pPr>
      <w:r>
        <w:rPr>
          <w:rFonts w:cs="Arial"/>
          <w:color w:val="000000" w:themeColor="text1"/>
          <w:sz w:val="20"/>
          <w:szCs w:val="20"/>
        </w:rPr>
        <w:t>280 North High Street, Suite 1300</w:t>
      </w:r>
    </w:p>
    <w:p w14:paraId="058C29EB"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6D30CE59" w14:textId="77777777" w:rsidR="003B20C1" w:rsidRDefault="00137313" w:rsidP="003B20C1">
      <w:pPr>
        <w:rPr>
          <w:rFonts w:cs="Arial"/>
          <w:color w:val="000000" w:themeColor="text1"/>
          <w:sz w:val="20"/>
          <w:szCs w:val="20"/>
        </w:rPr>
      </w:pPr>
      <w:hyperlink r:id="rId30" w:history="1">
        <w:r w:rsidR="003B20C1" w:rsidRPr="009E6DB4">
          <w:rPr>
            <w:rStyle w:val="Hyperlink"/>
            <w:rFonts w:cs="Arial"/>
            <w:sz w:val="20"/>
            <w:szCs w:val="20"/>
          </w:rPr>
          <w:t>Bojko@carpenterlipps.com</w:t>
        </w:r>
      </w:hyperlink>
    </w:p>
    <w:p w14:paraId="04690C18" w14:textId="77777777" w:rsidR="003B20C1" w:rsidRDefault="00137313" w:rsidP="003B20C1">
      <w:pPr>
        <w:rPr>
          <w:rFonts w:cs="Arial"/>
          <w:color w:val="000000" w:themeColor="text1"/>
          <w:sz w:val="20"/>
          <w:szCs w:val="20"/>
        </w:rPr>
      </w:pPr>
      <w:hyperlink r:id="rId31" w:history="1">
        <w:r w:rsidR="003B20C1" w:rsidRPr="009E6DB4">
          <w:rPr>
            <w:rStyle w:val="Hyperlink"/>
            <w:rFonts w:cs="Arial"/>
            <w:sz w:val="20"/>
            <w:szCs w:val="20"/>
          </w:rPr>
          <w:t>Ghiloni@carpenterlipps.com</w:t>
        </w:r>
      </w:hyperlink>
    </w:p>
    <w:p w14:paraId="4D01AD97" w14:textId="77777777" w:rsidR="003B20C1" w:rsidRDefault="003B20C1" w:rsidP="003B20C1">
      <w:pPr>
        <w:rPr>
          <w:rFonts w:cs="Arial"/>
          <w:color w:val="000000" w:themeColor="text1"/>
          <w:sz w:val="20"/>
          <w:szCs w:val="20"/>
        </w:rPr>
      </w:pPr>
    </w:p>
    <w:p w14:paraId="546D4E86"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the Ohio Manufacturers’ Association Energy Group</w:t>
      </w:r>
    </w:p>
    <w:p w14:paraId="006A4E43" w14:textId="77777777" w:rsidR="003B20C1" w:rsidRDefault="003B20C1" w:rsidP="003B20C1">
      <w:pPr>
        <w:rPr>
          <w:rFonts w:cs="Arial"/>
          <w:color w:val="000000" w:themeColor="text1"/>
          <w:sz w:val="20"/>
          <w:szCs w:val="20"/>
        </w:rPr>
      </w:pPr>
    </w:p>
    <w:p w14:paraId="0949232E" w14:textId="77777777" w:rsidR="003B20C1" w:rsidRDefault="003B20C1" w:rsidP="003B20C1">
      <w:pPr>
        <w:rPr>
          <w:rFonts w:cs="Arial"/>
          <w:color w:val="000000" w:themeColor="text1"/>
          <w:sz w:val="20"/>
          <w:szCs w:val="20"/>
        </w:rPr>
      </w:pPr>
      <w:r>
        <w:rPr>
          <w:rFonts w:cs="Arial"/>
          <w:color w:val="000000" w:themeColor="text1"/>
          <w:sz w:val="20"/>
          <w:szCs w:val="20"/>
        </w:rPr>
        <w:t>Michael J. Settineri</w:t>
      </w:r>
    </w:p>
    <w:p w14:paraId="55D75016" w14:textId="77777777" w:rsidR="003B20C1" w:rsidRDefault="003B20C1" w:rsidP="003B20C1">
      <w:pPr>
        <w:rPr>
          <w:rFonts w:cs="Arial"/>
          <w:color w:val="000000" w:themeColor="text1"/>
          <w:sz w:val="20"/>
          <w:szCs w:val="20"/>
        </w:rPr>
      </w:pPr>
      <w:r>
        <w:rPr>
          <w:rFonts w:cs="Arial"/>
          <w:color w:val="000000" w:themeColor="text1"/>
          <w:sz w:val="20"/>
          <w:szCs w:val="20"/>
        </w:rPr>
        <w:t>Stephen M. Howard</w:t>
      </w:r>
    </w:p>
    <w:p w14:paraId="4028400F" w14:textId="77777777" w:rsidR="003B20C1" w:rsidRDefault="003B20C1" w:rsidP="003B20C1">
      <w:pPr>
        <w:rPr>
          <w:rFonts w:cs="Arial"/>
          <w:color w:val="000000" w:themeColor="text1"/>
          <w:sz w:val="20"/>
          <w:szCs w:val="20"/>
        </w:rPr>
      </w:pPr>
      <w:r>
        <w:rPr>
          <w:rFonts w:cs="Arial"/>
          <w:color w:val="000000" w:themeColor="text1"/>
          <w:sz w:val="20"/>
          <w:szCs w:val="20"/>
        </w:rPr>
        <w:t>Gretchen L. Petrucci</w:t>
      </w:r>
    </w:p>
    <w:p w14:paraId="632E5C5C" w14:textId="77777777" w:rsidR="003B20C1" w:rsidRDefault="003B20C1" w:rsidP="003B20C1">
      <w:pPr>
        <w:rPr>
          <w:rFonts w:cs="Arial"/>
          <w:color w:val="000000" w:themeColor="text1"/>
          <w:sz w:val="20"/>
          <w:szCs w:val="20"/>
        </w:rPr>
      </w:pPr>
      <w:r>
        <w:rPr>
          <w:rFonts w:cs="Arial"/>
          <w:color w:val="000000" w:themeColor="text1"/>
          <w:sz w:val="20"/>
          <w:szCs w:val="20"/>
        </w:rPr>
        <w:t>Ilya Batikov</w:t>
      </w:r>
    </w:p>
    <w:p w14:paraId="049A1842" w14:textId="77777777" w:rsidR="003B20C1" w:rsidRDefault="003B20C1" w:rsidP="003B20C1">
      <w:pPr>
        <w:rPr>
          <w:rFonts w:cs="Arial"/>
          <w:color w:val="000000" w:themeColor="text1"/>
          <w:sz w:val="20"/>
          <w:szCs w:val="20"/>
        </w:rPr>
      </w:pPr>
      <w:r>
        <w:rPr>
          <w:rFonts w:cs="Arial"/>
          <w:color w:val="000000" w:themeColor="text1"/>
          <w:sz w:val="20"/>
          <w:szCs w:val="20"/>
        </w:rPr>
        <w:t>Vorys, Sater, Seymour and Pease LLP</w:t>
      </w:r>
    </w:p>
    <w:p w14:paraId="26A13F7F" w14:textId="77777777" w:rsidR="003B20C1" w:rsidRDefault="003B20C1" w:rsidP="003B20C1">
      <w:pPr>
        <w:rPr>
          <w:rFonts w:cs="Arial"/>
          <w:color w:val="000000" w:themeColor="text1"/>
          <w:sz w:val="20"/>
          <w:szCs w:val="20"/>
        </w:rPr>
      </w:pPr>
      <w:r>
        <w:rPr>
          <w:rFonts w:cs="Arial"/>
          <w:color w:val="000000" w:themeColor="text1"/>
          <w:sz w:val="20"/>
          <w:szCs w:val="20"/>
        </w:rPr>
        <w:t>52 E. Gay Street</w:t>
      </w:r>
    </w:p>
    <w:p w14:paraId="130DA25D"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0D1A783E" w14:textId="77777777" w:rsidR="003B20C1" w:rsidRDefault="00137313" w:rsidP="003B20C1">
      <w:pPr>
        <w:rPr>
          <w:rFonts w:cs="Arial"/>
          <w:color w:val="000000" w:themeColor="text1"/>
          <w:sz w:val="20"/>
          <w:szCs w:val="20"/>
        </w:rPr>
      </w:pPr>
      <w:hyperlink r:id="rId32" w:history="1">
        <w:r w:rsidR="003B20C1" w:rsidRPr="009E6DB4">
          <w:rPr>
            <w:rStyle w:val="Hyperlink"/>
            <w:rFonts w:cs="Arial"/>
            <w:sz w:val="20"/>
            <w:szCs w:val="20"/>
          </w:rPr>
          <w:t>mjsettineri@vorys.com</w:t>
        </w:r>
      </w:hyperlink>
    </w:p>
    <w:p w14:paraId="4B83ADAD" w14:textId="77777777" w:rsidR="003B20C1" w:rsidRDefault="00137313" w:rsidP="003B20C1">
      <w:pPr>
        <w:rPr>
          <w:rFonts w:cs="Arial"/>
          <w:color w:val="000000" w:themeColor="text1"/>
          <w:sz w:val="20"/>
          <w:szCs w:val="20"/>
        </w:rPr>
      </w:pPr>
      <w:hyperlink r:id="rId33" w:history="1">
        <w:r w:rsidR="003B20C1" w:rsidRPr="009E6DB4">
          <w:rPr>
            <w:rStyle w:val="Hyperlink"/>
            <w:rFonts w:cs="Arial"/>
            <w:sz w:val="20"/>
            <w:szCs w:val="20"/>
          </w:rPr>
          <w:t>smhoward@vorys.co</w:t>
        </w:r>
      </w:hyperlink>
      <w:r w:rsidR="003B20C1">
        <w:rPr>
          <w:rFonts w:cs="Arial"/>
          <w:color w:val="000000" w:themeColor="text1"/>
          <w:sz w:val="20"/>
          <w:szCs w:val="20"/>
        </w:rPr>
        <w:t>m</w:t>
      </w:r>
    </w:p>
    <w:p w14:paraId="15AAA6CF" w14:textId="77777777" w:rsidR="003B20C1" w:rsidRDefault="00137313" w:rsidP="003B20C1">
      <w:pPr>
        <w:rPr>
          <w:rFonts w:cs="Arial"/>
          <w:color w:val="000000" w:themeColor="text1"/>
          <w:sz w:val="20"/>
          <w:szCs w:val="20"/>
        </w:rPr>
      </w:pPr>
      <w:hyperlink r:id="rId34" w:history="1">
        <w:r w:rsidR="003B20C1" w:rsidRPr="009E6DB4">
          <w:rPr>
            <w:rStyle w:val="Hyperlink"/>
            <w:rFonts w:cs="Arial"/>
            <w:sz w:val="20"/>
            <w:szCs w:val="20"/>
          </w:rPr>
          <w:t>glpetrucci@vorys.com</w:t>
        </w:r>
      </w:hyperlink>
    </w:p>
    <w:p w14:paraId="4ECE0853" w14:textId="77777777" w:rsidR="003B20C1" w:rsidRDefault="00137313" w:rsidP="003B20C1">
      <w:pPr>
        <w:rPr>
          <w:rFonts w:cs="Arial"/>
          <w:color w:val="000000" w:themeColor="text1"/>
          <w:sz w:val="20"/>
          <w:szCs w:val="20"/>
        </w:rPr>
      </w:pPr>
      <w:hyperlink r:id="rId35" w:history="1">
        <w:r w:rsidR="003B20C1" w:rsidRPr="009E6DB4">
          <w:rPr>
            <w:rStyle w:val="Hyperlink"/>
            <w:rFonts w:cs="Arial"/>
            <w:sz w:val="20"/>
            <w:szCs w:val="20"/>
          </w:rPr>
          <w:t>ibatikov@vorys.com</w:t>
        </w:r>
      </w:hyperlink>
    </w:p>
    <w:p w14:paraId="512229AC" w14:textId="77777777" w:rsidR="003B20C1" w:rsidRDefault="003B20C1" w:rsidP="003B20C1">
      <w:pPr>
        <w:rPr>
          <w:rFonts w:cs="Arial"/>
          <w:color w:val="000000" w:themeColor="text1"/>
          <w:sz w:val="20"/>
          <w:szCs w:val="20"/>
        </w:rPr>
      </w:pPr>
    </w:p>
    <w:p w14:paraId="26A59D4D" w14:textId="77777777" w:rsidR="003B20C1" w:rsidRPr="00120AD2" w:rsidRDefault="003B20C1" w:rsidP="003B20C1">
      <w:pPr>
        <w:rPr>
          <w:rFonts w:ascii="Arial Bold" w:hAnsi="Arial Bold" w:cs="Arial"/>
          <w:b/>
          <w:smallCaps/>
          <w:color w:val="000000" w:themeColor="text1"/>
          <w:sz w:val="20"/>
          <w:szCs w:val="20"/>
        </w:rPr>
      </w:pPr>
      <w:r w:rsidRPr="00120AD2">
        <w:rPr>
          <w:rFonts w:ascii="Arial Bold" w:hAnsi="Arial Bold" w:cs="Arial"/>
          <w:b/>
          <w:smallCaps/>
          <w:color w:val="000000" w:themeColor="text1"/>
          <w:sz w:val="20"/>
          <w:szCs w:val="20"/>
        </w:rPr>
        <w:t>Counsel for Dynegy Inc.</w:t>
      </w:r>
      <w:r>
        <w:rPr>
          <w:rFonts w:ascii="Arial Bold" w:hAnsi="Arial Bold" w:cs="Arial"/>
          <w:b/>
          <w:smallCaps/>
          <w:color w:val="000000" w:themeColor="text1"/>
          <w:sz w:val="20"/>
          <w:szCs w:val="20"/>
        </w:rPr>
        <w:t>, PJM Power Providers Group and the Electric Power Supply Association</w:t>
      </w:r>
    </w:p>
    <w:p w14:paraId="3A906971" w14:textId="77777777" w:rsidR="003B20C1" w:rsidRDefault="003B20C1" w:rsidP="003B20C1">
      <w:pPr>
        <w:rPr>
          <w:rFonts w:cs="Arial"/>
          <w:color w:val="000000" w:themeColor="text1"/>
          <w:sz w:val="20"/>
          <w:szCs w:val="20"/>
        </w:rPr>
      </w:pPr>
    </w:p>
    <w:p w14:paraId="5129DF0E" w14:textId="77777777" w:rsidR="003B20C1" w:rsidRDefault="003B20C1" w:rsidP="003B20C1">
      <w:pPr>
        <w:rPr>
          <w:rFonts w:cs="Arial"/>
          <w:color w:val="000000" w:themeColor="text1"/>
          <w:sz w:val="20"/>
          <w:szCs w:val="20"/>
        </w:rPr>
      </w:pPr>
      <w:r>
        <w:rPr>
          <w:rFonts w:cs="Arial"/>
          <w:color w:val="000000" w:themeColor="text1"/>
          <w:sz w:val="20"/>
          <w:szCs w:val="20"/>
        </w:rPr>
        <w:t>Joseph Oliker (Reg. No. 0086088)</w:t>
      </w:r>
    </w:p>
    <w:p w14:paraId="4E5EEF1B" w14:textId="77777777" w:rsidR="003B20C1" w:rsidRDefault="003B20C1" w:rsidP="003B20C1">
      <w:pPr>
        <w:rPr>
          <w:rFonts w:cs="Arial"/>
          <w:color w:val="000000" w:themeColor="text1"/>
          <w:sz w:val="20"/>
          <w:szCs w:val="20"/>
        </w:rPr>
      </w:pPr>
      <w:r>
        <w:rPr>
          <w:rFonts w:cs="Arial"/>
          <w:color w:val="000000" w:themeColor="text1"/>
          <w:sz w:val="20"/>
          <w:szCs w:val="20"/>
        </w:rPr>
        <w:t>IGS Energy</w:t>
      </w:r>
    </w:p>
    <w:p w14:paraId="2B07C28A" w14:textId="77777777" w:rsidR="003B20C1" w:rsidRDefault="003B20C1" w:rsidP="003B20C1">
      <w:pPr>
        <w:rPr>
          <w:rFonts w:cs="Arial"/>
          <w:color w:val="000000" w:themeColor="text1"/>
          <w:sz w:val="20"/>
          <w:szCs w:val="20"/>
        </w:rPr>
      </w:pPr>
      <w:r>
        <w:rPr>
          <w:rFonts w:cs="Arial"/>
          <w:color w:val="000000" w:themeColor="text1"/>
          <w:sz w:val="20"/>
          <w:szCs w:val="20"/>
        </w:rPr>
        <w:t>6100 Emerald Parkway</w:t>
      </w:r>
    </w:p>
    <w:p w14:paraId="63BEF8E7" w14:textId="77777777" w:rsidR="003B20C1" w:rsidRDefault="003B20C1" w:rsidP="003B20C1">
      <w:pPr>
        <w:rPr>
          <w:rFonts w:cs="Arial"/>
          <w:color w:val="000000" w:themeColor="text1"/>
          <w:sz w:val="20"/>
          <w:szCs w:val="20"/>
        </w:rPr>
      </w:pPr>
      <w:r>
        <w:rPr>
          <w:rFonts w:cs="Arial"/>
          <w:color w:val="000000" w:themeColor="text1"/>
          <w:sz w:val="20"/>
          <w:szCs w:val="20"/>
        </w:rPr>
        <w:t>Dublin, OH  43016</w:t>
      </w:r>
    </w:p>
    <w:p w14:paraId="305FAEC7" w14:textId="77777777" w:rsidR="003B20C1" w:rsidRDefault="00137313" w:rsidP="003B20C1">
      <w:pPr>
        <w:rPr>
          <w:rFonts w:cs="Arial"/>
          <w:color w:val="000000" w:themeColor="text1"/>
          <w:sz w:val="20"/>
          <w:szCs w:val="20"/>
        </w:rPr>
      </w:pPr>
      <w:hyperlink r:id="rId36" w:history="1">
        <w:r w:rsidR="003B20C1" w:rsidRPr="00B44E1A">
          <w:rPr>
            <w:rStyle w:val="Hyperlink"/>
            <w:rFonts w:cs="Arial"/>
            <w:sz w:val="20"/>
            <w:szCs w:val="20"/>
          </w:rPr>
          <w:t>joliker@igsenergy.com</w:t>
        </w:r>
      </w:hyperlink>
    </w:p>
    <w:p w14:paraId="61C0E19B" w14:textId="77777777" w:rsidR="003B20C1" w:rsidRDefault="003B20C1" w:rsidP="003B20C1">
      <w:pPr>
        <w:rPr>
          <w:rFonts w:cs="Arial"/>
          <w:color w:val="000000" w:themeColor="text1"/>
          <w:sz w:val="20"/>
          <w:szCs w:val="20"/>
        </w:rPr>
      </w:pPr>
    </w:p>
    <w:p w14:paraId="3F9BE4EE" w14:textId="77777777" w:rsidR="003B20C1" w:rsidRPr="00A177EF" w:rsidRDefault="003B20C1" w:rsidP="003B20C1">
      <w:pPr>
        <w:rPr>
          <w:rFonts w:ascii="Arial Bold" w:hAnsi="Arial Bold" w:cs="Arial"/>
          <w:b/>
          <w:smallCaps/>
          <w:color w:val="000000" w:themeColor="text1"/>
          <w:sz w:val="20"/>
          <w:szCs w:val="20"/>
        </w:rPr>
      </w:pPr>
      <w:r w:rsidRPr="00A177EF">
        <w:rPr>
          <w:rFonts w:ascii="Arial Bold" w:hAnsi="Arial Bold" w:cs="Arial"/>
          <w:b/>
          <w:smallCaps/>
          <w:color w:val="000000" w:themeColor="text1"/>
          <w:sz w:val="20"/>
          <w:szCs w:val="20"/>
        </w:rPr>
        <w:t>Counsel for IGS Energy</w:t>
      </w:r>
    </w:p>
    <w:p w14:paraId="5AAA4E55" w14:textId="77777777" w:rsidR="003B20C1" w:rsidRDefault="003B20C1" w:rsidP="003B20C1">
      <w:pPr>
        <w:rPr>
          <w:rFonts w:cs="Arial"/>
          <w:color w:val="000000" w:themeColor="text1"/>
          <w:sz w:val="20"/>
          <w:szCs w:val="20"/>
        </w:rPr>
      </w:pPr>
    </w:p>
    <w:p w14:paraId="528C04D8" w14:textId="0FABDFB5" w:rsidR="003B20C1" w:rsidRDefault="003B20C1" w:rsidP="003B20C1">
      <w:pPr>
        <w:rPr>
          <w:rFonts w:cs="Arial"/>
          <w:color w:val="000000" w:themeColor="text1"/>
          <w:sz w:val="20"/>
          <w:szCs w:val="20"/>
        </w:rPr>
      </w:pPr>
      <w:r>
        <w:rPr>
          <w:rFonts w:cs="Arial"/>
          <w:color w:val="000000" w:themeColor="text1"/>
          <w:sz w:val="20"/>
          <w:szCs w:val="20"/>
        </w:rPr>
        <w:t>Michael D. Dortch (Reg. No. 0043897)</w:t>
      </w:r>
    </w:p>
    <w:p w14:paraId="60A2B6DF" w14:textId="77777777" w:rsidR="003B20C1" w:rsidRDefault="003B20C1" w:rsidP="003B20C1">
      <w:pPr>
        <w:rPr>
          <w:rFonts w:cs="Arial"/>
          <w:color w:val="000000" w:themeColor="text1"/>
          <w:sz w:val="20"/>
          <w:szCs w:val="20"/>
        </w:rPr>
      </w:pPr>
      <w:r>
        <w:rPr>
          <w:rFonts w:cs="Arial"/>
          <w:color w:val="000000" w:themeColor="text1"/>
          <w:sz w:val="20"/>
          <w:szCs w:val="20"/>
        </w:rPr>
        <w:t>Richard R. Parsons (Reg. No. 0082270)</w:t>
      </w:r>
    </w:p>
    <w:p w14:paraId="5D4E7222" w14:textId="77777777" w:rsidR="003B20C1" w:rsidRDefault="003B20C1" w:rsidP="003B20C1">
      <w:pPr>
        <w:rPr>
          <w:rFonts w:cs="Arial"/>
          <w:color w:val="000000" w:themeColor="text1"/>
          <w:sz w:val="20"/>
          <w:szCs w:val="20"/>
        </w:rPr>
      </w:pPr>
      <w:r>
        <w:rPr>
          <w:rFonts w:cs="Arial"/>
          <w:color w:val="000000" w:themeColor="text1"/>
          <w:sz w:val="20"/>
          <w:szCs w:val="20"/>
        </w:rPr>
        <w:t>Kravitz, Brown &amp; Dortch, LLC</w:t>
      </w:r>
    </w:p>
    <w:p w14:paraId="257D7C7D" w14:textId="77777777" w:rsidR="003B20C1" w:rsidRDefault="003B20C1" w:rsidP="003B20C1">
      <w:pPr>
        <w:rPr>
          <w:rFonts w:cs="Arial"/>
          <w:color w:val="000000" w:themeColor="text1"/>
          <w:sz w:val="20"/>
          <w:szCs w:val="20"/>
        </w:rPr>
      </w:pPr>
      <w:r>
        <w:rPr>
          <w:rFonts w:cs="Arial"/>
          <w:color w:val="000000" w:themeColor="text1"/>
          <w:sz w:val="20"/>
          <w:szCs w:val="20"/>
        </w:rPr>
        <w:t>65 East State Street, Suite 200</w:t>
      </w:r>
    </w:p>
    <w:p w14:paraId="5A1D7DBB"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386D6339" w14:textId="77777777" w:rsidR="003B20C1" w:rsidRDefault="00137313" w:rsidP="003B20C1">
      <w:pPr>
        <w:rPr>
          <w:rFonts w:cs="Arial"/>
          <w:color w:val="000000" w:themeColor="text1"/>
          <w:sz w:val="20"/>
          <w:szCs w:val="20"/>
        </w:rPr>
      </w:pPr>
      <w:hyperlink r:id="rId37" w:history="1">
        <w:r w:rsidR="003B20C1" w:rsidRPr="00B44E1A">
          <w:rPr>
            <w:rStyle w:val="Hyperlink"/>
            <w:rFonts w:cs="Arial"/>
            <w:sz w:val="20"/>
            <w:szCs w:val="20"/>
          </w:rPr>
          <w:t>mdortch@kravitzllc.com</w:t>
        </w:r>
      </w:hyperlink>
    </w:p>
    <w:p w14:paraId="578457F3" w14:textId="77777777" w:rsidR="003B20C1" w:rsidRDefault="00137313" w:rsidP="003B20C1">
      <w:pPr>
        <w:rPr>
          <w:rFonts w:cs="Arial"/>
          <w:color w:val="000000" w:themeColor="text1"/>
          <w:sz w:val="20"/>
          <w:szCs w:val="20"/>
        </w:rPr>
      </w:pPr>
      <w:hyperlink r:id="rId38" w:history="1">
        <w:r w:rsidR="003B20C1" w:rsidRPr="00B44E1A">
          <w:rPr>
            <w:rStyle w:val="Hyperlink"/>
            <w:rFonts w:cs="Arial"/>
            <w:sz w:val="20"/>
            <w:szCs w:val="20"/>
          </w:rPr>
          <w:t>rparsons@kravitzllc.com</w:t>
        </w:r>
      </w:hyperlink>
    </w:p>
    <w:p w14:paraId="0B2EE1BE" w14:textId="77777777" w:rsidR="003B20C1" w:rsidRDefault="003B20C1" w:rsidP="003B20C1">
      <w:pPr>
        <w:rPr>
          <w:rFonts w:cs="Arial"/>
          <w:color w:val="000000" w:themeColor="text1"/>
          <w:sz w:val="20"/>
          <w:szCs w:val="20"/>
        </w:rPr>
      </w:pPr>
    </w:p>
    <w:p w14:paraId="2096EF0C" w14:textId="77777777" w:rsidR="003B20C1" w:rsidRPr="00CB0EE9" w:rsidRDefault="003B20C1" w:rsidP="003B20C1">
      <w:pPr>
        <w:rPr>
          <w:rFonts w:ascii="Arial Bold" w:hAnsi="Arial Bold" w:cs="Arial"/>
          <w:b/>
          <w:smallCaps/>
          <w:color w:val="000000" w:themeColor="text1"/>
          <w:sz w:val="20"/>
          <w:szCs w:val="20"/>
        </w:rPr>
      </w:pPr>
      <w:r w:rsidRPr="00CB0EE9">
        <w:rPr>
          <w:rFonts w:ascii="Arial Bold" w:hAnsi="Arial Bold" w:cs="Arial"/>
          <w:b/>
          <w:smallCaps/>
          <w:color w:val="000000" w:themeColor="text1"/>
          <w:sz w:val="20"/>
          <w:szCs w:val="20"/>
        </w:rPr>
        <w:t>Counsel for Noble Americas Energy Solutions LLC</w:t>
      </w:r>
    </w:p>
    <w:p w14:paraId="595D5B9A" w14:textId="77777777" w:rsidR="003B20C1" w:rsidRDefault="003B20C1" w:rsidP="003B20C1">
      <w:pPr>
        <w:rPr>
          <w:rFonts w:cs="Arial"/>
          <w:color w:val="000000" w:themeColor="text1"/>
          <w:sz w:val="20"/>
          <w:szCs w:val="20"/>
        </w:rPr>
      </w:pPr>
    </w:p>
    <w:p w14:paraId="6D8FFE48" w14:textId="77777777" w:rsidR="003B20C1" w:rsidRDefault="003B20C1" w:rsidP="003B20C1">
      <w:pPr>
        <w:rPr>
          <w:rFonts w:cs="Arial"/>
          <w:color w:val="000000" w:themeColor="text1"/>
          <w:sz w:val="20"/>
          <w:szCs w:val="20"/>
        </w:rPr>
      </w:pPr>
      <w:r>
        <w:rPr>
          <w:rFonts w:cs="Arial"/>
          <w:color w:val="000000" w:themeColor="text1"/>
          <w:sz w:val="20"/>
          <w:szCs w:val="20"/>
        </w:rPr>
        <w:t>Colleen L. Mooney</w:t>
      </w:r>
    </w:p>
    <w:p w14:paraId="481AFA1B" w14:textId="77777777" w:rsidR="003B20C1" w:rsidRDefault="003B20C1" w:rsidP="003B20C1">
      <w:pPr>
        <w:rPr>
          <w:rFonts w:cs="Arial"/>
          <w:color w:val="000000" w:themeColor="text1"/>
          <w:sz w:val="20"/>
          <w:szCs w:val="20"/>
        </w:rPr>
      </w:pPr>
      <w:r>
        <w:rPr>
          <w:rFonts w:cs="Arial"/>
          <w:color w:val="000000" w:themeColor="text1"/>
          <w:sz w:val="20"/>
          <w:szCs w:val="20"/>
        </w:rPr>
        <w:t>231 West Lima Street</w:t>
      </w:r>
    </w:p>
    <w:p w14:paraId="4DF9B1A7" w14:textId="77777777" w:rsidR="003B20C1" w:rsidRDefault="003B20C1" w:rsidP="003B20C1">
      <w:pPr>
        <w:rPr>
          <w:rFonts w:cs="Arial"/>
          <w:color w:val="000000" w:themeColor="text1"/>
          <w:sz w:val="20"/>
          <w:szCs w:val="20"/>
        </w:rPr>
      </w:pPr>
      <w:r>
        <w:rPr>
          <w:rFonts w:cs="Arial"/>
          <w:color w:val="000000" w:themeColor="text1"/>
          <w:sz w:val="20"/>
          <w:szCs w:val="20"/>
        </w:rPr>
        <w:t>PO Box 1793</w:t>
      </w:r>
    </w:p>
    <w:p w14:paraId="7F213752" w14:textId="77777777" w:rsidR="003B20C1" w:rsidRDefault="003B20C1" w:rsidP="003B20C1">
      <w:pPr>
        <w:rPr>
          <w:rFonts w:cs="Arial"/>
          <w:color w:val="000000" w:themeColor="text1"/>
          <w:sz w:val="20"/>
          <w:szCs w:val="20"/>
        </w:rPr>
      </w:pPr>
      <w:r>
        <w:rPr>
          <w:rFonts w:cs="Arial"/>
          <w:color w:val="000000" w:themeColor="text1"/>
          <w:sz w:val="20"/>
          <w:szCs w:val="20"/>
        </w:rPr>
        <w:t>Findlay, OH  45839-1793</w:t>
      </w:r>
    </w:p>
    <w:p w14:paraId="385434F5" w14:textId="77777777" w:rsidR="003B20C1" w:rsidRDefault="00137313" w:rsidP="003B20C1">
      <w:pPr>
        <w:rPr>
          <w:rFonts w:cs="Arial"/>
          <w:color w:val="000000" w:themeColor="text1"/>
          <w:sz w:val="20"/>
          <w:szCs w:val="20"/>
        </w:rPr>
      </w:pPr>
      <w:hyperlink r:id="rId39" w:history="1">
        <w:r w:rsidR="003B20C1" w:rsidRPr="00B44E1A">
          <w:rPr>
            <w:rStyle w:val="Hyperlink"/>
            <w:rFonts w:cs="Arial"/>
            <w:sz w:val="20"/>
            <w:szCs w:val="20"/>
          </w:rPr>
          <w:t>cmooney@ohiopartners.org</w:t>
        </w:r>
      </w:hyperlink>
    </w:p>
    <w:p w14:paraId="118071B3" w14:textId="77777777" w:rsidR="003B20C1" w:rsidRDefault="003B20C1" w:rsidP="003B20C1">
      <w:pPr>
        <w:rPr>
          <w:rFonts w:cs="Arial"/>
          <w:color w:val="000000" w:themeColor="text1"/>
          <w:sz w:val="20"/>
          <w:szCs w:val="20"/>
        </w:rPr>
      </w:pPr>
    </w:p>
    <w:p w14:paraId="07969993" w14:textId="77777777" w:rsidR="003B20C1" w:rsidRPr="00E81F94" w:rsidRDefault="003B20C1" w:rsidP="003B20C1">
      <w:pPr>
        <w:rPr>
          <w:rFonts w:ascii="Arial Bold" w:hAnsi="Arial Bold" w:cs="Arial"/>
          <w:b/>
          <w:smallCaps/>
          <w:color w:val="000000" w:themeColor="text1"/>
          <w:sz w:val="20"/>
          <w:szCs w:val="20"/>
        </w:rPr>
      </w:pPr>
      <w:r w:rsidRPr="00E81F94">
        <w:rPr>
          <w:rFonts w:ascii="Arial Bold" w:hAnsi="Arial Bold" w:cs="Arial"/>
          <w:b/>
          <w:smallCaps/>
          <w:color w:val="000000" w:themeColor="text1"/>
          <w:sz w:val="20"/>
          <w:szCs w:val="20"/>
        </w:rPr>
        <w:t>Counsel for Ohio Partners for Affordable Energy</w:t>
      </w:r>
    </w:p>
    <w:p w14:paraId="378E6310" w14:textId="77777777" w:rsidR="003B20C1" w:rsidRDefault="003B20C1" w:rsidP="003B20C1">
      <w:pPr>
        <w:rPr>
          <w:rFonts w:cs="Arial"/>
          <w:color w:val="000000" w:themeColor="text1"/>
          <w:sz w:val="20"/>
          <w:szCs w:val="20"/>
        </w:rPr>
      </w:pPr>
    </w:p>
    <w:p w14:paraId="6C7B1B4D" w14:textId="77777777" w:rsidR="003B20C1" w:rsidRDefault="003B20C1" w:rsidP="003B20C1">
      <w:pPr>
        <w:rPr>
          <w:rFonts w:cs="Arial"/>
          <w:color w:val="000000" w:themeColor="text1"/>
          <w:sz w:val="20"/>
          <w:szCs w:val="20"/>
        </w:rPr>
      </w:pPr>
      <w:r>
        <w:rPr>
          <w:rFonts w:cs="Arial"/>
          <w:color w:val="000000" w:themeColor="text1"/>
          <w:sz w:val="20"/>
          <w:szCs w:val="20"/>
        </w:rPr>
        <w:t>Trent Dougherty (Reg. No. 0079817)</w:t>
      </w:r>
    </w:p>
    <w:p w14:paraId="49D3458B" w14:textId="77777777" w:rsidR="003B20C1" w:rsidRDefault="003B20C1" w:rsidP="003B20C1">
      <w:pPr>
        <w:rPr>
          <w:rFonts w:cs="Arial"/>
          <w:color w:val="000000" w:themeColor="text1"/>
          <w:sz w:val="20"/>
          <w:szCs w:val="20"/>
        </w:rPr>
      </w:pPr>
      <w:r>
        <w:rPr>
          <w:rFonts w:cs="Arial"/>
          <w:color w:val="000000" w:themeColor="text1"/>
          <w:sz w:val="20"/>
          <w:szCs w:val="20"/>
        </w:rPr>
        <w:t>1145 Chesapeake Ave., Suite I</w:t>
      </w:r>
    </w:p>
    <w:p w14:paraId="491FC6FA" w14:textId="77777777" w:rsidR="003B20C1" w:rsidRDefault="003B20C1" w:rsidP="003B20C1">
      <w:pPr>
        <w:rPr>
          <w:rFonts w:cs="Arial"/>
          <w:color w:val="000000" w:themeColor="text1"/>
          <w:sz w:val="20"/>
          <w:szCs w:val="20"/>
        </w:rPr>
      </w:pPr>
      <w:r>
        <w:rPr>
          <w:rFonts w:cs="Arial"/>
          <w:color w:val="000000" w:themeColor="text1"/>
          <w:sz w:val="20"/>
          <w:szCs w:val="20"/>
        </w:rPr>
        <w:t>Columbus, OH  43212-3449</w:t>
      </w:r>
    </w:p>
    <w:p w14:paraId="63214AB9" w14:textId="77777777" w:rsidR="003B20C1" w:rsidRDefault="00137313" w:rsidP="003B20C1">
      <w:pPr>
        <w:rPr>
          <w:rFonts w:cs="Arial"/>
          <w:color w:val="000000" w:themeColor="text1"/>
          <w:sz w:val="20"/>
          <w:szCs w:val="20"/>
        </w:rPr>
      </w:pPr>
      <w:hyperlink r:id="rId40" w:history="1">
        <w:r w:rsidR="003B20C1" w:rsidRPr="00B44E1A">
          <w:rPr>
            <w:rStyle w:val="Hyperlink"/>
            <w:rFonts w:cs="Arial"/>
            <w:sz w:val="20"/>
            <w:szCs w:val="20"/>
          </w:rPr>
          <w:t>tdougherty@theOEC.org</w:t>
        </w:r>
      </w:hyperlink>
    </w:p>
    <w:p w14:paraId="0F3C7640" w14:textId="77777777" w:rsidR="003B20C1" w:rsidRDefault="003B20C1" w:rsidP="003B20C1">
      <w:pPr>
        <w:rPr>
          <w:rFonts w:cs="Arial"/>
          <w:color w:val="000000" w:themeColor="text1"/>
          <w:sz w:val="20"/>
          <w:szCs w:val="20"/>
        </w:rPr>
      </w:pPr>
    </w:p>
    <w:p w14:paraId="1D911CF7" w14:textId="77777777" w:rsidR="003B20C1" w:rsidRPr="00F70161" w:rsidRDefault="003B20C1" w:rsidP="003B20C1">
      <w:pPr>
        <w:rPr>
          <w:rFonts w:ascii="Arial Bold" w:hAnsi="Arial Bold" w:cs="Arial"/>
          <w:b/>
          <w:smallCaps/>
          <w:color w:val="000000" w:themeColor="text1"/>
          <w:sz w:val="20"/>
          <w:szCs w:val="20"/>
        </w:rPr>
      </w:pPr>
      <w:r w:rsidRPr="00F70161">
        <w:rPr>
          <w:rFonts w:ascii="Arial Bold" w:hAnsi="Arial Bold" w:cs="Arial"/>
          <w:b/>
          <w:smallCaps/>
          <w:color w:val="000000" w:themeColor="text1"/>
          <w:sz w:val="20"/>
          <w:szCs w:val="20"/>
        </w:rPr>
        <w:t>Counsel for the Ohio Environmental Council and Environmental Defense Fund</w:t>
      </w:r>
    </w:p>
    <w:p w14:paraId="6310ED8B" w14:textId="77777777" w:rsidR="003B20C1" w:rsidRDefault="003B20C1" w:rsidP="003B20C1">
      <w:pPr>
        <w:rPr>
          <w:rFonts w:cs="Arial"/>
          <w:color w:val="000000" w:themeColor="text1"/>
          <w:sz w:val="20"/>
          <w:szCs w:val="20"/>
        </w:rPr>
      </w:pPr>
    </w:p>
    <w:p w14:paraId="1B75E815" w14:textId="77777777" w:rsidR="003B20C1" w:rsidRDefault="003B20C1" w:rsidP="003B20C1">
      <w:pPr>
        <w:rPr>
          <w:rFonts w:cs="Arial"/>
          <w:color w:val="000000" w:themeColor="text1"/>
          <w:sz w:val="20"/>
          <w:szCs w:val="20"/>
        </w:rPr>
      </w:pPr>
      <w:r>
        <w:rPr>
          <w:rFonts w:cs="Arial"/>
          <w:color w:val="000000" w:themeColor="text1"/>
          <w:sz w:val="20"/>
          <w:szCs w:val="20"/>
        </w:rPr>
        <w:t>Joel E. Sechler (Reg. No. 0076320)</w:t>
      </w:r>
    </w:p>
    <w:p w14:paraId="15552767" w14:textId="77777777" w:rsidR="003B20C1" w:rsidRDefault="003B20C1" w:rsidP="003B20C1">
      <w:pPr>
        <w:rPr>
          <w:rFonts w:cs="Arial"/>
          <w:color w:val="000000" w:themeColor="text1"/>
          <w:sz w:val="20"/>
          <w:szCs w:val="20"/>
        </w:rPr>
      </w:pPr>
      <w:r>
        <w:rPr>
          <w:rFonts w:cs="Arial"/>
          <w:color w:val="000000" w:themeColor="text1"/>
          <w:sz w:val="20"/>
          <w:szCs w:val="20"/>
        </w:rPr>
        <w:t>Carpenter Lipps &amp; Leland LLP</w:t>
      </w:r>
    </w:p>
    <w:p w14:paraId="7ED54F9D" w14:textId="77777777" w:rsidR="003B20C1" w:rsidRDefault="003B20C1" w:rsidP="003B20C1">
      <w:pPr>
        <w:rPr>
          <w:rFonts w:cs="Arial"/>
          <w:color w:val="000000" w:themeColor="text1"/>
          <w:sz w:val="20"/>
          <w:szCs w:val="20"/>
        </w:rPr>
      </w:pPr>
      <w:r>
        <w:rPr>
          <w:rFonts w:cs="Arial"/>
          <w:color w:val="000000" w:themeColor="text1"/>
          <w:sz w:val="20"/>
          <w:szCs w:val="20"/>
        </w:rPr>
        <w:t>280 North High Street, Suite 1300</w:t>
      </w:r>
    </w:p>
    <w:p w14:paraId="585C38E3"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64FF4A3C" w14:textId="77777777" w:rsidR="003B20C1" w:rsidRDefault="00137313" w:rsidP="003B20C1">
      <w:pPr>
        <w:rPr>
          <w:rFonts w:cs="Arial"/>
          <w:color w:val="000000" w:themeColor="text1"/>
          <w:sz w:val="20"/>
          <w:szCs w:val="20"/>
        </w:rPr>
      </w:pPr>
      <w:hyperlink r:id="rId41" w:history="1">
        <w:r w:rsidR="003B20C1" w:rsidRPr="00B44E1A">
          <w:rPr>
            <w:rStyle w:val="Hyperlink"/>
            <w:rFonts w:cs="Arial"/>
            <w:sz w:val="20"/>
            <w:szCs w:val="20"/>
          </w:rPr>
          <w:t>Sechler@carpenterlipps.com</w:t>
        </w:r>
      </w:hyperlink>
    </w:p>
    <w:p w14:paraId="30CFBD9C" w14:textId="77777777" w:rsidR="003B20C1" w:rsidRDefault="003B20C1" w:rsidP="003B20C1">
      <w:pPr>
        <w:rPr>
          <w:rFonts w:cs="Arial"/>
          <w:color w:val="000000" w:themeColor="text1"/>
          <w:sz w:val="20"/>
          <w:szCs w:val="20"/>
        </w:rPr>
      </w:pPr>
    </w:p>
    <w:p w14:paraId="2CA9CD09" w14:textId="77777777" w:rsidR="003B20C1" w:rsidRDefault="003B20C1" w:rsidP="003B20C1">
      <w:pPr>
        <w:rPr>
          <w:rFonts w:cs="Arial"/>
          <w:color w:val="000000" w:themeColor="text1"/>
          <w:sz w:val="20"/>
          <w:szCs w:val="20"/>
        </w:rPr>
      </w:pPr>
      <w:r>
        <w:rPr>
          <w:rFonts w:cs="Arial"/>
          <w:color w:val="000000" w:themeColor="text1"/>
          <w:sz w:val="20"/>
          <w:szCs w:val="20"/>
        </w:rPr>
        <w:t>Gregory J. Poulos (Reg. No. 0070532)</w:t>
      </w:r>
    </w:p>
    <w:p w14:paraId="092B9110" w14:textId="77777777" w:rsidR="003B20C1" w:rsidRDefault="003B20C1" w:rsidP="003B20C1">
      <w:pPr>
        <w:rPr>
          <w:rFonts w:cs="Arial"/>
          <w:color w:val="000000" w:themeColor="text1"/>
          <w:sz w:val="20"/>
          <w:szCs w:val="20"/>
        </w:rPr>
      </w:pPr>
      <w:r>
        <w:rPr>
          <w:rFonts w:cs="Arial"/>
          <w:color w:val="000000" w:themeColor="text1"/>
          <w:sz w:val="20"/>
          <w:szCs w:val="20"/>
        </w:rPr>
        <w:t>EnerNOC, Inc.</w:t>
      </w:r>
    </w:p>
    <w:p w14:paraId="6768CE87" w14:textId="77777777" w:rsidR="003B20C1" w:rsidRDefault="003B20C1" w:rsidP="003B20C1">
      <w:pPr>
        <w:rPr>
          <w:rFonts w:cs="Arial"/>
          <w:color w:val="000000" w:themeColor="text1"/>
          <w:sz w:val="20"/>
          <w:szCs w:val="20"/>
        </w:rPr>
      </w:pPr>
      <w:r>
        <w:rPr>
          <w:rFonts w:cs="Arial"/>
          <w:color w:val="000000" w:themeColor="text1"/>
          <w:sz w:val="20"/>
          <w:szCs w:val="20"/>
        </w:rPr>
        <w:t>PO Box 29492</w:t>
      </w:r>
    </w:p>
    <w:p w14:paraId="3AC80854" w14:textId="77777777" w:rsidR="003B20C1" w:rsidRDefault="003B20C1" w:rsidP="003B20C1">
      <w:pPr>
        <w:rPr>
          <w:rFonts w:cs="Arial"/>
          <w:color w:val="000000" w:themeColor="text1"/>
          <w:sz w:val="20"/>
          <w:szCs w:val="20"/>
        </w:rPr>
      </w:pPr>
      <w:r>
        <w:rPr>
          <w:rFonts w:cs="Arial"/>
          <w:color w:val="000000" w:themeColor="text1"/>
          <w:sz w:val="20"/>
          <w:szCs w:val="20"/>
        </w:rPr>
        <w:t>Columbus, OH  43229</w:t>
      </w:r>
    </w:p>
    <w:p w14:paraId="26F45EF3" w14:textId="77777777" w:rsidR="003B20C1" w:rsidRDefault="00137313" w:rsidP="003B20C1">
      <w:pPr>
        <w:rPr>
          <w:rFonts w:cs="Arial"/>
          <w:color w:val="000000" w:themeColor="text1"/>
          <w:sz w:val="20"/>
          <w:szCs w:val="20"/>
        </w:rPr>
      </w:pPr>
      <w:hyperlink r:id="rId42" w:history="1">
        <w:r w:rsidR="003B20C1" w:rsidRPr="00B44E1A">
          <w:rPr>
            <w:rStyle w:val="Hyperlink"/>
            <w:rFonts w:cs="Arial"/>
            <w:sz w:val="20"/>
            <w:szCs w:val="20"/>
          </w:rPr>
          <w:t>gpoulos@enernoc.com</w:t>
        </w:r>
      </w:hyperlink>
    </w:p>
    <w:p w14:paraId="07EB615A" w14:textId="77777777" w:rsidR="003B20C1" w:rsidRDefault="003B20C1" w:rsidP="003B20C1">
      <w:pPr>
        <w:rPr>
          <w:rFonts w:cs="Arial"/>
          <w:color w:val="000000" w:themeColor="text1"/>
          <w:sz w:val="20"/>
          <w:szCs w:val="20"/>
        </w:rPr>
      </w:pPr>
    </w:p>
    <w:p w14:paraId="6C0281B3" w14:textId="77777777" w:rsidR="003B20C1" w:rsidRPr="009F68EB" w:rsidRDefault="003B20C1" w:rsidP="003B20C1">
      <w:pPr>
        <w:rPr>
          <w:rFonts w:ascii="Arial Bold" w:hAnsi="Arial Bold" w:cs="Arial"/>
          <w:b/>
          <w:smallCaps/>
          <w:color w:val="000000" w:themeColor="text1"/>
          <w:sz w:val="20"/>
          <w:szCs w:val="20"/>
        </w:rPr>
      </w:pPr>
      <w:r w:rsidRPr="009F68EB">
        <w:rPr>
          <w:rFonts w:ascii="Arial Bold" w:hAnsi="Arial Bold" w:cs="Arial"/>
          <w:b/>
          <w:smallCaps/>
          <w:color w:val="000000" w:themeColor="text1"/>
          <w:sz w:val="20"/>
          <w:szCs w:val="20"/>
        </w:rPr>
        <w:t>Counsel for EnerNOC, Inc.</w:t>
      </w:r>
    </w:p>
    <w:p w14:paraId="37369F39" w14:textId="77777777" w:rsidR="003B20C1" w:rsidRDefault="003B20C1" w:rsidP="003B20C1">
      <w:pPr>
        <w:rPr>
          <w:rFonts w:cs="Arial"/>
          <w:color w:val="000000" w:themeColor="text1"/>
          <w:sz w:val="20"/>
          <w:szCs w:val="20"/>
        </w:rPr>
      </w:pPr>
    </w:p>
    <w:p w14:paraId="4587167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L. Sites</w:t>
      </w:r>
    </w:p>
    <w:p w14:paraId="6A759504"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Regulatory Counsel</w:t>
      </w:r>
    </w:p>
    <w:p w14:paraId="3BE2A6BA"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Ohio Hospital Association</w:t>
      </w:r>
    </w:p>
    <w:p w14:paraId="0122F31C"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155 East Broad Street, 3</w:t>
      </w:r>
      <w:r w:rsidRPr="00D97064">
        <w:rPr>
          <w:rFonts w:eastAsia="Calibri" w:cs="Arial"/>
          <w:color w:val="000000" w:themeColor="text1"/>
          <w:sz w:val="20"/>
          <w:szCs w:val="20"/>
          <w:vertAlign w:val="superscript"/>
        </w:rPr>
        <w:t>rd</w:t>
      </w:r>
      <w:r>
        <w:rPr>
          <w:rFonts w:eastAsia="Calibri" w:cs="Arial"/>
          <w:color w:val="000000" w:themeColor="text1"/>
          <w:sz w:val="20"/>
          <w:szCs w:val="20"/>
        </w:rPr>
        <w:t xml:space="preserve"> Floor</w:t>
      </w:r>
    </w:p>
    <w:p w14:paraId="34D51BDD"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43215-3620</w:t>
      </w:r>
    </w:p>
    <w:p w14:paraId="6E9ACAF2" w14:textId="77777777" w:rsidR="003B20C1" w:rsidRDefault="00137313" w:rsidP="003B20C1">
      <w:pPr>
        <w:rPr>
          <w:rFonts w:eastAsia="Calibri" w:cs="Arial"/>
          <w:color w:val="000000" w:themeColor="text1"/>
          <w:sz w:val="20"/>
          <w:szCs w:val="20"/>
        </w:rPr>
      </w:pPr>
      <w:hyperlink r:id="rId43" w:history="1">
        <w:r w:rsidR="003B20C1" w:rsidRPr="0097004A">
          <w:rPr>
            <w:rStyle w:val="Hyperlink"/>
            <w:rFonts w:eastAsia="Calibri" w:cs="Arial"/>
            <w:sz w:val="20"/>
            <w:szCs w:val="20"/>
          </w:rPr>
          <w:t>rick.sites@ohiohospitals.org</w:t>
        </w:r>
      </w:hyperlink>
    </w:p>
    <w:p w14:paraId="43688D34" w14:textId="77777777" w:rsidR="003B20C1" w:rsidRDefault="003B20C1" w:rsidP="003B20C1">
      <w:pPr>
        <w:rPr>
          <w:rFonts w:eastAsia="Calibri" w:cs="Arial"/>
          <w:color w:val="000000" w:themeColor="text1"/>
          <w:sz w:val="20"/>
          <w:szCs w:val="20"/>
        </w:rPr>
      </w:pPr>
    </w:p>
    <w:p w14:paraId="1CFDD9B0"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br w:type="page"/>
      </w:r>
    </w:p>
    <w:p w14:paraId="5194E79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lastRenderedPageBreak/>
        <w:t>Matthew Warnock</w:t>
      </w:r>
    </w:p>
    <w:p w14:paraId="58855D9A"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Dylan Borchers</w:t>
      </w:r>
    </w:p>
    <w:p w14:paraId="0F64BD4E"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Bricker &amp; Eckler LLP</w:t>
      </w:r>
    </w:p>
    <w:p w14:paraId="26BF2371"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100 South Third Street</w:t>
      </w:r>
    </w:p>
    <w:p w14:paraId="0DBF722E"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43215-4291</w:t>
      </w:r>
    </w:p>
    <w:p w14:paraId="048C172C" w14:textId="77777777" w:rsidR="003B20C1" w:rsidRDefault="00137313" w:rsidP="003B20C1">
      <w:pPr>
        <w:rPr>
          <w:rFonts w:eastAsia="Calibri" w:cs="Arial"/>
          <w:color w:val="000000" w:themeColor="text1"/>
          <w:sz w:val="20"/>
          <w:szCs w:val="20"/>
        </w:rPr>
      </w:pPr>
      <w:hyperlink r:id="rId44" w:history="1">
        <w:r w:rsidR="003B20C1" w:rsidRPr="009737CB">
          <w:rPr>
            <w:rStyle w:val="Hyperlink"/>
            <w:rFonts w:eastAsia="Calibri" w:cs="Arial"/>
            <w:sz w:val="20"/>
            <w:szCs w:val="20"/>
          </w:rPr>
          <w:t>mwarnock@bricker.com</w:t>
        </w:r>
      </w:hyperlink>
    </w:p>
    <w:p w14:paraId="0D6198E7" w14:textId="77777777" w:rsidR="003B20C1" w:rsidRDefault="00137313" w:rsidP="003B20C1">
      <w:pPr>
        <w:rPr>
          <w:rFonts w:eastAsia="Calibri" w:cs="Arial"/>
          <w:color w:val="000000" w:themeColor="text1"/>
          <w:sz w:val="20"/>
          <w:szCs w:val="20"/>
        </w:rPr>
      </w:pPr>
      <w:hyperlink r:id="rId45" w:history="1">
        <w:r w:rsidR="003B20C1" w:rsidRPr="0039231B">
          <w:rPr>
            <w:rStyle w:val="Hyperlink"/>
            <w:rFonts w:eastAsia="Calibri" w:cs="Arial"/>
            <w:sz w:val="20"/>
            <w:szCs w:val="20"/>
          </w:rPr>
          <w:t>dborchers@bricker.com</w:t>
        </w:r>
      </w:hyperlink>
    </w:p>
    <w:p w14:paraId="743385F2" w14:textId="77777777" w:rsidR="003B20C1" w:rsidRDefault="003B20C1" w:rsidP="003B20C1">
      <w:pPr>
        <w:rPr>
          <w:rFonts w:eastAsia="Calibri" w:cs="Arial"/>
          <w:color w:val="000000" w:themeColor="text1"/>
          <w:sz w:val="20"/>
          <w:szCs w:val="20"/>
        </w:rPr>
      </w:pPr>
    </w:p>
    <w:p w14:paraId="77A67F4F" w14:textId="77777777" w:rsidR="003B20C1" w:rsidRDefault="003B20C1" w:rsidP="003B20C1">
      <w:pPr>
        <w:rPr>
          <w:rFonts w:ascii="Arial Bold" w:eastAsia="Calibri" w:hAnsi="Arial Bold" w:cs="Arial"/>
          <w:b/>
          <w:smallCaps/>
          <w:color w:val="000000" w:themeColor="text1"/>
          <w:sz w:val="20"/>
          <w:szCs w:val="20"/>
        </w:rPr>
      </w:pPr>
      <w:r w:rsidRPr="006B6B15">
        <w:rPr>
          <w:rFonts w:ascii="Arial Bold" w:eastAsia="Calibri" w:hAnsi="Arial Bold" w:cs="Arial"/>
          <w:b/>
          <w:smallCaps/>
          <w:color w:val="000000" w:themeColor="text1"/>
          <w:sz w:val="20"/>
          <w:szCs w:val="20"/>
        </w:rPr>
        <w:t>Counsel for The Ohio Hospital Association</w:t>
      </w:r>
    </w:p>
    <w:p w14:paraId="496EF734" w14:textId="77777777" w:rsidR="003B20C1" w:rsidRDefault="003B20C1" w:rsidP="003B20C1">
      <w:pPr>
        <w:rPr>
          <w:rFonts w:ascii="Arial Bold" w:eastAsia="Calibri" w:hAnsi="Arial Bold" w:cs="Arial"/>
          <w:b/>
          <w:smallCaps/>
          <w:color w:val="000000" w:themeColor="text1"/>
          <w:sz w:val="20"/>
          <w:szCs w:val="20"/>
        </w:rPr>
      </w:pPr>
    </w:p>
    <w:p w14:paraId="410E6952"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C. Sahli (Reg. No. 0007360)</w:t>
      </w:r>
    </w:p>
    <w:p w14:paraId="60EB4A0D"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Richard Sahli Law Office, LLC</w:t>
      </w:r>
    </w:p>
    <w:p w14:paraId="3D84B7B4"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981 Pinewood Lane</w:t>
      </w:r>
    </w:p>
    <w:p w14:paraId="27884C35"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43230-3662</w:t>
      </w:r>
    </w:p>
    <w:p w14:paraId="32E06299" w14:textId="77777777" w:rsidR="003B20C1" w:rsidRDefault="00137313" w:rsidP="003B20C1">
      <w:pPr>
        <w:rPr>
          <w:rFonts w:eastAsia="Calibri" w:cs="Arial"/>
          <w:color w:val="000000" w:themeColor="text1"/>
          <w:sz w:val="20"/>
          <w:szCs w:val="20"/>
        </w:rPr>
      </w:pPr>
      <w:hyperlink r:id="rId46" w:history="1">
        <w:r w:rsidR="003B20C1" w:rsidRPr="0097004A">
          <w:rPr>
            <w:rStyle w:val="Hyperlink"/>
            <w:rFonts w:eastAsia="Calibri" w:cs="Arial"/>
            <w:sz w:val="20"/>
            <w:szCs w:val="20"/>
          </w:rPr>
          <w:t>rsahli@columbus.rr.com</w:t>
        </w:r>
      </w:hyperlink>
    </w:p>
    <w:p w14:paraId="65335D26" w14:textId="77777777" w:rsidR="003B20C1" w:rsidRDefault="003B20C1" w:rsidP="003B20C1">
      <w:pPr>
        <w:rPr>
          <w:rFonts w:eastAsia="Calibri" w:cs="Arial"/>
          <w:color w:val="000000" w:themeColor="text1"/>
          <w:sz w:val="20"/>
          <w:szCs w:val="20"/>
        </w:rPr>
      </w:pPr>
    </w:p>
    <w:p w14:paraId="7E89654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Tony Mendoza</w:t>
      </w:r>
    </w:p>
    <w:p w14:paraId="77FF32E6"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Sierra Club Environmental Law Program</w:t>
      </w:r>
    </w:p>
    <w:p w14:paraId="1450A728"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2101 Webster St., 13</w:t>
      </w:r>
      <w:r w:rsidRPr="001E27D0">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14:paraId="752957E9"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Oakland, CA  94612</w:t>
      </w:r>
    </w:p>
    <w:p w14:paraId="4E1E7031" w14:textId="77777777" w:rsidR="003B20C1" w:rsidRDefault="00137313" w:rsidP="003B20C1">
      <w:pPr>
        <w:rPr>
          <w:rFonts w:eastAsia="Calibri" w:cs="Arial"/>
          <w:color w:val="000000" w:themeColor="text1"/>
          <w:sz w:val="20"/>
          <w:szCs w:val="20"/>
        </w:rPr>
      </w:pPr>
      <w:hyperlink r:id="rId47" w:history="1">
        <w:r w:rsidR="003B20C1" w:rsidRPr="0023352E">
          <w:rPr>
            <w:rStyle w:val="Hyperlink"/>
            <w:rFonts w:eastAsia="Calibri" w:cs="Arial"/>
            <w:sz w:val="20"/>
            <w:szCs w:val="20"/>
          </w:rPr>
          <w:t>Tony.mendoza@sierraclub.org</w:t>
        </w:r>
      </w:hyperlink>
    </w:p>
    <w:p w14:paraId="00C2ED08" w14:textId="77777777" w:rsidR="003B20C1" w:rsidRDefault="003B20C1" w:rsidP="003B20C1">
      <w:pPr>
        <w:rPr>
          <w:rFonts w:eastAsia="Calibri" w:cs="Arial"/>
          <w:color w:val="000000" w:themeColor="text1"/>
          <w:sz w:val="20"/>
          <w:szCs w:val="20"/>
        </w:rPr>
      </w:pPr>
    </w:p>
    <w:p w14:paraId="510C0E97" w14:textId="77777777" w:rsidR="003B20C1" w:rsidRDefault="003B20C1" w:rsidP="003B20C1">
      <w:pPr>
        <w:rPr>
          <w:rFonts w:ascii="Arial Bold" w:eastAsia="Calibri" w:hAnsi="Arial Bold" w:cs="Arial"/>
          <w:b/>
          <w:smallCaps/>
          <w:color w:val="000000" w:themeColor="text1"/>
          <w:sz w:val="20"/>
          <w:szCs w:val="20"/>
        </w:rPr>
      </w:pPr>
      <w:r w:rsidRPr="00866040">
        <w:rPr>
          <w:rFonts w:ascii="Arial Bold" w:eastAsia="Calibri" w:hAnsi="Arial Bold" w:cs="Arial"/>
          <w:b/>
          <w:smallCaps/>
          <w:color w:val="000000" w:themeColor="text1"/>
          <w:sz w:val="20"/>
          <w:szCs w:val="20"/>
        </w:rPr>
        <w:t>Counsel for Sierra Club</w:t>
      </w:r>
    </w:p>
    <w:p w14:paraId="5698AA05" w14:textId="77777777" w:rsidR="003B20C1" w:rsidRDefault="003B20C1" w:rsidP="003B20C1">
      <w:pPr>
        <w:rPr>
          <w:rFonts w:ascii="Arial Bold" w:eastAsia="Calibri" w:hAnsi="Arial Bold" w:cs="Arial"/>
          <w:b/>
          <w:smallCaps/>
          <w:color w:val="000000" w:themeColor="text1"/>
          <w:sz w:val="20"/>
          <w:szCs w:val="20"/>
        </w:rPr>
      </w:pPr>
    </w:p>
    <w:p w14:paraId="39BF6E1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Steven D. Lesser (Reg. No. 0020242)</w:t>
      </w:r>
    </w:p>
    <w:p w14:paraId="7FEF2DE3"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James F. Lang (Reg. No. 0059668)</w:t>
      </w:r>
    </w:p>
    <w:p w14:paraId="15C04CE3"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N. Trevor Alexander (Reg. No. 0080713)</w:t>
      </w:r>
    </w:p>
    <w:p w14:paraId="0D5257D7"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Calfee, Halter &amp; Griswold LLP</w:t>
      </w:r>
    </w:p>
    <w:p w14:paraId="2B008F80"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41 S. High St.</w:t>
      </w:r>
    </w:p>
    <w:p w14:paraId="4F8DE469"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1200 Huntington Center</w:t>
      </w:r>
    </w:p>
    <w:p w14:paraId="118071DB" w14:textId="77777777" w:rsidR="003B20C1" w:rsidRDefault="003B20C1" w:rsidP="003B20C1">
      <w:pPr>
        <w:rPr>
          <w:rFonts w:eastAsia="Calibri" w:cs="Arial"/>
          <w:color w:val="000000" w:themeColor="text1"/>
          <w:sz w:val="20"/>
          <w:szCs w:val="20"/>
        </w:rPr>
      </w:pPr>
      <w:r>
        <w:rPr>
          <w:rFonts w:eastAsia="Calibri" w:cs="Arial"/>
          <w:color w:val="000000" w:themeColor="text1"/>
          <w:sz w:val="20"/>
          <w:szCs w:val="20"/>
        </w:rPr>
        <w:t>Columbus, OH  43215</w:t>
      </w:r>
    </w:p>
    <w:p w14:paraId="079C8CA5" w14:textId="77777777" w:rsidR="003B20C1" w:rsidRDefault="00137313" w:rsidP="003B20C1">
      <w:pPr>
        <w:rPr>
          <w:rFonts w:eastAsia="Calibri" w:cs="Arial"/>
          <w:color w:val="000000" w:themeColor="text1"/>
          <w:sz w:val="20"/>
          <w:szCs w:val="20"/>
        </w:rPr>
      </w:pPr>
      <w:hyperlink r:id="rId48" w:history="1">
        <w:r w:rsidR="003B20C1" w:rsidRPr="0097004A">
          <w:rPr>
            <w:rStyle w:val="Hyperlink"/>
            <w:rFonts w:eastAsia="Calibri" w:cs="Arial"/>
            <w:sz w:val="20"/>
            <w:szCs w:val="20"/>
          </w:rPr>
          <w:t>slesser@calfee.com</w:t>
        </w:r>
      </w:hyperlink>
    </w:p>
    <w:p w14:paraId="1BCC3E41" w14:textId="77777777" w:rsidR="003B20C1" w:rsidRDefault="00137313" w:rsidP="003B20C1">
      <w:pPr>
        <w:rPr>
          <w:rFonts w:eastAsia="Calibri" w:cs="Arial"/>
          <w:color w:val="000000" w:themeColor="text1"/>
          <w:sz w:val="20"/>
          <w:szCs w:val="20"/>
        </w:rPr>
      </w:pPr>
      <w:hyperlink r:id="rId49" w:history="1">
        <w:r w:rsidR="003B20C1" w:rsidRPr="0097004A">
          <w:rPr>
            <w:rStyle w:val="Hyperlink"/>
            <w:rFonts w:eastAsia="Calibri" w:cs="Arial"/>
            <w:sz w:val="20"/>
            <w:szCs w:val="20"/>
          </w:rPr>
          <w:t>jlang@calfee.com</w:t>
        </w:r>
      </w:hyperlink>
    </w:p>
    <w:p w14:paraId="057D12D1" w14:textId="77777777" w:rsidR="003B20C1" w:rsidRDefault="00137313" w:rsidP="003B20C1">
      <w:pPr>
        <w:rPr>
          <w:rFonts w:eastAsia="Calibri" w:cs="Arial"/>
          <w:color w:val="000000" w:themeColor="text1"/>
          <w:sz w:val="20"/>
          <w:szCs w:val="20"/>
        </w:rPr>
      </w:pPr>
      <w:hyperlink r:id="rId50" w:history="1">
        <w:r w:rsidR="003B20C1" w:rsidRPr="0097004A">
          <w:rPr>
            <w:rStyle w:val="Hyperlink"/>
            <w:rFonts w:eastAsia="Calibri" w:cs="Arial"/>
            <w:sz w:val="20"/>
            <w:szCs w:val="20"/>
          </w:rPr>
          <w:t>talexander@calfee.com</w:t>
        </w:r>
      </w:hyperlink>
    </w:p>
    <w:p w14:paraId="2A478F2E" w14:textId="77777777" w:rsidR="003B20C1" w:rsidRDefault="003B20C1" w:rsidP="003B20C1">
      <w:pPr>
        <w:rPr>
          <w:rFonts w:eastAsia="Calibri" w:cs="Arial"/>
          <w:color w:val="000000" w:themeColor="text1"/>
          <w:sz w:val="20"/>
          <w:szCs w:val="20"/>
        </w:rPr>
      </w:pPr>
    </w:p>
    <w:p w14:paraId="164C947B" w14:textId="77777777" w:rsidR="003B20C1" w:rsidRDefault="003B20C1" w:rsidP="003B20C1">
      <w:pPr>
        <w:rPr>
          <w:rFonts w:ascii="Arial Bold" w:eastAsia="Calibri" w:hAnsi="Arial Bold" w:cs="Arial"/>
          <w:b/>
          <w:smallCaps/>
          <w:color w:val="000000" w:themeColor="text1"/>
          <w:sz w:val="20"/>
          <w:szCs w:val="20"/>
        </w:rPr>
      </w:pPr>
      <w:r w:rsidRPr="00B65B7B">
        <w:rPr>
          <w:rFonts w:ascii="Arial Bold" w:eastAsia="Calibri" w:hAnsi="Arial Bold" w:cs="Arial"/>
          <w:b/>
          <w:smallCaps/>
          <w:color w:val="000000" w:themeColor="text1"/>
          <w:sz w:val="20"/>
          <w:szCs w:val="20"/>
        </w:rPr>
        <w:t>Counsel for the City of Dayton</w:t>
      </w:r>
      <w:r>
        <w:rPr>
          <w:rFonts w:ascii="Arial Bold" w:eastAsia="Calibri" w:hAnsi="Arial Bold" w:cs="Arial"/>
          <w:b/>
          <w:smallCaps/>
          <w:color w:val="000000" w:themeColor="text1"/>
          <w:sz w:val="20"/>
          <w:szCs w:val="20"/>
        </w:rPr>
        <w:t xml:space="preserve"> and Honda of America Mfg., Inc.</w:t>
      </w:r>
    </w:p>
    <w:p w14:paraId="12E8F213" w14:textId="77777777" w:rsidR="003B20C1" w:rsidRDefault="003B20C1" w:rsidP="003B20C1">
      <w:pPr>
        <w:rPr>
          <w:rFonts w:ascii="Arial Bold" w:eastAsia="Calibri" w:hAnsi="Arial Bold" w:cs="Arial"/>
          <w:b/>
          <w:smallCaps/>
          <w:color w:val="000000" w:themeColor="text1"/>
          <w:sz w:val="20"/>
          <w:szCs w:val="20"/>
        </w:rPr>
      </w:pPr>
    </w:p>
    <w:p w14:paraId="0D9B9002" w14:textId="77777777" w:rsidR="003B20C1" w:rsidRDefault="003B20C1" w:rsidP="003B20C1">
      <w:pPr>
        <w:rPr>
          <w:rFonts w:cs="Arial"/>
          <w:color w:val="000000" w:themeColor="text1"/>
          <w:sz w:val="20"/>
          <w:szCs w:val="20"/>
        </w:rPr>
      </w:pPr>
      <w:r>
        <w:rPr>
          <w:rFonts w:cs="Arial"/>
          <w:color w:val="000000" w:themeColor="text1"/>
          <w:sz w:val="20"/>
          <w:szCs w:val="20"/>
        </w:rPr>
        <w:t>Amy B. Spiller (Reg. No. 0047277</w:t>
      </w:r>
    </w:p>
    <w:p w14:paraId="23F04CAF" w14:textId="77777777" w:rsidR="003B20C1" w:rsidRDefault="003B20C1" w:rsidP="003B20C1">
      <w:pPr>
        <w:rPr>
          <w:rFonts w:cs="Arial"/>
          <w:color w:val="000000" w:themeColor="text1"/>
          <w:sz w:val="20"/>
          <w:szCs w:val="20"/>
        </w:rPr>
      </w:pPr>
      <w:r>
        <w:rPr>
          <w:rFonts w:cs="Arial"/>
          <w:color w:val="000000" w:themeColor="text1"/>
          <w:sz w:val="20"/>
          <w:szCs w:val="20"/>
        </w:rPr>
        <w:t>Elizabeth H. Watts (Reg. No. 0031092)</w:t>
      </w:r>
    </w:p>
    <w:p w14:paraId="54BA92A4" w14:textId="77777777" w:rsidR="003B20C1" w:rsidRDefault="003B20C1" w:rsidP="003B20C1">
      <w:pPr>
        <w:rPr>
          <w:rFonts w:cs="Arial"/>
          <w:color w:val="000000" w:themeColor="text1"/>
          <w:sz w:val="20"/>
          <w:szCs w:val="20"/>
        </w:rPr>
      </w:pPr>
      <w:r>
        <w:rPr>
          <w:rFonts w:cs="Arial"/>
          <w:color w:val="000000" w:themeColor="text1"/>
          <w:sz w:val="20"/>
          <w:szCs w:val="20"/>
        </w:rPr>
        <w:t>139 East Fourth Street</w:t>
      </w:r>
    </w:p>
    <w:p w14:paraId="149878D8" w14:textId="77777777" w:rsidR="003B20C1" w:rsidRDefault="003B20C1" w:rsidP="003B20C1">
      <w:pPr>
        <w:rPr>
          <w:rFonts w:cs="Arial"/>
          <w:color w:val="000000" w:themeColor="text1"/>
          <w:sz w:val="20"/>
          <w:szCs w:val="20"/>
        </w:rPr>
      </w:pPr>
      <w:r>
        <w:rPr>
          <w:rFonts w:cs="Arial"/>
          <w:color w:val="000000" w:themeColor="text1"/>
          <w:sz w:val="20"/>
          <w:szCs w:val="20"/>
        </w:rPr>
        <w:t>1303-Main</w:t>
      </w:r>
    </w:p>
    <w:p w14:paraId="3860B316" w14:textId="77777777" w:rsidR="003B20C1" w:rsidRDefault="003B20C1" w:rsidP="003B20C1">
      <w:pPr>
        <w:rPr>
          <w:rFonts w:cs="Arial"/>
          <w:color w:val="000000" w:themeColor="text1"/>
          <w:sz w:val="20"/>
          <w:szCs w:val="20"/>
        </w:rPr>
      </w:pPr>
      <w:r>
        <w:rPr>
          <w:rFonts w:cs="Arial"/>
          <w:color w:val="000000" w:themeColor="text1"/>
          <w:sz w:val="20"/>
          <w:szCs w:val="20"/>
        </w:rPr>
        <w:t>Cincinnati, OH  45202</w:t>
      </w:r>
    </w:p>
    <w:p w14:paraId="70C32ACE" w14:textId="77777777" w:rsidR="003B20C1" w:rsidRDefault="003B20C1" w:rsidP="003B20C1">
      <w:pPr>
        <w:rPr>
          <w:rFonts w:cs="Arial"/>
          <w:color w:val="000000" w:themeColor="text1"/>
          <w:sz w:val="20"/>
          <w:szCs w:val="20"/>
        </w:rPr>
      </w:pPr>
    </w:p>
    <w:p w14:paraId="0A4E1C8C" w14:textId="77777777" w:rsidR="003B20C1" w:rsidRDefault="003B20C1" w:rsidP="003B20C1">
      <w:pPr>
        <w:rPr>
          <w:rFonts w:ascii="Arial Bold" w:eastAsia="Calibri" w:hAnsi="Arial Bold" w:cs="Arial"/>
          <w:b/>
          <w:smallCaps/>
          <w:color w:val="000000" w:themeColor="text1"/>
          <w:sz w:val="20"/>
          <w:szCs w:val="20"/>
        </w:rPr>
      </w:pPr>
      <w:r>
        <w:rPr>
          <w:rFonts w:ascii="Arial Bold" w:eastAsia="Calibri" w:hAnsi="Arial Bold" w:cs="Arial"/>
          <w:b/>
          <w:smallCaps/>
          <w:color w:val="000000" w:themeColor="text1"/>
          <w:sz w:val="20"/>
          <w:szCs w:val="20"/>
        </w:rPr>
        <w:t>Counsel for the Duke energy Ohio, Inc.</w:t>
      </w:r>
    </w:p>
    <w:p w14:paraId="71A9D623" w14:textId="77777777" w:rsidR="003B20C1" w:rsidRDefault="003B20C1" w:rsidP="003B20C1">
      <w:pPr>
        <w:rPr>
          <w:rFonts w:cs="Arial"/>
          <w:color w:val="000000" w:themeColor="text1"/>
          <w:sz w:val="20"/>
          <w:szCs w:val="20"/>
        </w:rPr>
      </w:pPr>
    </w:p>
    <w:p w14:paraId="1B88EE29"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Lisa Hawrot</w:t>
      </w:r>
    </w:p>
    <w:p w14:paraId="6F254EAB" w14:textId="77777777" w:rsidR="003B20C1" w:rsidRDefault="003B20C1" w:rsidP="003B20C1">
      <w:pPr>
        <w:rPr>
          <w:rFonts w:eastAsia="Calibri" w:cs="Arial"/>
          <w:color w:val="000000" w:themeColor="text1"/>
          <w:sz w:val="20"/>
          <w:szCs w:val="20"/>
        </w:rPr>
      </w:pPr>
      <w:r w:rsidRPr="000826DA">
        <w:rPr>
          <w:rFonts w:eastAsia="Calibri" w:cs="Arial"/>
          <w:color w:val="000000" w:themeColor="text1"/>
          <w:sz w:val="20"/>
          <w:szCs w:val="20"/>
        </w:rPr>
        <w:t>Spilman Thomas &amp; Battle, PLLC</w:t>
      </w:r>
    </w:p>
    <w:p w14:paraId="0547E3AC"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Century Centre Building</w:t>
      </w:r>
    </w:p>
    <w:p w14:paraId="31F5E02D"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1233 Main Street, Suite 4000</w:t>
      </w:r>
    </w:p>
    <w:p w14:paraId="40A5FC02" w14:textId="77777777" w:rsidR="003B20C1" w:rsidRPr="000826DA" w:rsidRDefault="003B20C1" w:rsidP="003B20C1">
      <w:pPr>
        <w:rPr>
          <w:rFonts w:eastAsia="Calibri" w:cs="Arial"/>
          <w:color w:val="000000" w:themeColor="text1"/>
          <w:sz w:val="20"/>
          <w:szCs w:val="20"/>
        </w:rPr>
      </w:pPr>
      <w:r w:rsidRPr="000826DA">
        <w:rPr>
          <w:rFonts w:eastAsia="Calibri" w:cs="Arial"/>
          <w:color w:val="000000" w:themeColor="text1"/>
          <w:sz w:val="20"/>
          <w:szCs w:val="20"/>
        </w:rPr>
        <w:t>Wheeling, WV 26003</w:t>
      </w:r>
    </w:p>
    <w:p w14:paraId="3AC1B484" w14:textId="77777777" w:rsidR="003B20C1" w:rsidRDefault="00137313" w:rsidP="003B20C1">
      <w:pPr>
        <w:rPr>
          <w:rFonts w:eastAsia="Calibri" w:cs="Arial"/>
          <w:color w:val="000000" w:themeColor="text1"/>
          <w:sz w:val="20"/>
          <w:szCs w:val="20"/>
        </w:rPr>
      </w:pPr>
      <w:hyperlink r:id="rId51" w:history="1">
        <w:r w:rsidR="003B20C1" w:rsidRPr="000826DA">
          <w:rPr>
            <w:rStyle w:val="Hyperlink"/>
            <w:rFonts w:eastAsia="Calibri" w:cs="Arial"/>
            <w:sz w:val="20"/>
            <w:szCs w:val="20"/>
          </w:rPr>
          <w:t>lhawrot@spilmanlaw.com</w:t>
        </w:r>
      </w:hyperlink>
    </w:p>
    <w:p w14:paraId="3436F2FC" w14:textId="77777777" w:rsidR="003B20C1" w:rsidRPr="00C8194F" w:rsidRDefault="003B20C1" w:rsidP="003B20C1">
      <w:pPr>
        <w:rPr>
          <w:rFonts w:ascii="Arial Bold" w:eastAsia="Calibri" w:hAnsi="Arial Bold" w:cs="Arial"/>
          <w:b/>
          <w:smallCaps/>
          <w:color w:val="000000" w:themeColor="text1"/>
          <w:sz w:val="20"/>
          <w:szCs w:val="20"/>
        </w:rPr>
      </w:pPr>
    </w:p>
    <w:p w14:paraId="3B148EE1"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Derrick Price Williamson</w:t>
      </w:r>
    </w:p>
    <w:p w14:paraId="1EBA25B5"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Spilman Thomas &amp; Battle, PLLC</w:t>
      </w:r>
    </w:p>
    <w:p w14:paraId="66454DAB" w14:textId="77777777" w:rsidR="003B20C1" w:rsidRPr="00593043" w:rsidRDefault="003B20C1" w:rsidP="003B20C1">
      <w:pPr>
        <w:rPr>
          <w:rFonts w:eastAsia="Calibri" w:cs="Arial"/>
          <w:color w:val="000000" w:themeColor="text1"/>
          <w:sz w:val="20"/>
          <w:szCs w:val="20"/>
        </w:rPr>
      </w:pPr>
      <w:r w:rsidRPr="00593043">
        <w:rPr>
          <w:rFonts w:eastAsia="Calibri" w:cs="Arial"/>
          <w:color w:val="000000" w:themeColor="text1"/>
          <w:sz w:val="20"/>
          <w:szCs w:val="20"/>
        </w:rPr>
        <w:t>1100 Bent Creek Blvd., Suite 101</w:t>
      </w:r>
    </w:p>
    <w:p w14:paraId="0BC18CD0" w14:textId="77777777" w:rsidR="003B20C1" w:rsidRDefault="003B20C1" w:rsidP="003B20C1">
      <w:pPr>
        <w:rPr>
          <w:rFonts w:cs="Arial"/>
          <w:color w:val="000000" w:themeColor="text1"/>
          <w:sz w:val="20"/>
          <w:szCs w:val="20"/>
        </w:rPr>
      </w:pPr>
      <w:r>
        <w:rPr>
          <w:rFonts w:cs="Arial"/>
          <w:color w:val="000000" w:themeColor="text1"/>
          <w:sz w:val="20"/>
          <w:szCs w:val="20"/>
        </w:rPr>
        <w:t>Mechanicsburg, PA  17050</w:t>
      </w:r>
    </w:p>
    <w:p w14:paraId="1B43CC6D" w14:textId="77777777" w:rsidR="003B20C1" w:rsidRDefault="00137313" w:rsidP="003B20C1">
      <w:pPr>
        <w:rPr>
          <w:rFonts w:cs="Arial"/>
          <w:color w:val="000000" w:themeColor="text1"/>
          <w:sz w:val="20"/>
          <w:szCs w:val="20"/>
        </w:rPr>
      </w:pPr>
      <w:hyperlink r:id="rId52" w:history="1">
        <w:r w:rsidR="003B20C1" w:rsidRPr="00F7330B">
          <w:rPr>
            <w:rStyle w:val="Hyperlink"/>
            <w:rFonts w:cs="Arial"/>
            <w:sz w:val="20"/>
            <w:szCs w:val="20"/>
          </w:rPr>
          <w:t>dwilliamson@spilmanlaw.com</w:t>
        </w:r>
      </w:hyperlink>
    </w:p>
    <w:p w14:paraId="1306224E" w14:textId="77777777" w:rsidR="003B20C1" w:rsidRDefault="003B20C1" w:rsidP="003B20C1">
      <w:pPr>
        <w:rPr>
          <w:rFonts w:cs="Arial"/>
          <w:color w:val="000000" w:themeColor="text1"/>
          <w:sz w:val="20"/>
          <w:szCs w:val="20"/>
        </w:rPr>
      </w:pPr>
    </w:p>
    <w:p w14:paraId="6D5EC05B" w14:textId="77777777" w:rsidR="003B20C1" w:rsidRDefault="003B20C1" w:rsidP="003B20C1">
      <w:pPr>
        <w:rPr>
          <w:rFonts w:cs="Arial"/>
          <w:color w:val="000000" w:themeColor="text1"/>
          <w:sz w:val="20"/>
          <w:szCs w:val="20"/>
        </w:rPr>
      </w:pPr>
      <w:r>
        <w:rPr>
          <w:rFonts w:cs="Arial"/>
          <w:color w:val="000000" w:themeColor="text1"/>
          <w:sz w:val="20"/>
          <w:szCs w:val="20"/>
        </w:rPr>
        <w:t>Carrie M. Harris</w:t>
      </w:r>
    </w:p>
    <w:p w14:paraId="670661D6" w14:textId="77777777" w:rsidR="003B20C1" w:rsidRDefault="003B20C1" w:rsidP="003B20C1">
      <w:pPr>
        <w:rPr>
          <w:rFonts w:cs="Arial"/>
          <w:color w:val="000000" w:themeColor="text1"/>
          <w:sz w:val="20"/>
          <w:szCs w:val="20"/>
        </w:rPr>
      </w:pPr>
      <w:r>
        <w:rPr>
          <w:rFonts w:cs="Arial"/>
          <w:color w:val="000000" w:themeColor="text1"/>
          <w:sz w:val="20"/>
          <w:szCs w:val="20"/>
        </w:rPr>
        <w:t>Spilman Thomas &amp; Battle, PLLC</w:t>
      </w:r>
    </w:p>
    <w:p w14:paraId="7AE43577" w14:textId="77777777" w:rsidR="003B20C1" w:rsidRDefault="003B20C1" w:rsidP="003B20C1">
      <w:pPr>
        <w:rPr>
          <w:rFonts w:cs="Arial"/>
          <w:color w:val="000000" w:themeColor="text1"/>
          <w:sz w:val="20"/>
          <w:szCs w:val="20"/>
        </w:rPr>
      </w:pPr>
      <w:r>
        <w:rPr>
          <w:rFonts w:cs="Arial"/>
          <w:color w:val="000000" w:themeColor="text1"/>
          <w:sz w:val="20"/>
          <w:szCs w:val="20"/>
        </w:rPr>
        <w:t>310 First Street, Suite 1100</w:t>
      </w:r>
    </w:p>
    <w:p w14:paraId="1FE4178F" w14:textId="77777777" w:rsidR="003B20C1" w:rsidRDefault="003B20C1" w:rsidP="003B20C1">
      <w:pPr>
        <w:rPr>
          <w:rFonts w:cs="Arial"/>
          <w:color w:val="000000" w:themeColor="text1"/>
          <w:sz w:val="20"/>
          <w:szCs w:val="20"/>
        </w:rPr>
      </w:pPr>
      <w:r>
        <w:rPr>
          <w:rFonts w:cs="Arial"/>
          <w:color w:val="000000" w:themeColor="text1"/>
          <w:sz w:val="20"/>
          <w:szCs w:val="20"/>
        </w:rPr>
        <w:t>PO Box 90</w:t>
      </w:r>
    </w:p>
    <w:p w14:paraId="0C689036" w14:textId="77777777" w:rsidR="003B20C1" w:rsidRDefault="003B20C1" w:rsidP="003B20C1">
      <w:pPr>
        <w:rPr>
          <w:rFonts w:cs="Arial"/>
          <w:color w:val="000000" w:themeColor="text1"/>
          <w:sz w:val="20"/>
          <w:szCs w:val="20"/>
        </w:rPr>
      </w:pPr>
      <w:r>
        <w:rPr>
          <w:rFonts w:cs="Arial"/>
          <w:color w:val="000000" w:themeColor="text1"/>
          <w:sz w:val="20"/>
          <w:szCs w:val="20"/>
        </w:rPr>
        <w:t>Roanoke, VA  24002-0090</w:t>
      </w:r>
    </w:p>
    <w:p w14:paraId="22711121" w14:textId="77777777" w:rsidR="003B20C1" w:rsidRDefault="003B20C1" w:rsidP="003B20C1">
      <w:pPr>
        <w:rPr>
          <w:rFonts w:cs="Arial"/>
          <w:color w:val="000000" w:themeColor="text1"/>
          <w:sz w:val="20"/>
          <w:szCs w:val="20"/>
        </w:rPr>
      </w:pPr>
    </w:p>
    <w:p w14:paraId="66AAEA97" w14:textId="77777777" w:rsidR="003B20C1" w:rsidRPr="00BF2D12" w:rsidRDefault="003B20C1" w:rsidP="003B20C1">
      <w:pPr>
        <w:rPr>
          <w:rFonts w:ascii="Arial Bold" w:hAnsi="Arial Bold" w:cs="Arial"/>
          <w:b/>
          <w:smallCaps/>
          <w:color w:val="000000" w:themeColor="text1"/>
          <w:sz w:val="20"/>
          <w:szCs w:val="20"/>
        </w:rPr>
      </w:pPr>
      <w:r w:rsidRPr="00BF2D12">
        <w:rPr>
          <w:rFonts w:ascii="Arial Bold" w:hAnsi="Arial Bold" w:cs="Arial"/>
          <w:b/>
          <w:smallCaps/>
          <w:color w:val="000000" w:themeColor="text1"/>
          <w:sz w:val="20"/>
          <w:szCs w:val="20"/>
        </w:rPr>
        <w:t>Counsel to Wal-Mart Stores East, LP and Sam’s East, Inc.</w:t>
      </w:r>
    </w:p>
    <w:p w14:paraId="45F68742" w14:textId="77777777" w:rsidR="003B20C1" w:rsidRDefault="003B20C1" w:rsidP="003B20C1">
      <w:pPr>
        <w:rPr>
          <w:rFonts w:cs="Arial"/>
          <w:color w:val="000000" w:themeColor="text1"/>
          <w:sz w:val="20"/>
          <w:szCs w:val="20"/>
        </w:rPr>
      </w:pPr>
    </w:p>
    <w:p w14:paraId="1DAFD81A" w14:textId="77777777" w:rsidR="003B20C1" w:rsidRDefault="003B20C1" w:rsidP="003B20C1">
      <w:pPr>
        <w:rPr>
          <w:rFonts w:cs="Arial"/>
          <w:color w:val="000000" w:themeColor="text1"/>
          <w:sz w:val="20"/>
          <w:szCs w:val="20"/>
        </w:rPr>
      </w:pPr>
      <w:r>
        <w:rPr>
          <w:rFonts w:cs="Arial"/>
          <w:color w:val="000000" w:themeColor="text1"/>
          <w:sz w:val="20"/>
          <w:szCs w:val="20"/>
        </w:rPr>
        <w:t>Terrence O’Donnell</w:t>
      </w:r>
    </w:p>
    <w:p w14:paraId="7E023136" w14:textId="77777777" w:rsidR="003B20C1" w:rsidRDefault="003B20C1" w:rsidP="003B20C1">
      <w:pPr>
        <w:rPr>
          <w:rFonts w:cs="Arial"/>
          <w:color w:val="000000" w:themeColor="text1"/>
          <w:sz w:val="20"/>
          <w:szCs w:val="20"/>
        </w:rPr>
      </w:pPr>
      <w:r>
        <w:rPr>
          <w:rFonts w:cs="Arial"/>
          <w:color w:val="000000" w:themeColor="text1"/>
          <w:sz w:val="20"/>
          <w:szCs w:val="20"/>
        </w:rPr>
        <w:t>Raymond Seiler</w:t>
      </w:r>
    </w:p>
    <w:p w14:paraId="3526E7AB" w14:textId="77777777" w:rsidR="003B20C1" w:rsidRDefault="003B20C1" w:rsidP="003B20C1">
      <w:pPr>
        <w:rPr>
          <w:rFonts w:cs="Arial"/>
          <w:color w:val="000000" w:themeColor="text1"/>
          <w:sz w:val="20"/>
          <w:szCs w:val="20"/>
        </w:rPr>
      </w:pPr>
      <w:r>
        <w:rPr>
          <w:rFonts w:cs="Arial"/>
          <w:color w:val="000000" w:themeColor="text1"/>
          <w:sz w:val="20"/>
          <w:szCs w:val="20"/>
        </w:rPr>
        <w:t>Dickinson Wright PLLC</w:t>
      </w:r>
    </w:p>
    <w:p w14:paraId="3092591F" w14:textId="77777777" w:rsidR="003B20C1" w:rsidRDefault="003B20C1" w:rsidP="003B20C1">
      <w:pPr>
        <w:rPr>
          <w:rFonts w:cs="Arial"/>
          <w:color w:val="000000" w:themeColor="text1"/>
          <w:sz w:val="20"/>
          <w:szCs w:val="20"/>
        </w:rPr>
      </w:pPr>
      <w:r>
        <w:rPr>
          <w:rFonts w:cs="Arial"/>
          <w:color w:val="000000" w:themeColor="text1"/>
          <w:sz w:val="20"/>
          <w:szCs w:val="20"/>
        </w:rPr>
        <w:t>150 E. Gay Street, Suite 2400</w:t>
      </w:r>
    </w:p>
    <w:p w14:paraId="7971D778" w14:textId="77777777" w:rsidR="003B20C1" w:rsidRDefault="003B20C1" w:rsidP="003B20C1">
      <w:pPr>
        <w:rPr>
          <w:rFonts w:cs="Arial"/>
          <w:color w:val="000000" w:themeColor="text1"/>
          <w:sz w:val="20"/>
          <w:szCs w:val="20"/>
        </w:rPr>
      </w:pPr>
      <w:r>
        <w:rPr>
          <w:rFonts w:cs="Arial"/>
          <w:color w:val="000000" w:themeColor="text1"/>
          <w:sz w:val="20"/>
          <w:szCs w:val="20"/>
        </w:rPr>
        <w:t>Columbus, OH  43215</w:t>
      </w:r>
    </w:p>
    <w:p w14:paraId="1F64154D" w14:textId="77777777" w:rsidR="003B20C1" w:rsidRDefault="00137313" w:rsidP="003B20C1">
      <w:pPr>
        <w:rPr>
          <w:rFonts w:cs="Arial"/>
          <w:color w:val="000000" w:themeColor="text1"/>
          <w:sz w:val="20"/>
          <w:szCs w:val="20"/>
        </w:rPr>
      </w:pPr>
      <w:hyperlink r:id="rId53" w:history="1">
        <w:r w:rsidR="003B20C1" w:rsidRPr="0023352E">
          <w:rPr>
            <w:rStyle w:val="Hyperlink"/>
            <w:rFonts w:cs="Arial"/>
            <w:sz w:val="20"/>
            <w:szCs w:val="20"/>
          </w:rPr>
          <w:t>todonnell@dickinsonwright.com</w:t>
        </w:r>
      </w:hyperlink>
    </w:p>
    <w:p w14:paraId="5D91E471" w14:textId="77777777" w:rsidR="003B20C1" w:rsidRDefault="00137313" w:rsidP="003B20C1">
      <w:pPr>
        <w:rPr>
          <w:rFonts w:cs="Arial"/>
          <w:color w:val="000000" w:themeColor="text1"/>
          <w:sz w:val="20"/>
          <w:szCs w:val="20"/>
        </w:rPr>
      </w:pPr>
      <w:hyperlink r:id="rId54" w:history="1">
        <w:r w:rsidR="003B20C1" w:rsidRPr="0023352E">
          <w:rPr>
            <w:rStyle w:val="Hyperlink"/>
            <w:rFonts w:cs="Arial"/>
            <w:sz w:val="20"/>
            <w:szCs w:val="20"/>
          </w:rPr>
          <w:t>rseiler@dickinsonwright.com</w:t>
        </w:r>
      </w:hyperlink>
    </w:p>
    <w:p w14:paraId="40F5A91A" w14:textId="77777777" w:rsidR="003B20C1" w:rsidRDefault="003B20C1" w:rsidP="003B20C1">
      <w:pPr>
        <w:rPr>
          <w:rFonts w:cs="Arial"/>
          <w:color w:val="000000" w:themeColor="text1"/>
          <w:sz w:val="20"/>
          <w:szCs w:val="20"/>
        </w:rPr>
      </w:pPr>
    </w:p>
    <w:p w14:paraId="2B65336C" w14:textId="77777777" w:rsidR="003B20C1" w:rsidRPr="009E6964" w:rsidRDefault="003B20C1" w:rsidP="003B20C1">
      <w:pPr>
        <w:rPr>
          <w:rFonts w:ascii="Arial Bold" w:hAnsi="Arial Bold" w:cs="Arial"/>
          <w:b/>
          <w:smallCaps/>
          <w:color w:val="000000" w:themeColor="text1"/>
          <w:sz w:val="20"/>
          <w:szCs w:val="20"/>
        </w:rPr>
      </w:pPr>
      <w:r w:rsidRPr="009E6964">
        <w:rPr>
          <w:rFonts w:ascii="Arial Bold" w:hAnsi="Arial Bold" w:cs="Arial"/>
          <w:b/>
          <w:smallCaps/>
          <w:color w:val="000000" w:themeColor="text1"/>
          <w:sz w:val="20"/>
          <w:szCs w:val="20"/>
        </w:rPr>
        <w:t>Counsel to Mid-Atlantic Renewable Energy Coalition</w:t>
      </w:r>
    </w:p>
    <w:p w14:paraId="64727C11" w14:textId="77777777" w:rsidR="003B20C1" w:rsidRDefault="003B20C1" w:rsidP="003B20C1">
      <w:pPr>
        <w:rPr>
          <w:rFonts w:cs="Arial"/>
          <w:color w:val="000000" w:themeColor="text1"/>
          <w:sz w:val="20"/>
          <w:szCs w:val="20"/>
        </w:rPr>
      </w:pPr>
    </w:p>
    <w:p w14:paraId="170E7D1B" w14:textId="77777777" w:rsidR="003B20C1" w:rsidRDefault="003B20C1" w:rsidP="003B20C1">
      <w:pPr>
        <w:rPr>
          <w:rFonts w:cs="Arial"/>
          <w:color w:val="000000" w:themeColor="text1"/>
          <w:sz w:val="20"/>
          <w:szCs w:val="20"/>
        </w:rPr>
      </w:pPr>
      <w:r>
        <w:rPr>
          <w:rFonts w:cs="Arial"/>
          <w:color w:val="000000" w:themeColor="text1"/>
          <w:sz w:val="20"/>
          <w:szCs w:val="20"/>
        </w:rPr>
        <w:t>Ellis Jacobs</w:t>
      </w:r>
    </w:p>
    <w:p w14:paraId="21E241FD" w14:textId="77777777" w:rsidR="003B20C1" w:rsidRDefault="003B20C1" w:rsidP="003B20C1">
      <w:pPr>
        <w:rPr>
          <w:rFonts w:cs="Arial"/>
          <w:color w:val="000000" w:themeColor="text1"/>
          <w:sz w:val="20"/>
          <w:szCs w:val="20"/>
        </w:rPr>
      </w:pPr>
      <w:r>
        <w:rPr>
          <w:rFonts w:cs="Arial"/>
          <w:color w:val="000000" w:themeColor="text1"/>
          <w:sz w:val="20"/>
          <w:szCs w:val="20"/>
        </w:rPr>
        <w:t>130 West Second Street, Suite 700 East</w:t>
      </w:r>
    </w:p>
    <w:p w14:paraId="000A3DD6" w14:textId="77777777" w:rsidR="003B20C1" w:rsidRDefault="003B20C1" w:rsidP="003B20C1">
      <w:pPr>
        <w:rPr>
          <w:rFonts w:cs="Arial"/>
          <w:color w:val="000000" w:themeColor="text1"/>
          <w:sz w:val="20"/>
          <w:szCs w:val="20"/>
        </w:rPr>
      </w:pPr>
      <w:r>
        <w:rPr>
          <w:rFonts w:cs="Arial"/>
          <w:color w:val="000000" w:themeColor="text1"/>
          <w:sz w:val="20"/>
          <w:szCs w:val="20"/>
        </w:rPr>
        <w:t>Dayton, OH  45402</w:t>
      </w:r>
    </w:p>
    <w:p w14:paraId="23F2F3B1" w14:textId="77777777" w:rsidR="003B20C1" w:rsidRDefault="00137313" w:rsidP="003B20C1">
      <w:pPr>
        <w:rPr>
          <w:rFonts w:cs="Arial"/>
          <w:color w:val="000000" w:themeColor="text1"/>
          <w:sz w:val="20"/>
          <w:szCs w:val="20"/>
        </w:rPr>
      </w:pPr>
      <w:hyperlink r:id="rId55" w:history="1">
        <w:r w:rsidR="003B20C1" w:rsidRPr="0023352E">
          <w:rPr>
            <w:rStyle w:val="Hyperlink"/>
            <w:rFonts w:cs="Arial"/>
            <w:sz w:val="20"/>
            <w:szCs w:val="20"/>
          </w:rPr>
          <w:t>ejacobs@ablelaw.org</w:t>
        </w:r>
      </w:hyperlink>
    </w:p>
    <w:p w14:paraId="3A7B8294" w14:textId="77777777" w:rsidR="003B20C1" w:rsidRDefault="003B20C1" w:rsidP="003B20C1">
      <w:pPr>
        <w:rPr>
          <w:rFonts w:cs="Arial"/>
          <w:color w:val="000000" w:themeColor="text1"/>
          <w:sz w:val="20"/>
          <w:szCs w:val="20"/>
        </w:rPr>
      </w:pPr>
    </w:p>
    <w:p w14:paraId="2F4D2E80" w14:textId="77777777" w:rsidR="003B20C1" w:rsidRPr="00313F31" w:rsidRDefault="003B20C1" w:rsidP="003B20C1">
      <w:pPr>
        <w:rPr>
          <w:rFonts w:ascii="Arial Bold" w:hAnsi="Arial Bold" w:cs="Arial"/>
          <w:b/>
          <w:smallCaps/>
          <w:color w:val="000000" w:themeColor="text1"/>
          <w:sz w:val="20"/>
          <w:szCs w:val="20"/>
        </w:rPr>
      </w:pPr>
      <w:r w:rsidRPr="00313F31">
        <w:rPr>
          <w:rFonts w:ascii="Arial Bold" w:hAnsi="Arial Bold" w:cs="Arial"/>
          <w:b/>
          <w:smallCaps/>
          <w:color w:val="000000" w:themeColor="text1"/>
          <w:sz w:val="20"/>
          <w:szCs w:val="20"/>
        </w:rPr>
        <w:t>Counsel to Edgemont Neighborhood Coalition and Advocates for Basic Legal Equality</w:t>
      </w:r>
    </w:p>
    <w:p w14:paraId="3EFDA9F5" w14:textId="77777777" w:rsidR="003B20C1" w:rsidRDefault="003B20C1" w:rsidP="003B20C1">
      <w:pPr>
        <w:rPr>
          <w:rFonts w:cs="Arial"/>
          <w:color w:val="000000" w:themeColor="text1"/>
          <w:sz w:val="20"/>
          <w:szCs w:val="20"/>
        </w:rPr>
      </w:pPr>
    </w:p>
    <w:p w14:paraId="246E0475" w14:textId="77777777" w:rsidR="003B20C1" w:rsidRDefault="003B20C1" w:rsidP="003B20C1">
      <w:pPr>
        <w:rPr>
          <w:rFonts w:cs="Arial"/>
          <w:color w:val="000000" w:themeColor="text1"/>
          <w:sz w:val="20"/>
          <w:szCs w:val="20"/>
        </w:rPr>
      </w:pPr>
      <w:r>
        <w:rPr>
          <w:rFonts w:cs="Arial"/>
          <w:color w:val="000000" w:themeColor="text1"/>
          <w:sz w:val="20"/>
          <w:szCs w:val="20"/>
        </w:rPr>
        <w:t>John R. Doll</w:t>
      </w:r>
    </w:p>
    <w:p w14:paraId="2BADB7EC" w14:textId="77777777" w:rsidR="003B20C1" w:rsidRDefault="003B20C1" w:rsidP="003B20C1">
      <w:pPr>
        <w:rPr>
          <w:rFonts w:cs="Arial"/>
          <w:color w:val="000000" w:themeColor="text1"/>
          <w:sz w:val="20"/>
          <w:szCs w:val="20"/>
        </w:rPr>
      </w:pPr>
      <w:r>
        <w:rPr>
          <w:rFonts w:cs="Arial"/>
          <w:color w:val="000000" w:themeColor="text1"/>
          <w:sz w:val="20"/>
          <w:szCs w:val="20"/>
        </w:rPr>
        <w:t>Matthew T. Crawford</w:t>
      </w:r>
    </w:p>
    <w:p w14:paraId="4275B426" w14:textId="77777777" w:rsidR="003B20C1" w:rsidRDefault="003B20C1" w:rsidP="003B20C1">
      <w:pPr>
        <w:rPr>
          <w:rFonts w:cs="Arial"/>
          <w:color w:val="000000" w:themeColor="text1"/>
          <w:sz w:val="20"/>
          <w:szCs w:val="20"/>
        </w:rPr>
      </w:pPr>
      <w:r>
        <w:rPr>
          <w:rFonts w:cs="Arial"/>
          <w:color w:val="000000" w:themeColor="text1"/>
          <w:sz w:val="20"/>
          <w:szCs w:val="20"/>
        </w:rPr>
        <w:t>111 W. First Street, Suite 1100</w:t>
      </w:r>
    </w:p>
    <w:p w14:paraId="388CE05C" w14:textId="77777777" w:rsidR="003B20C1" w:rsidRDefault="003B20C1" w:rsidP="003B20C1">
      <w:pPr>
        <w:rPr>
          <w:rFonts w:cs="Arial"/>
          <w:color w:val="000000" w:themeColor="text1"/>
          <w:sz w:val="20"/>
          <w:szCs w:val="20"/>
        </w:rPr>
      </w:pPr>
      <w:r>
        <w:rPr>
          <w:rFonts w:cs="Arial"/>
          <w:color w:val="000000" w:themeColor="text1"/>
          <w:sz w:val="20"/>
          <w:szCs w:val="20"/>
        </w:rPr>
        <w:t>Dayton, OH  45402-1156</w:t>
      </w:r>
    </w:p>
    <w:p w14:paraId="0F87F900" w14:textId="77777777" w:rsidR="003B20C1" w:rsidRDefault="00137313" w:rsidP="003B20C1">
      <w:pPr>
        <w:rPr>
          <w:rFonts w:cs="Arial"/>
          <w:color w:val="000000" w:themeColor="text1"/>
          <w:sz w:val="20"/>
          <w:szCs w:val="20"/>
        </w:rPr>
      </w:pPr>
      <w:hyperlink r:id="rId56" w:history="1">
        <w:r w:rsidR="003B20C1" w:rsidRPr="00DC0168">
          <w:rPr>
            <w:rStyle w:val="Hyperlink"/>
            <w:rFonts w:cs="Arial"/>
            <w:sz w:val="20"/>
            <w:szCs w:val="20"/>
          </w:rPr>
          <w:t>jdoll@djflawfirm.com</w:t>
        </w:r>
      </w:hyperlink>
    </w:p>
    <w:p w14:paraId="6E6824BA" w14:textId="77777777" w:rsidR="003B20C1" w:rsidRDefault="00137313" w:rsidP="003B20C1">
      <w:pPr>
        <w:rPr>
          <w:rFonts w:cs="Arial"/>
          <w:color w:val="000000" w:themeColor="text1"/>
          <w:sz w:val="20"/>
          <w:szCs w:val="20"/>
        </w:rPr>
      </w:pPr>
      <w:hyperlink r:id="rId57" w:history="1">
        <w:r w:rsidR="003B20C1" w:rsidRPr="00DC0168">
          <w:rPr>
            <w:rStyle w:val="Hyperlink"/>
            <w:rFonts w:cs="Arial"/>
            <w:sz w:val="20"/>
            <w:szCs w:val="20"/>
          </w:rPr>
          <w:t>mcrawcord@djflawfirm.com</w:t>
        </w:r>
      </w:hyperlink>
    </w:p>
    <w:p w14:paraId="2C55E876" w14:textId="77777777" w:rsidR="003B20C1" w:rsidRDefault="003B20C1" w:rsidP="003B20C1">
      <w:pPr>
        <w:rPr>
          <w:rFonts w:cs="Arial"/>
          <w:color w:val="000000" w:themeColor="text1"/>
          <w:sz w:val="20"/>
          <w:szCs w:val="20"/>
        </w:rPr>
      </w:pPr>
    </w:p>
    <w:p w14:paraId="76C3B820" w14:textId="77777777" w:rsidR="003B20C1" w:rsidRPr="00705557" w:rsidRDefault="003B20C1" w:rsidP="003B20C1">
      <w:pPr>
        <w:rPr>
          <w:rFonts w:ascii="Arial Bold" w:hAnsi="Arial Bold" w:cs="Arial"/>
          <w:b/>
          <w:smallCaps/>
          <w:color w:val="000000" w:themeColor="text1"/>
          <w:sz w:val="20"/>
          <w:szCs w:val="20"/>
        </w:rPr>
      </w:pPr>
      <w:r w:rsidRPr="00705557">
        <w:rPr>
          <w:rFonts w:ascii="Arial Bold" w:hAnsi="Arial Bold" w:cs="Arial"/>
          <w:b/>
          <w:smallCaps/>
          <w:color w:val="000000" w:themeColor="text1"/>
          <w:sz w:val="20"/>
          <w:szCs w:val="20"/>
        </w:rPr>
        <w:t>Counsel for Utility Workers of America, Local 175</w:t>
      </w:r>
    </w:p>
    <w:p w14:paraId="4D7BABD8" w14:textId="77777777" w:rsidR="003B20C1" w:rsidRDefault="003B20C1" w:rsidP="003B20C1">
      <w:pPr>
        <w:rPr>
          <w:rFonts w:cs="Arial"/>
          <w:color w:val="000000" w:themeColor="text1"/>
          <w:sz w:val="20"/>
          <w:szCs w:val="20"/>
        </w:rPr>
      </w:pPr>
    </w:p>
    <w:p w14:paraId="1C7C6000"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William L. Wright (Reg. No. 0018010)</w:t>
      </w:r>
    </w:p>
    <w:p w14:paraId="6A7BB45E"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Chief, Public Utilities Section</w:t>
      </w:r>
    </w:p>
    <w:p w14:paraId="26C36838"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Office of Attorney General</w:t>
      </w:r>
    </w:p>
    <w:p w14:paraId="3181FFAA"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180 East Broad Street, 6th Floor</w:t>
      </w:r>
    </w:p>
    <w:p w14:paraId="6339F5FF" w14:textId="77777777" w:rsidR="003B20C1" w:rsidRPr="005031FA" w:rsidRDefault="003B20C1" w:rsidP="003B20C1">
      <w:pPr>
        <w:autoSpaceDE w:val="0"/>
        <w:autoSpaceDN w:val="0"/>
        <w:adjustRightInd w:val="0"/>
        <w:snapToGrid w:val="0"/>
        <w:rPr>
          <w:rFonts w:cs="Arial"/>
          <w:color w:val="000000" w:themeColor="text1"/>
          <w:sz w:val="20"/>
          <w:szCs w:val="20"/>
        </w:rPr>
      </w:pPr>
      <w:r w:rsidRPr="005031FA">
        <w:rPr>
          <w:rFonts w:cs="Arial"/>
          <w:color w:val="000000" w:themeColor="text1"/>
          <w:sz w:val="20"/>
          <w:szCs w:val="20"/>
        </w:rPr>
        <w:t>Columbus, OH 43215-3793</w:t>
      </w:r>
    </w:p>
    <w:p w14:paraId="419F1E4A" w14:textId="77777777" w:rsidR="003B20C1" w:rsidRPr="005031FA" w:rsidRDefault="003B20C1" w:rsidP="003B20C1">
      <w:pPr>
        <w:rPr>
          <w:rFonts w:cs="Arial"/>
          <w:color w:val="000000" w:themeColor="text1"/>
          <w:sz w:val="20"/>
          <w:szCs w:val="20"/>
        </w:rPr>
      </w:pPr>
      <w:r w:rsidRPr="005031FA">
        <w:rPr>
          <w:rFonts w:cs="Arial"/>
          <w:color w:val="000000" w:themeColor="text1"/>
          <w:sz w:val="20"/>
          <w:szCs w:val="20"/>
        </w:rPr>
        <w:t>william.wright@puc.state.oh.us</w:t>
      </w:r>
    </w:p>
    <w:p w14:paraId="1059D0E1" w14:textId="77777777" w:rsidR="003B20C1" w:rsidRPr="005031FA" w:rsidRDefault="003B20C1" w:rsidP="003B20C1">
      <w:pPr>
        <w:rPr>
          <w:rFonts w:eastAsia="Calibri" w:cs="Arial"/>
          <w:color w:val="000000" w:themeColor="text1"/>
          <w:sz w:val="20"/>
          <w:szCs w:val="20"/>
        </w:rPr>
      </w:pPr>
    </w:p>
    <w:p w14:paraId="60AF12F7" w14:textId="77777777" w:rsidR="003B20C1" w:rsidRPr="00E8508E" w:rsidRDefault="003B20C1" w:rsidP="003B20C1">
      <w:pPr>
        <w:rPr>
          <w:rFonts w:eastAsia="Calibri" w:cs="Arial"/>
          <w:b/>
          <w:smallCaps/>
          <w:color w:val="000000" w:themeColor="text1"/>
          <w:sz w:val="20"/>
          <w:szCs w:val="20"/>
        </w:rPr>
      </w:pPr>
      <w:r>
        <w:rPr>
          <w:rFonts w:eastAsia="Calibri" w:cs="Arial"/>
          <w:b/>
          <w:smallCaps/>
          <w:color w:val="000000" w:themeColor="text1"/>
          <w:sz w:val="20"/>
          <w:szCs w:val="20"/>
        </w:rPr>
        <w:t>Couns</w:t>
      </w:r>
      <w:r w:rsidRPr="00E8508E">
        <w:rPr>
          <w:rFonts w:eastAsia="Calibri" w:cs="Arial"/>
          <w:b/>
          <w:smallCaps/>
          <w:color w:val="000000" w:themeColor="text1"/>
          <w:sz w:val="20"/>
          <w:szCs w:val="20"/>
        </w:rPr>
        <w:t>el for the Staff of the Public Utilities Commission of Ohio</w:t>
      </w:r>
    </w:p>
    <w:p w14:paraId="377775A8" w14:textId="77777777" w:rsidR="003B20C1" w:rsidRPr="00E8508E" w:rsidRDefault="003B20C1" w:rsidP="003B20C1">
      <w:pPr>
        <w:rPr>
          <w:rFonts w:eastAsia="Calibri" w:cs="Arial"/>
          <w:b/>
          <w:smallCaps/>
          <w:color w:val="000000" w:themeColor="text1"/>
          <w:sz w:val="20"/>
          <w:szCs w:val="20"/>
        </w:rPr>
      </w:pPr>
    </w:p>
    <w:p w14:paraId="7CE98565"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Bryce McKenney</w:t>
      </w:r>
    </w:p>
    <w:p w14:paraId="25AF6BF4"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Gregory Price</w:t>
      </w:r>
    </w:p>
    <w:p w14:paraId="55CD37A5"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Attorney Examiners</w:t>
      </w:r>
    </w:p>
    <w:p w14:paraId="3CDCA423"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Legal Department</w:t>
      </w:r>
    </w:p>
    <w:p w14:paraId="77919B78"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lastRenderedPageBreak/>
        <w:t>Public Utilities Commission of Ohio</w:t>
      </w:r>
    </w:p>
    <w:p w14:paraId="280632BF"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180 East Broad Street, 12</w:t>
      </w:r>
      <w:r w:rsidRPr="00E8508E">
        <w:rPr>
          <w:rFonts w:eastAsia="Calibri" w:cs="Arial"/>
          <w:color w:val="000000" w:themeColor="text1"/>
          <w:sz w:val="20"/>
          <w:szCs w:val="20"/>
          <w:vertAlign w:val="superscript"/>
        </w:rPr>
        <w:t>th</w:t>
      </w:r>
      <w:r w:rsidRPr="00E8508E">
        <w:rPr>
          <w:rFonts w:eastAsia="Calibri" w:cs="Arial"/>
          <w:color w:val="000000" w:themeColor="text1"/>
          <w:sz w:val="20"/>
          <w:szCs w:val="20"/>
        </w:rPr>
        <w:t xml:space="preserve"> Floor</w:t>
      </w:r>
    </w:p>
    <w:p w14:paraId="10D58F73" w14:textId="77777777" w:rsidR="003B20C1" w:rsidRPr="00E8508E" w:rsidRDefault="003B20C1" w:rsidP="003B20C1">
      <w:pPr>
        <w:rPr>
          <w:rFonts w:eastAsia="Calibri" w:cs="Arial"/>
          <w:color w:val="000000" w:themeColor="text1"/>
          <w:sz w:val="20"/>
          <w:szCs w:val="20"/>
        </w:rPr>
      </w:pPr>
      <w:r w:rsidRPr="00E8508E">
        <w:rPr>
          <w:rFonts w:eastAsia="Calibri" w:cs="Arial"/>
          <w:color w:val="000000" w:themeColor="text1"/>
          <w:sz w:val="20"/>
          <w:szCs w:val="20"/>
        </w:rPr>
        <w:t>Columbus OH  43215</w:t>
      </w:r>
    </w:p>
    <w:p w14:paraId="6BECDBE2" w14:textId="77777777" w:rsidR="003B20C1" w:rsidRPr="00E8508E" w:rsidRDefault="003B20C1" w:rsidP="003B20C1">
      <w:pPr>
        <w:rPr>
          <w:rFonts w:eastAsia="Calibri" w:cs="Arial"/>
          <w:sz w:val="20"/>
          <w:szCs w:val="20"/>
        </w:rPr>
      </w:pPr>
      <w:r w:rsidRPr="00E8508E">
        <w:rPr>
          <w:rFonts w:eastAsia="Calibri" w:cs="Arial"/>
          <w:sz w:val="20"/>
          <w:szCs w:val="20"/>
        </w:rPr>
        <w:t>bryce.mckenney@puc.state.oh.us</w:t>
      </w:r>
    </w:p>
    <w:p w14:paraId="78BC5446" w14:textId="77777777" w:rsidR="003B20C1" w:rsidRPr="00E8508E" w:rsidRDefault="003B20C1" w:rsidP="003B20C1">
      <w:pPr>
        <w:rPr>
          <w:rFonts w:eastAsia="Calibri" w:cs="Arial"/>
          <w:sz w:val="20"/>
          <w:szCs w:val="20"/>
        </w:rPr>
      </w:pPr>
      <w:r w:rsidRPr="00E8508E">
        <w:rPr>
          <w:rFonts w:eastAsia="Calibri" w:cs="Arial"/>
          <w:sz w:val="20"/>
          <w:szCs w:val="20"/>
        </w:rPr>
        <w:t>gregory.price@puc.state.oh.us</w:t>
      </w:r>
    </w:p>
    <w:p w14:paraId="6BFA0646" w14:textId="77777777" w:rsidR="003B20C1" w:rsidRDefault="003B20C1" w:rsidP="003B20C1">
      <w:pPr>
        <w:rPr>
          <w:rFonts w:eastAsia="Calibri" w:cs="Arial"/>
          <w:sz w:val="20"/>
          <w:szCs w:val="20"/>
        </w:rPr>
      </w:pPr>
    </w:p>
    <w:p w14:paraId="71CFAD94" w14:textId="77777777" w:rsidR="003B20C1" w:rsidRPr="00BF2D12" w:rsidRDefault="003B20C1" w:rsidP="003B20C1">
      <w:pPr>
        <w:rPr>
          <w:rFonts w:ascii="Arial Bold" w:eastAsia="Calibri" w:hAnsi="Arial Bold" w:cs="Arial"/>
          <w:b/>
          <w:smallCaps/>
          <w:sz w:val="20"/>
          <w:szCs w:val="20"/>
        </w:rPr>
      </w:pPr>
      <w:r w:rsidRPr="00BF2D12">
        <w:rPr>
          <w:rFonts w:ascii="Arial Bold" w:eastAsia="Calibri" w:hAnsi="Arial Bold" w:cs="Arial"/>
          <w:b/>
          <w:smallCaps/>
          <w:sz w:val="20"/>
          <w:szCs w:val="20"/>
        </w:rPr>
        <w:t>Attorney Examiners</w:t>
      </w:r>
    </w:p>
    <w:p w14:paraId="4742F43C" w14:textId="77777777" w:rsidR="003B20C1" w:rsidRPr="00E8508E" w:rsidRDefault="003B20C1" w:rsidP="003B20C1">
      <w:pPr>
        <w:rPr>
          <w:rFonts w:eastAsia="Calibri" w:cs="Arial"/>
          <w:sz w:val="20"/>
          <w:szCs w:val="20"/>
        </w:rPr>
      </w:pPr>
    </w:p>
    <w:p w14:paraId="7E1A45E3" w14:textId="77777777" w:rsidR="00863FA1" w:rsidRDefault="00863FA1">
      <w:pPr>
        <w:rPr>
          <w:rFonts w:ascii="Arial Bold" w:eastAsia="Calibri" w:hAnsi="Arial Bold" w:cs="Arial"/>
          <w:b/>
          <w:smallCaps/>
          <w:sz w:val="20"/>
          <w:szCs w:val="20"/>
        </w:rPr>
      </w:pPr>
    </w:p>
    <w:p w14:paraId="47BD8D81" w14:textId="77777777" w:rsidR="00F10202" w:rsidRDefault="00F10202">
      <w:pPr>
        <w:rPr>
          <w:rFonts w:ascii="Arial Bold" w:eastAsia="Calibri" w:hAnsi="Arial Bold" w:cs="Arial"/>
          <w:b/>
          <w:smallCaps/>
          <w:sz w:val="20"/>
          <w:szCs w:val="20"/>
        </w:rPr>
      </w:pPr>
    </w:p>
    <w:p w14:paraId="4DEA6FB9" w14:textId="77777777" w:rsidR="00F10202" w:rsidRDefault="00F10202">
      <w:pPr>
        <w:rPr>
          <w:rFonts w:ascii="Arial Bold" w:eastAsia="Calibri" w:hAnsi="Arial Bold" w:cs="Arial"/>
          <w:b/>
          <w:smallCaps/>
          <w:sz w:val="20"/>
          <w:szCs w:val="20"/>
        </w:rPr>
      </w:pPr>
    </w:p>
    <w:p w14:paraId="033C0CEA" w14:textId="77777777" w:rsidR="00AF65C0" w:rsidRDefault="00AF65C0">
      <w:pPr>
        <w:rPr>
          <w:rFonts w:ascii="Arial Bold" w:eastAsia="Calibri" w:hAnsi="Arial Bold" w:cs="Arial"/>
          <w:b/>
          <w:smallCaps/>
          <w:sz w:val="20"/>
          <w:szCs w:val="20"/>
        </w:rPr>
        <w:sectPr w:rsidR="00AF65C0" w:rsidSect="00EB1CE4">
          <w:type w:val="continuous"/>
          <w:pgSz w:w="12240" w:h="15840" w:code="1"/>
          <w:pgMar w:top="1440" w:right="1440" w:bottom="1440" w:left="1440" w:header="720" w:footer="720" w:gutter="0"/>
          <w:pgNumType w:start="1"/>
          <w:cols w:num="2" w:space="720"/>
          <w:titlePg/>
          <w:docGrid w:linePitch="360"/>
        </w:sectPr>
      </w:pPr>
    </w:p>
    <w:p w14:paraId="35CCDF3B" w14:textId="4948A703" w:rsidR="00F10202" w:rsidRPr="00A55E0A" w:rsidRDefault="00F10202">
      <w:pPr>
        <w:rPr>
          <w:rFonts w:ascii="Arial Bold" w:eastAsia="Calibri" w:hAnsi="Arial Bold" w:cs="Arial"/>
          <w:b/>
          <w:smallCaps/>
          <w:sz w:val="20"/>
          <w:szCs w:val="20"/>
        </w:rPr>
      </w:pPr>
    </w:p>
    <w:p w14:paraId="50F81704" w14:textId="77777777" w:rsidR="00E06415" w:rsidRPr="00175181" w:rsidRDefault="00CF2B16" w:rsidP="00AF65C0">
      <w:pPr>
        <w:jc w:val="center"/>
        <w:rPr>
          <w:caps/>
        </w:rPr>
      </w:pPr>
      <w:r w:rsidRPr="00175181">
        <w:rPr>
          <w:caps/>
        </w:rPr>
        <w:t>Attachment A</w:t>
      </w:r>
    </w:p>
    <w:p w14:paraId="5897E778" w14:textId="77777777" w:rsidR="00E06415" w:rsidRDefault="00E06415">
      <w:pPr>
        <w:sectPr w:rsidR="00E06415" w:rsidSect="00AF65C0">
          <w:pgSz w:w="12240" w:h="15840" w:code="1"/>
          <w:pgMar w:top="1440" w:right="1440" w:bottom="1440" w:left="1440" w:header="720" w:footer="720" w:gutter="0"/>
          <w:pgNumType w:start="1"/>
          <w:cols w:space="720"/>
          <w:titlePg/>
          <w:docGrid w:linePitch="360"/>
        </w:sectPr>
      </w:pPr>
    </w:p>
    <w:p w14:paraId="5697B977" w14:textId="77777777" w:rsidR="00727FA0" w:rsidRPr="000C3B01" w:rsidRDefault="00727FA0" w:rsidP="00727FA0">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15B2E007" w14:textId="77777777" w:rsidR="00727FA0" w:rsidRDefault="00727FA0" w:rsidP="00727FA0">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0A491F33" w14:textId="77777777" w:rsidR="00727FA0" w:rsidRPr="000C3B01" w:rsidRDefault="00727FA0" w:rsidP="00727FA0">
      <w:pPr>
        <w:autoSpaceDE w:val="0"/>
        <w:autoSpaceDN w:val="0"/>
        <w:adjustRightInd w:val="0"/>
        <w:jc w:val="center"/>
        <w:rPr>
          <w:rFonts w:ascii="Arial Bold" w:hAnsi="Arial Bold" w:cs="Arial"/>
          <w:smallCaps/>
        </w:rPr>
      </w:pPr>
    </w:p>
    <w:p w14:paraId="323E92E9"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2596D501"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26765178"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42034B9" w14:textId="77777777" w:rsidR="00727FA0" w:rsidRDefault="00727FA0" w:rsidP="00727FA0">
      <w:pPr>
        <w:tabs>
          <w:tab w:val="left" w:pos="4680"/>
          <w:tab w:val="left" w:pos="5220"/>
        </w:tabs>
        <w:autoSpaceDE w:val="0"/>
        <w:autoSpaceDN w:val="0"/>
        <w:adjustRightInd w:val="0"/>
        <w:rPr>
          <w:rFonts w:cs="Arial"/>
        </w:rPr>
      </w:pPr>
    </w:p>
    <w:p w14:paraId="029365AB"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AFF708"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58A4EAAA" w14:textId="77777777" w:rsidR="00727FA0" w:rsidRDefault="00727FA0" w:rsidP="00727FA0">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49CB56CC" w14:textId="77777777" w:rsidR="00727FA0" w:rsidRPr="000C3B01" w:rsidRDefault="00727FA0" w:rsidP="00727FA0">
      <w:pPr>
        <w:tabs>
          <w:tab w:val="left" w:pos="4680"/>
          <w:tab w:val="left" w:pos="5220"/>
        </w:tabs>
        <w:autoSpaceDE w:val="0"/>
        <w:autoSpaceDN w:val="0"/>
        <w:adjustRightInd w:val="0"/>
        <w:rPr>
          <w:rFonts w:cs="Arial"/>
        </w:rPr>
      </w:pPr>
    </w:p>
    <w:p w14:paraId="18CD9E30"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233A5541"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0FE572D6"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70733582" w14:textId="77777777" w:rsidR="00727FA0" w:rsidRPr="000C3B01" w:rsidRDefault="00727FA0" w:rsidP="00727FA0">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0ED8BE28" w14:textId="77777777" w:rsidR="00727FA0" w:rsidRPr="009D12B6" w:rsidRDefault="00727FA0" w:rsidP="00727FA0">
      <w:pPr>
        <w:pBdr>
          <w:bottom w:val="single" w:sz="12" w:space="1" w:color="auto"/>
        </w:pBdr>
        <w:jc w:val="center"/>
      </w:pPr>
    </w:p>
    <w:p w14:paraId="2C03B6CF" w14:textId="77777777" w:rsidR="00727FA0" w:rsidRDefault="00727FA0" w:rsidP="00727FA0">
      <w:pPr>
        <w:jc w:val="center"/>
      </w:pPr>
    </w:p>
    <w:p w14:paraId="2588F878" w14:textId="6B04044F" w:rsidR="00727FA0" w:rsidRPr="0075280E" w:rsidRDefault="00851700" w:rsidP="00727FA0">
      <w:pPr>
        <w:pBdr>
          <w:bottom w:val="single" w:sz="12" w:space="1" w:color="auto"/>
        </w:pBdr>
        <w:jc w:val="center"/>
        <w:rPr>
          <w:rFonts w:ascii="Arial Bold" w:hAnsi="Arial Bold"/>
          <w:b/>
          <w:smallCaps/>
        </w:rPr>
      </w:pPr>
      <w:r>
        <w:rPr>
          <w:rFonts w:ascii="Arial Bold" w:hAnsi="Arial Bold"/>
          <w:b/>
          <w:smallCaps/>
        </w:rPr>
        <w:t>Surreply</w:t>
      </w:r>
      <w:r w:rsidR="00727FA0" w:rsidRPr="0075280E">
        <w:rPr>
          <w:rFonts w:ascii="Arial Bold" w:hAnsi="Arial Bold"/>
          <w:b/>
          <w:smallCaps/>
        </w:rPr>
        <w:t xml:space="preserve"> of Industrial Energy Users-Ohio </w:t>
      </w:r>
      <w:r>
        <w:rPr>
          <w:rFonts w:ascii="Arial Bold" w:hAnsi="Arial Bold"/>
          <w:b/>
          <w:smallCaps/>
        </w:rPr>
        <w:t>Opposing</w:t>
      </w:r>
      <w:r w:rsidR="00727FA0" w:rsidRPr="0075280E">
        <w:rPr>
          <w:rFonts w:ascii="Arial Bold" w:hAnsi="Arial Bold"/>
          <w:b/>
          <w:smallCaps/>
        </w:rPr>
        <w:t xml:space="preserve"> the Motion of The Dayton Power and Light Company to Implement the SSR Extension</w:t>
      </w:r>
    </w:p>
    <w:p w14:paraId="12B0E232" w14:textId="77777777" w:rsidR="00727FA0" w:rsidRPr="00165F9A" w:rsidRDefault="00727FA0" w:rsidP="00727FA0">
      <w:pPr>
        <w:pBdr>
          <w:bottom w:val="single" w:sz="12" w:space="1" w:color="auto"/>
        </w:pBdr>
        <w:jc w:val="center"/>
        <w:rPr>
          <w:rFonts w:ascii="Arial Bold" w:hAnsi="Arial Bold"/>
          <w:smallCaps/>
        </w:rPr>
      </w:pPr>
    </w:p>
    <w:p w14:paraId="26E26066" w14:textId="77777777" w:rsidR="00727FA0" w:rsidRDefault="00727FA0" w:rsidP="00727FA0"/>
    <w:p w14:paraId="5598E06D" w14:textId="77777777" w:rsidR="00727FA0" w:rsidRDefault="00727FA0" w:rsidP="00727FA0">
      <w:pPr>
        <w:widowControl w:val="0"/>
        <w:ind w:left="4320"/>
        <w:rPr>
          <w:bCs/>
          <w:color w:val="000000" w:themeColor="text1"/>
        </w:rPr>
      </w:pPr>
    </w:p>
    <w:p w14:paraId="64E6985A" w14:textId="77777777" w:rsidR="00727FA0" w:rsidRDefault="00727FA0" w:rsidP="00727FA0">
      <w:pPr>
        <w:widowControl w:val="0"/>
        <w:ind w:left="4320"/>
        <w:rPr>
          <w:bCs/>
          <w:color w:val="000000" w:themeColor="text1"/>
        </w:rPr>
      </w:pPr>
    </w:p>
    <w:p w14:paraId="7D6F9DF7" w14:textId="77777777" w:rsidR="00727FA0" w:rsidRDefault="00727FA0" w:rsidP="00727FA0">
      <w:pPr>
        <w:widowControl w:val="0"/>
        <w:ind w:left="4320"/>
        <w:rPr>
          <w:bCs/>
          <w:color w:val="000000" w:themeColor="text1"/>
        </w:rPr>
      </w:pPr>
    </w:p>
    <w:p w14:paraId="3E0C14CD" w14:textId="77777777" w:rsidR="00727FA0" w:rsidRDefault="00727FA0" w:rsidP="00727FA0">
      <w:pPr>
        <w:widowControl w:val="0"/>
        <w:ind w:left="4320"/>
        <w:rPr>
          <w:bCs/>
          <w:color w:val="000000" w:themeColor="text1"/>
        </w:rPr>
      </w:pPr>
    </w:p>
    <w:p w14:paraId="7086D0EA" w14:textId="77777777" w:rsidR="00727FA0" w:rsidRDefault="00727FA0" w:rsidP="00727FA0">
      <w:pPr>
        <w:widowControl w:val="0"/>
        <w:ind w:left="4320"/>
        <w:rPr>
          <w:bCs/>
          <w:color w:val="000000" w:themeColor="text1"/>
        </w:rPr>
      </w:pPr>
    </w:p>
    <w:p w14:paraId="7F09960B" w14:textId="77777777" w:rsidR="00727FA0" w:rsidRDefault="00727FA0" w:rsidP="00727FA0">
      <w:pPr>
        <w:widowControl w:val="0"/>
        <w:ind w:left="4320"/>
        <w:rPr>
          <w:bCs/>
          <w:color w:val="000000" w:themeColor="text1"/>
        </w:rPr>
      </w:pPr>
    </w:p>
    <w:p w14:paraId="2DCE19B6" w14:textId="77777777" w:rsidR="00727FA0" w:rsidRDefault="00727FA0" w:rsidP="00727FA0">
      <w:pPr>
        <w:widowControl w:val="0"/>
        <w:ind w:left="4320"/>
        <w:rPr>
          <w:bCs/>
          <w:color w:val="000000" w:themeColor="text1"/>
        </w:rPr>
      </w:pPr>
    </w:p>
    <w:p w14:paraId="56BD1C61" w14:textId="77777777" w:rsidR="00727FA0" w:rsidRDefault="00727FA0" w:rsidP="00727FA0">
      <w:pPr>
        <w:widowControl w:val="0"/>
        <w:ind w:left="4320"/>
        <w:rPr>
          <w:bCs/>
          <w:color w:val="000000" w:themeColor="text1"/>
        </w:rPr>
      </w:pPr>
    </w:p>
    <w:p w14:paraId="2FF69719" w14:textId="77777777" w:rsidR="00727FA0" w:rsidRDefault="00727FA0" w:rsidP="00727FA0">
      <w:pPr>
        <w:widowControl w:val="0"/>
        <w:ind w:left="4320"/>
        <w:rPr>
          <w:bCs/>
          <w:color w:val="000000" w:themeColor="text1"/>
        </w:rPr>
      </w:pPr>
    </w:p>
    <w:p w14:paraId="220F561A" w14:textId="77777777" w:rsidR="00727FA0" w:rsidRPr="003533B4" w:rsidRDefault="00727FA0" w:rsidP="00727FA0">
      <w:pPr>
        <w:widowControl w:val="0"/>
        <w:ind w:left="4320"/>
        <w:rPr>
          <w:b/>
          <w:bCs/>
          <w:color w:val="000000" w:themeColor="text1"/>
        </w:rPr>
      </w:pPr>
      <w:r w:rsidRPr="003533B4">
        <w:rPr>
          <w:bCs/>
          <w:color w:val="000000" w:themeColor="text1"/>
        </w:rPr>
        <w:t>Frank P. Darr (Reg. No. 0025469)</w:t>
      </w:r>
    </w:p>
    <w:p w14:paraId="4166E9E1" w14:textId="77777777" w:rsidR="00727FA0" w:rsidRPr="003533B4" w:rsidRDefault="00727FA0" w:rsidP="00727FA0">
      <w:pPr>
        <w:tabs>
          <w:tab w:val="right" w:pos="8640"/>
        </w:tabs>
        <w:ind w:left="432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24272CB0" w14:textId="77777777" w:rsidR="00727FA0" w:rsidRPr="003533B4" w:rsidRDefault="00727FA0" w:rsidP="00727FA0">
      <w:pPr>
        <w:widowControl w:val="0"/>
        <w:ind w:left="4320"/>
        <w:rPr>
          <w:b/>
          <w:bCs/>
          <w:color w:val="000000" w:themeColor="text1"/>
        </w:rPr>
      </w:pPr>
      <w:r w:rsidRPr="003533B4">
        <w:rPr>
          <w:bCs/>
          <w:color w:val="000000" w:themeColor="text1"/>
        </w:rPr>
        <w:t>Matthew R. Pritchard (Reg. No. 0088070)</w:t>
      </w:r>
    </w:p>
    <w:p w14:paraId="0DEA2E83" w14:textId="77777777" w:rsidR="00727FA0" w:rsidRPr="003533B4" w:rsidRDefault="00727FA0" w:rsidP="00727FA0">
      <w:pPr>
        <w:widowControl w:val="0"/>
        <w:ind w:left="4320"/>
        <w:rPr>
          <w:b/>
          <w:bCs/>
          <w:smallCaps/>
          <w:color w:val="000000" w:themeColor="text1"/>
        </w:rPr>
      </w:pPr>
      <w:r w:rsidRPr="003533B4">
        <w:rPr>
          <w:bCs/>
          <w:smallCaps/>
          <w:color w:val="000000" w:themeColor="text1"/>
        </w:rPr>
        <w:t>McNees Wallace &amp; Nurick LLC</w:t>
      </w:r>
    </w:p>
    <w:p w14:paraId="6C071182" w14:textId="77777777" w:rsidR="00727FA0" w:rsidRPr="003533B4" w:rsidRDefault="00727FA0" w:rsidP="00727FA0">
      <w:pPr>
        <w:widowControl w:val="0"/>
        <w:ind w:left="432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663791B9"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Columbus, OH  43215</w:t>
      </w:r>
    </w:p>
    <w:p w14:paraId="7CDE5CD1"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Telephone:  (614) 469-8000</w:t>
      </w:r>
    </w:p>
    <w:p w14:paraId="799BAC5E"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Telecopier:  (614) 469-4653</w:t>
      </w:r>
    </w:p>
    <w:p w14:paraId="64308875"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fdarr@mwncmh.com</w:t>
      </w:r>
    </w:p>
    <w:p w14:paraId="34EFE984" w14:textId="77777777" w:rsidR="00727FA0" w:rsidRPr="003533B4" w:rsidRDefault="00727FA0" w:rsidP="00727FA0">
      <w:pPr>
        <w:ind w:left="4320"/>
        <w:rPr>
          <w:rFonts w:eastAsia="Times New Roman"/>
          <w:color w:val="000000" w:themeColor="text1"/>
        </w:rPr>
      </w:pPr>
      <w:r w:rsidRPr="003533B4">
        <w:rPr>
          <w:rFonts w:eastAsia="Times New Roman"/>
          <w:color w:val="000000" w:themeColor="text1"/>
        </w:rPr>
        <w:t>mpritchard@mwncmh.com</w:t>
      </w:r>
    </w:p>
    <w:p w14:paraId="72DE2DD7" w14:textId="77777777" w:rsidR="00727FA0" w:rsidRPr="003533B4" w:rsidRDefault="00727FA0" w:rsidP="00727FA0">
      <w:pPr>
        <w:tabs>
          <w:tab w:val="left" w:pos="4320"/>
          <w:tab w:val="right" w:pos="8640"/>
        </w:tabs>
        <w:rPr>
          <w:color w:val="000000"/>
        </w:rPr>
      </w:pPr>
    </w:p>
    <w:p w14:paraId="5091767C" w14:textId="2DD2FD3E" w:rsidR="00727FA0" w:rsidRDefault="00165F9A" w:rsidP="00727FA0">
      <w:pPr>
        <w:tabs>
          <w:tab w:val="left" w:pos="4320"/>
          <w:tab w:val="right" w:pos="8640"/>
        </w:tabs>
        <w:rPr>
          <w:b/>
          <w:color w:val="000000"/>
        </w:rPr>
      </w:pPr>
      <w:r>
        <w:rPr>
          <w:b/>
          <w:color w:val="000000"/>
        </w:rPr>
        <w:t xml:space="preserve">June </w:t>
      </w:r>
      <w:r w:rsidR="00C108E8">
        <w:rPr>
          <w:b/>
          <w:color w:val="000000"/>
        </w:rPr>
        <w:t>28</w:t>
      </w:r>
      <w:r w:rsidR="00727FA0" w:rsidRPr="003533B4">
        <w:rPr>
          <w:b/>
          <w:color w:val="000000"/>
        </w:rPr>
        <w:t>, 2016</w:t>
      </w:r>
      <w:r w:rsidR="00727FA0" w:rsidRPr="003533B4">
        <w:rPr>
          <w:b/>
          <w:color w:val="000000"/>
        </w:rPr>
        <w:tab/>
        <w:t>Attorneys for Industrial Energy Users-Ohio</w:t>
      </w:r>
    </w:p>
    <w:p w14:paraId="0CF61727" w14:textId="77777777" w:rsidR="00C84F07" w:rsidRDefault="00C84F07" w:rsidP="00727FA0">
      <w:pPr>
        <w:tabs>
          <w:tab w:val="left" w:pos="4320"/>
          <w:tab w:val="right" w:pos="8640"/>
        </w:tabs>
        <w:rPr>
          <w:b/>
          <w:color w:val="000000"/>
        </w:rPr>
      </w:pPr>
    </w:p>
    <w:p w14:paraId="777B43BE" w14:textId="77777777" w:rsidR="00727FA0" w:rsidRDefault="00727FA0" w:rsidP="00727FA0">
      <w:pPr>
        <w:tabs>
          <w:tab w:val="left" w:pos="4320"/>
          <w:tab w:val="right" w:pos="8640"/>
        </w:tabs>
        <w:rPr>
          <w:b/>
          <w:color w:val="000000"/>
        </w:rPr>
        <w:sectPr w:rsidR="00727FA0" w:rsidSect="00B031BA">
          <w:headerReference w:type="default" r:id="rId58"/>
          <w:footerReference w:type="default" r:id="rId59"/>
          <w:headerReference w:type="first" r:id="rId60"/>
          <w:footerReference w:type="first" r:id="rId61"/>
          <w:pgSz w:w="12240" w:h="15840" w:code="1"/>
          <w:pgMar w:top="1440" w:right="1440" w:bottom="1440" w:left="1440" w:header="720" w:footer="720" w:gutter="0"/>
          <w:pgNumType w:start="1"/>
          <w:cols w:space="720"/>
          <w:titlePg/>
          <w:docGrid w:linePitch="360"/>
        </w:sectPr>
      </w:pPr>
    </w:p>
    <w:p w14:paraId="39495C00" w14:textId="77777777" w:rsidR="00C84F07" w:rsidRDefault="00C84F07" w:rsidP="00165F9A">
      <w:pPr>
        <w:autoSpaceDE w:val="0"/>
        <w:autoSpaceDN w:val="0"/>
        <w:adjustRightInd w:val="0"/>
        <w:jc w:val="center"/>
        <w:rPr>
          <w:rFonts w:ascii="Arial Bold" w:hAnsi="Arial Bold" w:cs="Arial"/>
          <w:b/>
          <w:smallCaps/>
          <w:sz w:val="32"/>
          <w:szCs w:val="32"/>
        </w:rPr>
      </w:pPr>
    </w:p>
    <w:p w14:paraId="486C8155" w14:textId="77777777" w:rsidR="00C84F07" w:rsidRDefault="00C84F07" w:rsidP="00C84F07">
      <w:pPr>
        <w:pStyle w:val="TOCHeading"/>
      </w:pPr>
      <w:bookmarkStart w:id="7" w:name="TOCHeading_1"/>
      <w:r>
        <w:t>Table of Contents</w:t>
      </w:r>
    </w:p>
    <w:p w14:paraId="5A978D01" w14:textId="0A76E3FC" w:rsidR="00C84F07" w:rsidRDefault="00C84F07" w:rsidP="00B043FF">
      <w:pPr>
        <w:pStyle w:val="TOCPage"/>
      </w:pPr>
      <w:bookmarkStart w:id="8" w:name="TOCPage_1"/>
      <w:bookmarkEnd w:id="7"/>
      <w:r>
        <w:t>Page</w:t>
      </w:r>
      <w:bookmarkEnd w:id="8"/>
      <w:r>
        <w:fldChar w:fldCharType="begin"/>
      </w:r>
      <w:r>
        <w:instrText xml:space="preserve"> TOC \t "Heading 1,1,Heading 2,2,Heading 3,3" </w:instrText>
      </w:r>
      <w:r>
        <w:fldChar w:fldCharType="separate"/>
      </w:r>
      <w:bookmarkStart w:id="9" w:name="TOCLocation_1"/>
    </w:p>
    <w:p w14:paraId="6DF1CC90"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w:t>
      </w:r>
      <w:r>
        <w:rPr>
          <w:rFonts w:asciiTheme="minorHAnsi" w:eastAsiaTheme="minorEastAsia" w:hAnsiTheme="minorHAnsi"/>
          <w:noProof/>
          <w:sz w:val="22"/>
          <w:szCs w:val="22"/>
        </w:rPr>
        <w:tab/>
      </w:r>
      <w:r w:rsidRPr="005C77E8">
        <w:rPr>
          <w:caps/>
          <w:noProof/>
        </w:rPr>
        <w:t>Introduction</w:t>
      </w:r>
      <w:r>
        <w:rPr>
          <w:noProof/>
        </w:rPr>
        <w:tab/>
      </w:r>
      <w:r>
        <w:rPr>
          <w:noProof/>
        </w:rPr>
        <w:fldChar w:fldCharType="begin"/>
      </w:r>
      <w:r>
        <w:rPr>
          <w:noProof/>
        </w:rPr>
        <w:instrText xml:space="preserve"> PAGEREF _Toc454885967 \h </w:instrText>
      </w:r>
      <w:r>
        <w:rPr>
          <w:noProof/>
        </w:rPr>
      </w:r>
      <w:r>
        <w:rPr>
          <w:noProof/>
        </w:rPr>
        <w:fldChar w:fldCharType="separate"/>
      </w:r>
      <w:r w:rsidR="00137313">
        <w:rPr>
          <w:noProof/>
        </w:rPr>
        <w:t>1</w:t>
      </w:r>
      <w:r>
        <w:rPr>
          <w:noProof/>
        </w:rPr>
        <w:fldChar w:fldCharType="end"/>
      </w:r>
    </w:p>
    <w:p w14:paraId="70419311"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II.</w:t>
      </w:r>
      <w:r>
        <w:rPr>
          <w:rFonts w:asciiTheme="minorHAnsi" w:eastAsiaTheme="minorEastAsia" w:hAnsiTheme="minorHAnsi"/>
          <w:noProof/>
          <w:sz w:val="22"/>
          <w:szCs w:val="22"/>
        </w:rPr>
        <w:tab/>
      </w:r>
      <w:r w:rsidRPr="005C77E8">
        <w:rPr>
          <w:caps/>
          <w:noProof/>
        </w:rPr>
        <w:t>Argument</w:t>
      </w:r>
      <w:r>
        <w:rPr>
          <w:noProof/>
        </w:rPr>
        <w:tab/>
      </w:r>
      <w:r>
        <w:rPr>
          <w:noProof/>
        </w:rPr>
        <w:fldChar w:fldCharType="begin"/>
      </w:r>
      <w:r>
        <w:rPr>
          <w:noProof/>
        </w:rPr>
        <w:instrText xml:space="preserve"> PAGEREF _Toc454885968 \h </w:instrText>
      </w:r>
      <w:r>
        <w:rPr>
          <w:noProof/>
        </w:rPr>
      </w:r>
      <w:r>
        <w:rPr>
          <w:noProof/>
        </w:rPr>
        <w:fldChar w:fldCharType="separate"/>
      </w:r>
      <w:r w:rsidR="00137313">
        <w:rPr>
          <w:noProof/>
        </w:rPr>
        <w:t>2</w:t>
      </w:r>
      <w:r>
        <w:rPr>
          <w:noProof/>
        </w:rPr>
        <w:fldChar w:fldCharType="end"/>
      </w:r>
    </w:p>
    <w:p w14:paraId="5904938C" w14:textId="77777777" w:rsidR="000B40B5" w:rsidRDefault="00C84F07" w:rsidP="00FC069D">
      <w:pPr>
        <w:pStyle w:val="TOC2"/>
        <w:rPr>
          <w:noProof/>
        </w:rPr>
      </w:pPr>
      <w:r w:rsidRPr="002045CB">
        <w:rPr>
          <w:noProof/>
          <w:color w:val="010000"/>
        </w:rPr>
        <w:t>A.</w:t>
      </w:r>
      <w:r>
        <w:rPr>
          <w:rFonts w:asciiTheme="minorHAnsi" w:eastAsiaTheme="minorEastAsia" w:hAnsiTheme="minorHAnsi"/>
          <w:noProof/>
          <w:sz w:val="22"/>
          <w:szCs w:val="22"/>
        </w:rPr>
        <w:tab/>
      </w:r>
      <w:r>
        <w:rPr>
          <w:noProof/>
        </w:rPr>
        <w:t>Receipt of transition revenue or its equivalent cannot be authoriz</w:t>
      </w:r>
      <w:r w:rsidR="005703CE">
        <w:rPr>
          <w:noProof/>
        </w:rPr>
        <w:t>ed</w:t>
      </w:r>
    </w:p>
    <w:p w14:paraId="1EB3DC9A" w14:textId="69CF202B" w:rsidR="00C84F07" w:rsidRDefault="007F679C" w:rsidP="00FC069D">
      <w:pPr>
        <w:pStyle w:val="TOC2"/>
        <w:tabs>
          <w:tab w:val="left" w:leader="dot" w:pos="720"/>
          <w:tab w:val="right" w:leader="dot" w:pos="9360"/>
        </w:tabs>
        <w:rPr>
          <w:rFonts w:asciiTheme="minorHAnsi" w:eastAsiaTheme="minorEastAsia" w:hAnsiTheme="minorHAnsi"/>
          <w:noProof/>
          <w:sz w:val="22"/>
          <w:szCs w:val="22"/>
        </w:rPr>
      </w:pPr>
      <w:r>
        <w:rPr>
          <w:noProof/>
        </w:rPr>
        <w:tab/>
      </w:r>
      <w:r w:rsidR="005703CE">
        <w:rPr>
          <w:noProof/>
        </w:rPr>
        <w:t>under R.C. 4928.143(B)(2)(d)</w:t>
      </w:r>
      <w:r w:rsidR="00FC069D">
        <w:rPr>
          <w:noProof/>
        </w:rPr>
        <w:tab/>
      </w:r>
      <w:r w:rsidR="00C84F07">
        <w:rPr>
          <w:noProof/>
        </w:rPr>
        <w:fldChar w:fldCharType="begin"/>
      </w:r>
      <w:r w:rsidR="00C84F07">
        <w:rPr>
          <w:noProof/>
        </w:rPr>
        <w:instrText xml:space="preserve"> PAGEREF _Toc454885969 \h </w:instrText>
      </w:r>
      <w:r w:rsidR="00C84F07">
        <w:rPr>
          <w:noProof/>
        </w:rPr>
      </w:r>
      <w:r w:rsidR="00C84F07">
        <w:rPr>
          <w:noProof/>
        </w:rPr>
        <w:fldChar w:fldCharType="separate"/>
      </w:r>
      <w:r w:rsidR="00137313">
        <w:rPr>
          <w:noProof/>
        </w:rPr>
        <w:t>5</w:t>
      </w:r>
      <w:r w:rsidR="00C84F07">
        <w:rPr>
          <w:noProof/>
        </w:rPr>
        <w:fldChar w:fldCharType="end"/>
      </w:r>
    </w:p>
    <w:p w14:paraId="7522C94C" w14:textId="7EB6B082"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B.</w:t>
      </w:r>
      <w:r>
        <w:rPr>
          <w:rFonts w:asciiTheme="minorHAnsi" w:eastAsiaTheme="minorEastAsia" w:hAnsiTheme="minorHAnsi"/>
          <w:noProof/>
          <w:sz w:val="22"/>
          <w:szCs w:val="22"/>
        </w:rPr>
        <w:tab/>
      </w:r>
      <w:r>
        <w:rPr>
          <w:noProof/>
        </w:rPr>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w:t>
      </w:r>
      <w:r w:rsidR="00FC069D">
        <w:rPr>
          <w:noProof/>
        </w:rPr>
        <w:t>lectric distribution utilities.</w:t>
      </w:r>
      <w:r w:rsidR="00FC069D">
        <w:rPr>
          <w:noProof/>
        </w:rPr>
        <w:tab/>
      </w:r>
      <w:r>
        <w:rPr>
          <w:noProof/>
        </w:rPr>
        <w:fldChar w:fldCharType="begin"/>
      </w:r>
      <w:r>
        <w:rPr>
          <w:noProof/>
        </w:rPr>
        <w:instrText xml:space="preserve"> PAGEREF _Toc454885970 \h </w:instrText>
      </w:r>
      <w:r>
        <w:rPr>
          <w:noProof/>
        </w:rPr>
      </w:r>
      <w:r>
        <w:rPr>
          <w:noProof/>
        </w:rPr>
        <w:fldChar w:fldCharType="separate"/>
      </w:r>
      <w:r w:rsidR="00137313">
        <w:rPr>
          <w:noProof/>
        </w:rPr>
        <w:t>6</w:t>
      </w:r>
      <w:r>
        <w:rPr>
          <w:noProof/>
        </w:rPr>
        <w:fldChar w:fldCharType="end"/>
      </w:r>
    </w:p>
    <w:p w14:paraId="52916224" w14:textId="0C5BFA90"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C.</w:t>
      </w:r>
      <w:r>
        <w:rPr>
          <w:rFonts w:asciiTheme="minorHAnsi" w:eastAsiaTheme="minorEastAsia" w:hAnsiTheme="minorHAnsi"/>
          <w:noProof/>
          <w:sz w:val="22"/>
          <w:szCs w:val="22"/>
        </w:rPr>
        <w:tab/>
      </w:r>
      <w:r>
        <w:rPr>
          <w:noProof/>
        </w:rPr>
        <w:t>The claim that the Commission may authorize transition revenue or its equivalent by resolving an alleged conflict under R.C. 1.52 should be rejected because there is no conflict between R.C. 492</w:t>
      </w:r>
      <w:r w:rsidR="00FC069D">
        <w:rPr>
          <w:noProof/>
        </w:rPr>
        <w:t>8.143(B)(2)(d) and R.C. 4928.38</w:t>
      </w:r>
      <w:r w:rsidR="00FC069D">
        <w:rPr>
          <w:noProof/>
        </w:rPr>
        <w:tab/>
      </w:r>
      <w:r>
        <w:rPr>
          <w:noProof/>
        </w:rPr>
        <w:fldChar w:fldCharType="begin"/>
      </w:r>
      <w:r>
        <w:rPr>
          <w:noProof/>
        </w:rPr>
        <w:instrText xml:space="preserve"> PAGEREF _Toc454885971 \h </w:instrText>
      </w:r>
      <w:r>
        <w:rPr>
          <w:noProof/>
        </w:rPr>
      </w:r>
      <w:r>
        <w:rPr>
          <w:noProof/>
        </w:rPr>
        <w:fldChar w:fldCharType="separate"/>
      </w:r>
      <w:r w:rsidR="00137313">
        <w:rPr>
          <w:noProof/>
        </w:rPr>
        <w:t>11</w:t>
      </w:r>
      <w:r>
        <w:rPr>
          <w:noProof/>
        </w:rPr>
        <w:fldChar w:fldCharType="end"/>
      </w:r>
    </w:p>
    <w:p w14:paraId="2E6EF0E5" w14:textId="4C25ED84" w:rsidR="00C84F07" w:rsidRDefault="00C84F07" w:rsidP="00FC069D">
      <w:pPr>
        <w:pStyle w:val="TOC2"/>
        <w:tabs>
          <w:tab w:val="right" w:leader="dot" w:pos="9360"/>
        </w:tabs>
        <w:rPr>
          <w:rFonts w:asciiTheme="minorHAnsi" w:eastAsiaTheme="minorEastAsia" w:hAnsiTheme="minorHAnsi"/>
          <w:noProof/>
          <w:sz w:val="22"/>
          <w:szCs w:val="22"/>
        </w:rPr>
      </w:pPr>
      <w:r w:rsidRPr="002045CB">
        <w:rPr>
          <w:noProof/>
          <w:color w:val="010000"/>
        </w:rPr>
        <w:t>D.</w:t>
      </w:r>
      <w:r>
        <w:rPr>
          <w:rFonts w:asciiTheme="minorHAnsi" w:eastAsiaTheme="minorEastAsia" w:hAnsiTheme="minorHAnsi"/>
          <w:noProof/>
          <w:sz w:val="22"/>
          <w:szCs w:val="22"/>
        </w:rPr>
        <w:tab/>
      </w:r>
      <w:r>
        <w:rPr>
          <w:noProof/>
        </w:rPr>
        <w:t>The Commission should reject DP&amp;L’s alternative claims that the Commission may ignore R.C. 49</w:t>
      </w:r>
      <w:r w:rsidR="00B30197">
        <w:rPr>
          <w:noProof/>
        </w:rPr>
        <w:t>2</w:t>
      </w:r>
      <w:r>
        <w:rPr>
          <w:noProof/>
        </w:rPr>
        <w:t>8.38 based on the Supreme Court</w:t>
      </w:r>
      <w:r w:rsidR="007B69FA">
        <w:rPr>
          <w:noProof/>
        </w:rPr>
        <w:t>'s</w:t>
      </w:r>
      <w:r>
        <w:rPr>
          <w:noProof/>
        </w:rPr>
        <w:t xml:space="preserve"> summary reversal </w:t>
      </w:r>
      <w:r w:rsidR="00FC069D">
        <w:rPr>
          <w:noProof/>
        </w:rPr>
        <w:t>of the authorization of the SSR</w:t>
      </w:r>
      <w:r w:rsidR="00FC069D">
        <w:rPr>
          <w:noProof/>
        </w:rPr>
        <w:tab/>
      </w:r>
      <w:r>
        <w:rPr>
          <w:noProof/>
        </w:rPr>
        <w:fldChar w:fldCharType="begin"/>
      </w:r>
      <w:r>
        <w:rPr>
          <w:noProof/>
        </w:rPr>
        <w:instrText xml:space="preserve"> PAGEREF _Toc454885972 \h </w:instrText>
      </w:r>
      <w:r>
        <w:rPr>
          <w:noProof/>
        </w:rPr>
      </w:r>
      <w:r>
        <w:rPr>
          <w:noProof/>
        </w:rPr>
        <w:fldChar w:fldCharType="separate"/>
      </w:r>
      <w:r w:rsidR="00137313">
        <w:rPr>
          <w:noProof/>
        </w:rPr>
        <w:t>13</w:t>
      </w:r>
      <w:r>
        <w:rPr>
          <w:noProof/>
        </w:rPr>
        <w:fldChar w:fldCharType="end"/>
      </w:r>
    </w:p>
    <w:p w14:paraId="711C57A8" w14:textId="77777777" w:rsidR="00C84F07" w:rsidRDefault="00C84F07" w:rsidP="006C1063">
      <w:pPr>
        <w:pStyle w:val="TOC1"/>
        <w:rPr>
          <w:rFonts w:asciiTheme="minorHAnsi" w:eastAsiaTheme="minorEastAsia" w:hAnsiTheme="minorHAnsi"/>
          <w:noProof/>
          <w:sz w:val="22"/>
          <w:szCs w:val="22"/>
        </w:rPr>
      </w:pPr>
      <w:r w:rsidRPr="002045CB">
        <w:rPr>
          <w:noProof/>
          <w:color w:val="010000"/>
        </w:rPr>
        <w:t>III.</w:t>
      </w:r>
      <w:r>
        <w:rPr>
          <w:rFonts w:asciiTheme="minorHAnsi" w:eastAsiaTheme="minorEastAsia" w:hAnsiTheme="minorHAnsi"/>
          <w:noProof/>
          <w:sz w:val="22"/>
          <w:szCs w:val="22"/>
        </w:rPr>
        <w:tab/>
      </w:r>
      <w:r w:rsidRPr="005C77E8">
        <w:rPr>
          <w:caps/>
          <w:noProof/>
        </w:rPr>
        <w:t>Conclusion</w:t>
      </w:r>
      <w:r>
        <w:rPr>
          <w:noProof/>
        </w:rPr>
        <w:tab/>
      </w:r>
      <w:r>
        <w:rPr>
          <w:noProof/>
        </w:rPr>
        <w:fldChar w:fldCharType="begin"/>
      </w:r>
      <w:r>
        <w:rPr>
          <w:noProof/>
        </w:rPr>
        <w:instrText xml:space="preserve"> PAGEREF _Toc454885973 \h </w:instrText>
      </w:r>
      <w:r>
        <w:rPr>
          <w:noProof/>
        </w:rPr>
      </w:r>
      <w:r>
        <w:rPr>
          <w:noProof/>
        </w:rPr>
        <w:fldChar w:fldCharType="separate"/>
      </w:r>
      <w:r w:rsidR="00137313">
        <w:rPr>
          <w:noProof/>
        </w:rPr>
        <w:t>13</w:t>
      </w:r>
      <w:r>
        <w:rPr>
          <w:noProof/>
        </w:rPr>
        <w:fldChar w:fldCharType="end"/>
      </w:r>
    </w:p>
    <w:bookmarkEnd w:id="9"/>
    <w:p w14:paraId="17927343" w14:textId="77777777" w:rsidR="002E6DD9" w:rsidRDefault="00C84F07" w:rsidP="00C84F07">
      <w:pPr>
        <w:sectPr w:rsidR="002E6DD9" w:rsidSect="00B031BA">
          <w:headerReference w:type="default" r:id="rId62"/>
          <w:footerReference w:type="default" r:id="rId63"/>
          <w:headerReference w:type="first" r:id="rId64"/>
          <w:footerReference w:type="first" r:id="rId65"/>
          <w:pgSz w:w="12240" w:h="15840" w:code="1"/>
          <w:pgMar w:top="1440" w:right="1440" w:bottom="1440" w:left="1440" w:header="720" w:footer="720" w:gutter="0"/>
          <w:pgNumType w:start="1"/>
          <w:cols w:space="720"/>
          <w:titlePg/>
          <w:docGrid w:linePitch="360"/>
        </w:sectPr>
      </w:pPr>
      <w:r>
        <w:fldChar w:fldCharType="end"/>
      </w:r>
    </w:p>
    <w:p w14:paraId="3DF5FA1F" w14:textId="77777777" w:rsidR="002E6DD9" w:rsidRPr="000C3B01" w:rsidRDefault="002E6DD9" w:rsidP="002E6DD9">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lastRenderedPageBreak/>
        <w:t>Before</w:t>
      </w:r>
    </w:p>
    <w:p w14:paraId="6C360B71" w14:textId="2089548D" w:rsidR="00A9271E" w:rsidRDefault="002E6DD9" w:rsidP="002E6DD9">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7061DB4B" w14:textId="77777777" w:rsidR="00A9271E" w:rsidRPr="000C3B01" w:rsidRDefault="00A9271E" w:rsidP="00A9271E">
      <w:pPr>
        <w:autoSpaceDE w:val="0"/>
        <w:autoSpaceDN w:val="0"/>
        <w:adjustRightInd w:val="0"/>
        <w:jc w:val="center"/>
        <w:rPr>
          <w:rFonts w:ascii="Arial Bold" w:hAnsi="Arial Bold" w:cs="Arial"/>
          <w:smallCaps/>
        </w:rPr>
      </w:pPr>
    </w:p>
    <w:p w14:paraId="7526C627"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6B8CB463"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14:paraId="0FF11B4D"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14:paraId="2FB10AA7" w14:textId="77777777" w:rsidR="00A9271E" w:rsidRDefault="00A9271E" w:rsidP="00A9271E">
      <w:pPr>
        <w:tabs>
          <w:tab w:val="left" w:pos="4680"/>
          <w:tab w:val="left" w:pos="5220"/>
        </w:tabs>
        <w:autoSpaceDE w:val="0"/>
        <w:autoSpaceDN w:val="0"/>
        <w:adjustRightInd w:val="0"/>
        <w:rPr>
          <w:rFonts w:cs="Arial"/>
        </w:rPr>
      </w:pPr>
    </w:p>
    <w:p w14:paraId="35F26C8E"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14:paraId="303B4CCB"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14:paraId="6DFDCCFA" w14:textId="77777777" w:rsidR="00A9271E" w:rsidRDefault="00A9271E" w:rsidP="00A9271E">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14:paraId="3CAD8CBB" w14:textId="77777777" w:rsidR="00A9271E" w:rsidRPr="000C3B01" w:rsidRDefault="00A9271E" w:rsidP="00A9271E">
      <w:pPr>
        <w:tabs>
          <w:tab w:val="left" w:pos="4680"/>
          <w:tab w:val="left" w:pos="5220"/>
        </w:tabs>
        <w:autoSpaceDE w:val="0"/>
        <w:autoSpaceDN w:val="0"/>
        <w:adjustRightInd w:val="0"/>
        <w:rPr>
          <w:rFonts w:cs="Arial"/>
        </w:rPr>
      </w:pPr>
    </w:p>
    <w:p w14:paraId="68FCA9CA"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14:paraId="400A8BA4"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14:paraId="6F9BE393"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14:paraId="4A7665CE" w14:textId="77777777" w:rsidR="00A9271E" w:rsidRPr="000C3B01" w:rsidRDefault="00A9271E" w:rsidP="00A9271E">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14:paraId="3B2C5CCA" w14:textId="77777777" w:rsidR="00A9271E" w:rsidRPr="009D12B6" w:rsidRDefault="00A9271E" w:rsidP="00A9271E">
      <w:pPr>
        <w:pBdr>
          <w:bottom w:val="single" w:sz="12" w:space="1" w:color="auto"/>
        </w:pBdr>
        <w:jc w:val="center"/>
      </w:pPr>
    </w:p>
    <w:p w14:paraId="2FF079C4" w14:textId="77777777" w:rsidR="00A9271E" w:rsidRDefault="00A9271E" w:rsidP="00A9271E">
      <w:pPr>
        <w:jc w:val="center"/>
      </w:pPr>
    </w:p>
    <w:p w14:paraId="377C1983" w14:textId="606E0CA1" w:rsidR="0075280E" w:rsidRPr="0075280E" w:rsidRDefault="00615E16" w:rsidP="0075280E">
      <w:pPr>
        <w:pBdr>
          <w:bottom w:val="single" w:sz="12" w:space="1" w:color="auto"/>
        </w:pBdr>
        <w:jc w:val="center"/>
        <w:rPr>
          <w:rFonts w:ascii="Arial Bold" w:hAnsi="Arial Bold"/>
          <w:b/>
          <w:smallCaps/>
        </w:rPr>
      </w:pPr>
      <w:r>
        <w:rPr>
          <w:rFonts w:ascii="Arial Bold" w:hAnsi="Arial Bold"/>
          <w:b/>
          <w:smallCaps/>
        </w:rPr>
        <w:t>Surreply</w:t>
      </w:r>
      <w:r w:rsidRPr="0075280E">
        <w:rPr>
          <w:rFonts w:ascii="Arial Bold" w:hAnsi="Arial Bold"/>
          <w:b/>
          <w:smallCaps/>
        </w:rPr>
        <w:t xml:space="preserve"> of Industrial Energy Users-Ohio </w:t>
      </w:r>
      <w:r>
        <w:rPr>
          <w:rFonts w:ascii="Arial Bold" w:hAnsi="Arial Bold"/>
          <w:b/>
          <w:smallCaps/>
        </w:rPr>
        <w:t>Opposing</w:t>
      </w:r>
      <w:r w:rsidRPr="0075280E">
        <w:rPr>
          <w:rFonts w:ascii="Arial Bold" w:hAnsi="Arial Bold"/>
          <w:b/>
          <w:smallCaps/>
        </w:rPr>
        <w:t xml:space="preserve"> the Motion of The Dayton Power and Light Company to Implement the SSR Extension</w:t>
      </w:r>
    </w:p>
    <w:p w14:paraId="2EEB911B" w14:textId="77777777" w:rsidR="00A9271E" w:rsidRPr="007E6556" w:rsidRDefault="00A9271E" w:rsidP="00A9271E">
      <w:pPr>
        <w:pBdr>
          <w:bottom w:val="single" w:sz="12" w:space="1" w:color="auto"/>
        </w:pBdr>
        <w:jc w:val="center"/>
        <w:rPr>
          <w:rFonts w:ascii="Arial Bold" w:hAnsi="Arial Bold"/>
          <w:b/>
          <w:smallCaps/>
        </w:rPr>
      </w:pPr>
    </w:p>
    <w:p w14:paraId="1E2A7C79" w14:textId="77777777" w:rsidR="00A9271E" w:rsidRDefault="00A9271E" w:rsidP="00A9271E"/>
    <w:p w14:paraId="580D6918" w14:textId="43729F55" w:rsidR="00A03894" w:rsidRPr="00175181" w:rsidRDefault="00A03894" w:rsidP="00175181">
      <w:pPr>
        <w:pStyle w:val="Heading1"/>
        <w:numPr>
          <w:ilvl w:val="0"/>
          <w:numId w:val="2"/>
        </w:numPr>
      </w:pPr>
      <w:bookmarkStart w:id="10" w:name="_Toc454877903"/>
      <w:bookmarkStart w:id="11" w:name="_Toc454885967"/>
      <w:r w:rsidRPr="00175181">
        <w:t>Introduction</w:t>
      </w:r>
      <w:bookmarkEnd w:id="10"/>
      <w:bookmarkEnd w:id="11"/>
    </w:p>
    <w:p w14:paraId="16571EE7" w14:textId="20AC0302" w:rsidR="006E5062" w:rsidRDefault="003B74D1" w:rsidP="00175181">
      <w:pPr>
        <w:spacing w:line="480" w:lineRule="auto"/>
        <w:ind w:firstLine="720"/>
        <w:jc w:val="both"/>
      </w:pPr>
      <w:r>
        <w:t>As Industrial Energy Users-Ohio (“IEU-Ohio”) demonstrated in its Memorandum Contra the Motion</w:t>
      </w:r>
      <w:r w:rsidRPr="003B74D1">
        <w:t xml:space="preserve"> </w:t>
      </w:r>
      <w:r>
        <w:t>of the Dayton Power and Light Company (“DP&amp;L”), authorization of an increase in the Service Stability Rider-Extension (“SSR-E”) would permit DP&amp;L to bill and collect transition revenue or its equivalent</w:t>
      </w:r>
      <w:r w:rsidR="00504A7B">
        <w:t xml:space="preserve"> in violation of R.C. 4928.38</w:t>
      </w:r>
      <w:r>
        <w:t xml:space="preserve">.  </w:t>
      </w:r>
      <w:r w:rsidR="00504A7B">
        <w:t xml:space="preserve">In its Reply, DP&amp;L </w:t>
      </w:r>
      <w:r w:rsidR="008F7032">
        <w:t xml:space="preserve">has argued that the Public Utilities Commission </w:t>
      </w:r>
      <w:r w:rsidR="00474C16">
        <w:t xml:space="preserve">of Ohio (“Commission”) </w:t>
      </w:r>
      <w:r w:rsidR="008F7032">
        <w:t xml:space="preserve">may ignore the prohibition </w:t>
      </w:r>
      <w:r w:rsidR="00504A7B">
        <w:t xml:space="preserve">in R.C. 4928.38 and presented </w:t>
      </w:r>
      <w:r w:rsidR="00E76C48">
        <w:t xml:space="preserve">two </w:t>
      </w:r>
      <w:r w:rsidR="00504A7B">
        <w:t>claims to support that argument</w:t>
      </w:r>
      <w:r w:rsidR="000E6495">
        <w:t xml:space="preserve">: first, that the “notwithstanding” clause in R.C. 4928.143(B)(2) permits the Commission to authorize DP&amp;L to bill and collect transition revenue or its </w:t>
      </w:r>
      <w:r w:rsidR="00474C16">
        <w:t>equivalent despite the prohibition of s</w:t>
      </w:r>
      <w:r w:rsidR="00C7066A">
        <w:t>uch a charge under R.C. 4928.38;</w:t>
      </w:r>
      <w:r w:rsidR="00474C16">
        <w:t xml:space="preserve"> and second, that the Commission can ignore the prohibition in R.C. 4928.38 because there is an </w:t>
      </w:r>
      <w:r w:rsidR="00C7066A">
        <w:t>irreconcilable</w:t>
      </w:r>
      <w:r w:rsidR="00474C16">
        <w:t xml:space="preserve"> conflict between that section and </w:t>
      </w:r>
      <w:r w:rsidR="00C7066A">
        <w:t xml:space="preserve">the later-enacted </w:t>
      </w:r>
      <w:r w:rsidR="00474C16">
        <w:t xml:space="preserve">R.C. </w:t>
      </w:r>
      <w:r w:rsidR="00474C16">
        <w:lastRenderedPageBreak/>
        <w:t xml:space="preserve">4928.143(B)(2)(d).  </w:t>
      </w:r>
      <w:r w:rsidR="00415271">
        <w:t xml:space="preserve">Reply Memorandum in Support of the Motion of The Dayton Power and Light Company to Implement the SSR Extension Rider at 9-16 (May 13, 2016) (“DP&amp;L Reply”).  </w:t>
      </w:r>
    </w:p>
    <w:p w14:paraId="746E258A" w14:textId="62638092" w:rsidR="00A03894" w:rsidRDefault="00474C16" w:rsidP="00175181">
      <w:pPr>
        <w:spacing w:line="480" w:lineRule="auto"/>
        <w:ind w:firstLine="720"/>
        <w:jc w:val="both"/>
      </w:pPr>
      <w:r>
        <w:t>In defense of a similar rider</w:t>
      </w:r>
      <w:r w:rsidR="007A25F5">
        <w:t>, the Service Stability Rider (“SSR”)</w:t>
      </w:r>
      <w:r>
        <w:t xml:space="preserve">, DP&amp;L advanced these same </w:t>
      </w:r>
      <w:r w:rsidR="006E5062">
        <w:t>claims</w:t>
      </w:r>
      <w:r>
        <w:t xml:space="preserve"> to the Supreme Court</w:t>
      </w:r>
      <w:r w:rsidR="00E36B3E" w:rsidRPr="00E36B3E">
        <w:t xml:space="preserve"> </w:t>
      </w:r>
      <w:r w:rsidR="00E36B3E">
        <w:t>of Ohio</w:t>
      </w:r>
      <w:r>
        <w:t xml:space="preserve">.  </w:t>
      </w:r>
      <w:r w:rsidR="00A03894" w:rsidRPr="00175181">
        <w:t xml:space="preserve">On June 20, 2016, the Court </w:t>
      </w:r>
      <w:r w:rsidR="00EE1B21">
        <w:t xml:space="preserve">reversed the Commission’s authorization of </w:t>
      </w:r>
      <w:r w:rsidR="007A25F5">
        <w:t>the SSR</w:t>
      </w:r>
      <w:r w:rsidR="00A03894" w:rsidRPr="00175181">
        <w:t xml:space="preserve">. </w:t>
      </w:r>
      <w:r w:rsidR="00760F95">
        <w:t xml:space="preserve"> </w:t>
      </w:r>
      <w:r w:rsidR="00EE1B21">
        <w:t xml:space="preserve">Because the claims DP&amp;L has presented to support the authorization of an SSR-E rate </w:t>
      </w:r>
      <w:r w:rsidR="00954825">
        <w:t xml:space="preserve">increase </w:t>
      </w:r>
      <w:r w:rsidR="00EE1B21">
        <w:t xml:space="preserve">were squarely presented to the Court </w:t>
      </w:r>
      <w:r w:rsidR="00954825">
        <w:t>and</w:t>
      </w:r>
      <w:r w:rsidR="00EE1B21">
        <w:t xml:space="preserve"> rejected, t</w:t>
      </w:r>
      <w:r w:rsidR="00E52B4A">
        <w:t xml:space="preserve">he Court’s decision disposes of </w:t>
      </w:r>
      <w:r w:rsidR="00C95D51">
        <w:t>DP&amp;L’s</w:t>
      </w:r>
      <w:r w:rsidR="00E52B4A">
        <w:t xml:space="preserve"> claims that the Commission may </w:t>
      </w:r>
      <w:r w:rsidR="00AE3D5E">
        <w:t>ignore the prohibition of transition revenue or its equivalent contained in</w:t>
      </w:r>
      <w:r w:rsidR="00C95D51">
        <w:t xml:space="preserve"> R.C. 4928.38.  </w:t>
      </w:r>
      <w:r w:rsidR="00A14D98">
        <w:t>Accordingly</w:t>
      </w:r>
      <w:r w:rsidR="00AE3D5E">
        <w:t>, the Commission should deny DP&amp;L’s Motion to increase the SSR-E rate.</w:t>
      </w:r>
    </w:p>
    <w:p w14:paraId="3CD1B5EC" w14:textId="543CF101" w:rsidR="00A03894" w:rsidRDefault="00A03894" w:rsidP="00175181">
      <w:pPr>
        <w:pStyle w:val="Heading1"/>
      </w:pPr>
      <w:bookmarkStart w:id="12" w:name="_Toc454877904"/>
      <w:bookmarkStart w:id="13" w:name="_Toc454885968"/>
      <w:r>
        <w:t>Argument</w:t>
      </w:r>
      <w:bookmarkEnd w:id="12"/>
      <w:bookmarkEnd w:id="13"/>
    </w:p>
    <w:p w14:paraId="19F5CF93" w14:textId="408BDA66" w:rsidR="007A00C3" w:rsidRDefault="007A00C3" w:rsidP="0075280E">
      <w:pPr>
        <w:spacing w:line="480" w:lineRule="auto"/>
        <w:jc w:val="both"/>
      </w:pPr>
      <w:r>
        <w:tab/>
        <w:t xml:space="preserve">The Commission issued its Opinion and Order approving </w:t>
      </w:r>
      <w:r w:rsidR="00D00503">
        <w:t>the current</w:t>
      </w:r>
      <w:r>
        <w:t xml:space="preserve"> electric security plan (“ESP”) for DP&amp;L on September 4, 2013 and modified that order through an Entry Nunc </w:t>
      </w:r>
      <w:r w:rsidR="005F4758">
        <w:t>P</w:t>
      </w:r>
      <w:r>
        <w:t xml:space="preserve">ro Tunc on September 6, 2013.  </w:t>
      </w:r>
      <w:r w:rsidR="00D00503" w:rsidRPr="001E292A">
        <w:rPr>
          <w:i/>
        </w:rPr>
        <w:t xml:space="preserve">In the Matter of </w:t>
      </w:r>
      <w:r w:rsidR="00FA0ED8" w:rsidRPr="001E292A">
        <w:rPr>
          <w:i/>
        </w:rPr>
        <w:t xml:space="preserve">the Application of The Dayton Power and Light Company </w:t>
      </w:r>
      <w:r w:rsidR="00BE3BA5">
        <w:rPr>
          <w:i/>
        </w:rPr>
        <w:t>to</w:t>
      </w:r>
      <w:r w:rsidR="00BE3BA5" w:rsidRPr="001E292A">
        <w:rPr>
          <w:i/>
        </w:rPr>
        <w:t xml:space="preserve"> </w:t>
      </w:r>
      <w:r w:rsidR="00BE3BA5">
        <w:rPr>
          <w:i/>
        </w:rPr>
        <w:t>Establish a Standard Service Offer in the Form of an Electric Security Plan</w:t>
      </w:r>
      <w:r w:rsidR="00FA0ED8">
        <w:t>, Case No</w:t>
      </w:r>
      <w:r w:rsidR="007C0F15">
        <w:t>s</w:t>
      </w:r>
      <w:r w:rsidR="00FA0ED8">
        <w:t xml:space="preserve">. 12-426-EL-SSO, </w:t>
      </w:r>
      <w:r w:rsidR="00FA0ED8" w:rsidRPr="007C0F15">
        <w:rPr>
          <w:i/>
        </w:rPr>
        <w:t>et al</w:t>
      </w:r>
      <w:r w:rsidR="00FA0ED8">
        <w:t xml:space="preserve">., Opinion and Order (Sept. 4, 2013) and Entry Nunc </w:t>
      </w:r>
      <w:r w:rsidR="005F4758">
        <w:t>P</w:t>
      </w:r>
      <w:r w:rsidR="00FA0ED8">
        <w:t xml:space="preserve">ro Tunc (Sept. 6, 2013).  </w:t>
      </w:r>
      <w:r>
        <w:t xml:space="preserve">As a term of the ESP, the Commission authorized the </w:t>
      </w:r>
      <w:r w:rsidR="002306B3">
        <w:t>SSR</w:t>
      </w:r>
      <w:r>
        <w:t xml:space="preserve"> </w:t>
      </w:r>
      <w:r w:rsidR="000D52FB">
        <w:t>(</w:t>
      </w:r>
      <w:r>
        <w:t>with a term that ended on December 31, 2016</w:t>
      </w:r>
      <w:r w:rsidR="000D52FB">
        <w:t>)</w:t>
      </w:r>
      <w:r>
        <w:t xml:space="preserve"> and </w:t>
      </w:r>
      <w:r w:rsidR="00771BCF">
        <w:t>the</w:t>
      </w:r>
      <w:r>
        <w:t xml:space="preserve"> </w:t>
      </w:r>
      <w:r w:rsidR="00771BCF">
        <w:t>SSR-E</w:t>
      </w:r>
      <w:r>
        <w:t xml:space="preserve">.  Opinion and Order at 17-28; Entry Nunc </w:t>
      </w:r>
      <w:r w:rsidR="005F4758">
        <w:t>P</w:t>
      </w:r>
      <w:r>
        <w:t xml:space="preserve">ro Tunc at 2.  The Commission set </w:t>
      </w:r>
      <w:r w:rsidR="00D502D3">
        <w:t xml:space="preserve">the </w:t>
      </w:r>
      <w:r>
        <w:t xml:space="preserve">rate of the SSR-E at zero and required DP&amp;L to file an application and meet several conditions if it sought to </w:t>
      </w:r>
      <w:r w:rsidR="00385A6C">
        <w:t>increase the rate of</w:t>
      </w:r>
      <w:r>
        <w:t xml:space="preserve"> the SSR-E on or after January 1, 2017.  </w:t>
      </w:r>
      <w:r w:rsidR="00877042">
        <w:t xml:space="preserve">Opinion and Order at </w:t>
      </w:r>
      <w:r w:rsidR="00296EB4">
        <w:t xml:space="preserve">26-28; Entry Nunc </w:t>
      </w:r>
      <w:r w:rsidR="005F4758">
        <w:t>P</w:t>
      </w:r>
      <w:r w:rsidR="00296EB4">
        <w:t>ro Tunc at 2.</w:t>
      </w:r>
      <w:r>
        <w:t xml:space="preserve"> </w:t>
      </w:r>
    </w:p>
    <w:p w14:paraId="06290CD4" w14:textId="053A2631" w:rsidR="007A00C3" w:rsidRDefault="007A00C3" w:rsidP="0075280E">
      <w:pPr>
        <w:spacing w:line="480" w:lineRule="auto"/>
        <w:ind w:firstLine="720"/>
        <w:jc w:val="both"/>
      </w:pPr>
      <w:r>
        <w:lastRenderedPageBreak/>
        <w:t xml:space="preserve">IEU-Ohio and the Office of the Ohio Consumers’ Counsel </w:t>
      </w:r>
      <w:r w:rsidR="00385A6C">
        <w:t xml:space="preserve">(“OCC”) </w:t>
      </w:r>
      <w:r w:rsidR="00097005">
        <w:t xml:space="preserve">sought rehearing of the Opinion and Order.  After the Commission issued its final entry on rehearing and refused to suspend its authorization of the SSR, IEU-Ohio and OCC </w:t>
      </w:r>
      <w:r>
        <w:t xml:space="preserve">filed notices of appeal </w:t>
      </w:r>
      <w:r w:rsidR="00E95C95">
        <w:t>to</w:t>
      </w:r>
      <w:r>
        <w:t xml:space="preserve"> the </w:t>
      </w:r>
      <w:r w:rsidR="00822A7C">
        <w:t xml:space="preserve">Supreme </w:t>
      </w:r>
      <w:r w:rsidR="00B662F9">
        <w:t>Court</w:t>
      </w:r>
      <w:r w:rsidR="00822A7C">
        <w:t xml:space="preserve"> of Ohio</w:t>
      </w:r>
      <w:r>
        <w:t xml:space="preserve">.  </w:t>
      </w:r>
      <w:r w:rsidRPr="00175181">
        <w:rPr>
          <w:i/>
        </w:rPr>
        <w:t>See</w:t>
      </w:r>
      <w:r>
        <w:t xml:space="preserve">, </w:t>
      </w:r>
      <w:r w:rsidRPr="00175181">
        <w:rPr>
          <w:i/>
        </w:rPr>
        <w:t>e.g</w:t>
      </w:r>
      <w:r>
        <w:t>., Notice of Appeal of Industrial Energy Users-Ohio, Sup. Ct. Case No. 2014-1505 (Aug. 29, 2014).</w:t>
      </w:r>
      <w:r w:rsidR="00E95C95">
        <w:t xml:space="preserve">  </w:t>
      </w:r>
    </w:p>
    <w:p w14:paraId="6FDDCCFF" w14:textId="2B765356" w:rsidR="007A00C3" w:rsidRDefault="007A00C3" w:rsidP="0075280E">
      <w:pPr>
        <w:spacing w:line="480" w:lineRule="auto"/>
        <w:jc w:val="both"/>
      </w:pPr>
      <w:r>
        <w:tab/>
      </w:r>
      <w:r w:rsidR="00D378E6">
        <w:t xml:space="preserve">While the appeal </w:t>
      </w:r>
      <w:r w:rsidR="008B327A">
        <w:t xml:space="preserve">of the SSR was </w:t>
      </w:r>
      <w:r w:rsidR="001E292A">
        <w:t>pending</w:t>
      </w:r>
      <w:r w:rsidR="00652804">
        <w:t xml:space="preserve">, DP&amp;L filed an application for approval of a new ESP.  </w:t>
      </w:r>
      <w:r w:rsidR="001E292A" w:rsidRPr="00175181">
        <w:rPr>
          <w:i/>
        </w:rPr>
        <w:t>In the Matter of the Application of The Dayton Power and Light Company for Approval of its Electric Security Plan</w:t>
      </w:r>
      <w:r w:rsidR="001E292A">
        <w:t xml:space="preserve">, Case Nos. </w:t>
      </w:r>
      <w:r w:rsidR="00D33BBC">
        <w:t>16</w:t>
      </w:r>
      <w:r w:rsidR="001E292A">
        <w:t xml:space="preserve">-395-EL-SSO, </w:t>
      </w:r>
      <w:r w:rsidR="001E292A" w:rsidRPr="00175181">
        <w:rPr>
          <w:i/>
        </w:rPr>
        <w:t>et al</w:t>
      </w:r>
      <w:r w:rsidR="001E292A">
        <w:t xml:space="preserve">., </w:t>
      </w:r>
      <w:r w:rsidR="00121A73">
        <w:t>Application (Feb. 22, 2016) (</w:t>
      </w:r>
      <w:r w:rsidR="007C0F15">
        <w:t>“</w:t>
      </w:r>
      <w:r w:rsidR="00121A73" w:rsidRPr="007C0F15">
        <w:rPr>
          <w:i/>
        </w:rPr>
        <w:t>DP&amp;L ESP III</w:t>
      </w:r>
      <w:r w:rsidR="00121A73">
        <w:t xml:space="preserve">”).  </w:t>
      </w:r>
      <w:r w:rsidR="00771BCF">
        <w:t>In</w:t>
      </w:r>
      <w:r w:rsidR="007C0F15">
        <w:t xml:space="preserve"> the </w:t>
      </w:r>
      <w:r w:rsidR="007C0F15" w:rsidRPr="007C0F15">
        <w:rPr>
          <w:i/>
        </w:rPr>
        <w:t>DP&amp;L ESP III</w:t>
      </w:r>
      <w:r w:rsidR="007C0F15">
        <w:t xml:space="preserve"> </w:t>
      </w:r>
      <w:r w:rsidR="00FE5BA1">
        <w:t xml:space="preserve">case </w:t>
      </w:r>
      <w:r w:rsidR="00771BCF">
        <w:t>on March 30, 2016</w:t>
      </w:r>
      <w:r w:rsidR="00E95C95">
        <w:t xml:space="preserve">, </w:t>
      </w:r>
      <w:r>
        <w:t xml:space="preserve">DP&amp;L filed a motion seeking </w:t>
      </w:r>
      <w:r w:rsidR="00D502D3">
        <w:t>to increase the rate of the</w:t>
      </w:r>
      <w:r>
        <w:t xml:space="preserve"> SSR-E and asserted that it had satisfied the conditions that the Commission had established for implementation of </w:t>
      </w:r>
      <w:r w:rsidR="00B86931">
        <w:t>an</w:t>
      </w:r>
      <w:r w:rsidR="008D2D51">
        <w:t xml:space="preserve"> SSR-E </w:t>
      </w:r>
      <w:r>
        <w:t xml:space="preserve">rate increase.  </w:t>
      </w:r>
      <w:r w:rsidR="00377938">
        <w:t>Motion of The Dayton Power and Light Company to Implement the SSR Extension Rider (Mar. 30, 2016)</w:t>
      </w:r>
      <w:r w:rsidR="00BA3F6E">
        <w:t xml:space="preserve"> (</w:t>
      </w:r>
      <w:r w:rsidR="00CD3B5E">
        <w:t>“</w:t>
      </w:r>
      <w:r w:rsidR="00BA3F6E">
        <w:t>DP&amp;L Motion”)</w:t>
      </w:r>
      <w:r w:rsidR="00377938">
        <w:t>.</w:t>
      </w:r>
    </w:p>
    <w:p w14:paraId="2B0E4461" w14:textId="17AFD25D" w:rsidR="00B850B7" w:rsidRDefault="00B850B7" w:rsidP="0075280E">
      <w:pPr>
        <w:spacing w:line="480" w:lineRule="auto"/>
        <w:jc w:val="both"/>
      </w:pPr>
      <w:r>
        <w:tab/>
        <w:t xml:space="preserve">On April 21, 2016, the </w:t>
      </w:r>
      <w:r w:rsidR="00A02307">
        <w:t xml:space="preserve">Supreme </w:t>
      </w:r>
      <w:r w:rsidR="00521923">
        <w:t>Court</w:t>
      </w:r>
      <w:r w:rsidR="00A02307">
        <w:t xml:space="preserve"> of Ohio</w:t>
      </w:r>
      <w:r>
        <w:t xml:space="preserve"> issued a decision </w:t>
      </w:r>
      <w:r w:rsidR="0071027D">
        <w:t>reversing the Commission’s authorization of the receipt of transition revenue through a stability rider</w:t>
      </w:r>
      <w:r w:rsidR="0013265F">
        <w:t xml:space="preserve">.  </w:t>
      </w:r>
      <w:r w:rsidR="006A6C87">
        <w:t xml:space="preserve">In </w:t>
      </w:r>
      <w:r w:rsidR="00A03894">
        <w:t>that</w:t>
      </w:r>
      <w:r w:rsidR="006A6C87">
        <w:t xml:space="preserve"> decision, the Court held that the Commission had violated R.C. 4928.38 when it authorized the </w:t>
      </w:r>
      <w:r w:rsidR="00A04F9E">
        <w:t>billing and collection of transition revenue or its equivalent</w:t>
      </w:r>
      <w:r w:rsidR="006A6C87">
        <w:t xml:space="preserve"> </w:t>
      </w:r>
      <w:r w:rsidR="00240769">
        <w:t xml:space="preserve">by </w:t>
      </w:r>
      <w:r w:rsidR="006A6C87">
        <w:t>the Ohio Power Company</w:t>
      </w:r>
      <w:r w:rsidR="00C918D4">
        <w:t xml:space="preserve"> (“AEP-Ohio”)</w:t>
      </w:r>
      <w:r w:rsidR="006A6C87">
        <w:t xml:space="preserve"> under the guise of R.C. 4928.143(B)(2)(d).  </w:t>
      </w:r>
      <w:r w:rsidR="006A6C87" w:rsidRPr="005C3242">
        <w:rPr>
          <w:i/>
        </w:rPr>
        <w:t xml:space="preserve">In re Application of Columbus </w:t>
      </w:r>
      <w:r w:rsidR="00846C8B">
        <w:rPr>
          <w:i/>
        </w:rPr>
        <w:t>Southern</w:t>
      </w:r>
      <w:r w:rsidR="006A6C87" w:rsidRPr="005C3242">
        <w:rPr>
          <w:i/>
        </w:rPr>
        <w:t xml:space="preserve"> Power Co</w:t>
      </w:r>
      <w:r w:rsidR="006A6C87">
        <w:t xml:space="preserve">., Slip Op. 2016-Ohio-1608, </w:t>
      </w:r>
      <w:r w:rsidR="006A6C87">
        <w:rPr>
          <w:rFonts w:cs="Arial"/>
        </w:rPr>
        <w:t>¶¶</w:t>
      </w:r>
      <w:r w:rsidR="006A6C87">
        <w:t xml:space="preserve"> 12-40 (Apr. 21, 2016) (“</w:t>
      </w:r>
      <w:r w:rsidR="006A6C87" w:rsidRPr="00493633">
        <w:rPr>
          <w:i/>
        </w:rPr>
        <w:t>CSP</w:t>
      </w:r>
      <w:r w:rsidR="006A6C87">
        <w:t xml:space="preserve">”).  </w:t>
      </w:r>
    </w:p>
    <w:p w14:paraId="5D620CE3" w14:textId="0CD2FCC0" w:rsidR="007A00C3" w:rsidRDefault="007A00C3" w:rsidP="0075280E">
      <w:pPr>
        <w:spacing w:line="480" w:lineRule="auto"/>
        <w:ind w:firstLine="720"/>
        <w:jc w:val="both"/>
      </w:pPr>
      <w:r>
        <w:t>On April 29, 2016,</w:t>
      </w:r>
      <w:r>
        <w:rPr>
          <w:rStyle w:val="FootnoteReference"/>
        </w:rPr>
        <w:footnoteReference w:id="4"/>
      </w:r>
      <w:r>
        <w:t xml:space="preserve"> IEU-Ohio file</w:t>
      </w:r>
      <w:r w:rsidR="00BA3F6E">
        <w:t xml:space="preserve">d its memorandum </w:t>
      </w:r>
      <w:r w:rsidR="00822A7C">
        <w:t>opposing the</w:t>
      </w:r>
      <w:r w:rsidR="00A02307">
        <w:t xml:space="preserve"> </w:t>
      </w:r>
      <w:r w:rsidR="00240769">
        <w:t>DP&amp;L Motion to increase the rate of the SSR-E</w:t>
      </w:r>
      <w:r>
        <w:t xml:space="preserve">.  </w:t>
      </w:r>
      <w:r w:rsidR="00C13F42">
        <w:t xml:space="preserve">Industrial Energy Users-Ohio’s Memorandum Contra </w:t>
      </w:r>
      <w:r w:rsidR="00C13F42">
        <w:lastRenderedPageBreak/>
        <w:t xml:space="preserve">the Motion of The Dayton Power and Light Company to Implement the SSR Extension Rider at 6-15 (Apr. 29, 2016) (“IEU-Ohio Memo Contra”).  </w:t>
      </w:r>
      <w:r w:rsidR="00AD2F16">
        <w:t xml:space="preserve">In </w:t>
      </w:r>
      <w:r w:rsidR="00C13F42">
        <w:t>the</w:t>
      </w:r>
      <w:r w:rsidR="00AD2F16">
        <w:t xml:space="preserve"> </w:t>
      </w:r>
      <w:r w:rsidR="00C13F42">
        <w:t>M</w:t>
      </w:r>
      <w:r w:rsidR="00AD2F16">
        <w:t>emorandum</w:t>
      </w:r>
      <w:r w:rsidR="00C13F42">
        <w:t xml:space="preserve"> Contra</w:t>
      </w:r>
      <w:r w:rsidR="00AD2F16">
        <w:t xml:space="preserve">, </w:t>
      </w:r>
      <w:r>
        <w:t xml:space="preserve">IEU-Ohio demonstrated that DP&amp;L had failed to satisfy the conditions for an increase </w:t>
      </w:r>
      <w:r w:rsidR="00822A7C">
        <w:t>of</w:t>
      </w:r>
      <w:r>
        <w:t xml:space="preserve"> the SSR-E rate set out in the Opinion and Order.  </w:t>
      </w:r>
      <w:r w:rsidR="00B625EA" w:rsidRPr="00175181">
        <w:rPr>
          <w:i/>
        </w:rPr>
        <w:t>Id</w:t>
      </w:r>
      <w:r w:rsidR="00B625EA">
        <w:t xml:space="preserve">. at 6-15.  </w:t>
      </w:r>
      <w:r>
        <w:t>Additionally, IEU-Ohio</w:t>
      </w:r>
      <w:r w:rsidR="00990FB6">
        <w:t>,</w:t>
      </w:r>
      <w:r>
        <w:t xml:space="preserve"> </w:t>
      </w:r>
      <w:r w:rsidR="00990FB6">
        <w:t xml:space="preserve">citing the Court’s decision in </w:t>
      </w:r>
      <w:r w:rsidR="00990FB6" w:rsidRPr="003F6FC3">
        <w:rPr>
          <w:i/>
        </w:rPr>
        <w:t>CSP</w:t>
      </w:r>
      <w:r w:rsidR="00990FB6">
        <w:t xml:space="preserve">, </w:t>
      </w:r>
      <w:r>
        <w:t>argued that authorization of the</w:t>
      </w:r>
      <w:r w:rsidR="00A03894">
        <w:t xml:space="preserve"> rate</w:t>
      </w:r>
      <w:r>
        <w:t xml:space="preserve"> increase would trigger a violation of R.C. 4928.38 because it would permit DP&amp;L to bill and collect transition revenue or its equivalent.  </w:t>
      </w:r>
      <w:r w:rsidRPr="00175181">
        <w:rPr>
          <w:i/>
        </w:rPr>
        <w:t>Id</w:t>
      </w:r>
      <w:r>
        <w:t xml:space="preserve">. at 18-20.  </w:t>
      </w:r>
    </w:p>
    <w:p w14:paraId="15953D87" w14:textId="22D7CDE4" w:rsidR="00EF71FD" w:rsidRDefault="007A00C3" w:rsidP="0075280E">
      <w:pPr>
        <w:spacing w:line="480" w:lineRule="auto"/>
        <w:ind w:firstLine="720"/>
        <w:jc w:val="both"/>
      </w:pPr>
      <w:r>
        <w:t xml:space="preserve">DP&amp;L filed </w:t>
      </w:r>
      <w:r w:rsidR="00C7623C">
        <w:t xml:space="preserve">a </w:t>
      </w:r>
      <w:r>
        <w:t xml:space="preserve">reply </w:t>
      </w:r>
      <w:r w:rsidR="00297ABF">
        <w:t xml:space="preserve">to IEU-Ohio’s Memo Contra </w:t>
      </w:r>
      <w:r>
        <w:t>on May 13, 2016.</w:t>
      </w:r>
      <w:r>
        <w:rPr>
          <w:rStyle w:val="FootnoteReference"/>
        </w:rPr>
        <w:footnoteReference w:id="5"/>
      </w:r>
      <w:r>
        <w:t xml:space="preserve">  </w:t>
      </w:r>
      <w:r w:rsidRPr="00F03B6E">
        <w:t xml:space="preserve">In that reply, DP&amp;L argued in part that the Commission should not rely on the Court’s decision in </w:t>
      </w:r>
      <w:r w:rsidRPr="00F03B6E">
        <w:rPr>
          <w:i/>
        </w:rPr>
        <w:t>CSP</w:t>
      </w:r>
      <w:r w:rsidRPr="00F03B6E">
        <w:t xml:space="preserve"> to deny </w:t>
      </w:r>
      <w:r w:rsidR="00297ABF" w:rsidRPr="00F03B6E">
        <w:t>the</w:t>
      </w:r>
      <w:r w:rsidRPr="00F03B6E">
        <w:t xml:space="preserve"> request for a</w:t>
      </w:r>
      <w:r w:rsidR="00374305">
        <w:t xml:space="preserve">n </w:t>
      </w:r>
      <w:r w:rsidR="00374305" w:rsidRPr="00F03B6E">
        <w:t xml:space="preserve">SSR-E </w:t>
      </w:r>
      <w:r w:rsidR="00374305">
        <w:t>rate</w:t>
      </w:r>
      <w:r w:rsidRPr="00F03B6E">
        <w:t xml:space="preserve"> increase because</w:t>
      </w:r>
      <w:r w:rsidR="00235BD9" w:rsidRPr="00F03B6E">
        <w:t xml:space="preserve"> </w:t>
      </w:r>
      <w:r w:rsidR="00AC78DE" w:rsidRPr="00F03B6E">
        <w:t>DP&amp;L</w:t>
      </w:r>
      <w:r w:rsidR="00235BD9" w:rsidRPr="00F03B6E">
        <w:t xml:space="preserve"> was seeking a “</w:t>
      </w:r>
      <w:r w:rsidR="00F665AC" w:rsidRPr="00F03B6E">
        <w:t>stability</w:t>
      </w:r>
      <w:r w:rsidR="00235BD9" w:rsidRPr="00F03B6E">
        <w:t>”</w:t>
      </w:r>
      <w:r w:rsidR="00592B40" w:rsidRPr="00F03B6E">
        <w:t xml:space="preserve"> charge</w:t>
      </w:r>
      <w:r w:rsidR="00A03894" w:rsidRPr="00F03B6E">
        <w:t xml:space="preserve"> permitted by R.C. 4928.143(B)(2)(d)</w:t>
      </w:r>
      <w:r w:rsidR="00592B40" w:rsidRPr="00F03B6E">
        <w:t>.</w:t>
      </w:r>
      <w:r w:rsidR="005E701E" w:rsidRPr="00F03B6E">
        <w:t xml:space="preserve">  </w:t>
      </w:r>
      <w:r w:rsidR="00415271" w:rsidRPr="00F03B6E">
        <w:t>DP&amp;L Reply</w:t>
      </w:r>
      <w:r w:rsidR="005E701E" w:rsidRPr="00F03B6E">
        <w:t xml:space="preserve"> at 9-10.</w:t>
      </w:r>
      <w:r w:rsidR="00592B40">
        <w:t xml:space="preserve">  Further, it asserted</w:t>
      </w:r>
      <w:r w:rsidR="00235BD9">
        <w:t xml:space="preserve"> that</w:t>
      </w:r>
      <w:r>
        <w:t xml:space="preserve"> the Court had not addressed </w:t>
      </w:r>
      <w:r w:rsidR="00743830">
        <w:t>its</w:t>
      </w:r>
      <w:r>
        <w:t xml:space="preserve"> </w:t>
      </w:r>
      <w:r w:rsidR="00246E29">
        <w:t>argument</w:t>
      </w:r>
      <w:r w:rsidR="006E5062">
        <w:t xml:space="preserve"> </w:t>
      </w:r>
      <w:r>
        <w:t xml:space="preserve">that the Commission could authorize the recovery of transition revenue under R.C. 4928.143(B)(2)(d) under alternative </w:t>
      </w:r>
      <w:r w:rsidR="00246E29">
        <w:t>claims</w:t>
      </w:r>
      <w:r w:rsidR="007E58B2">
        <w:t xml:space="preserve">.  These alternative </w:t>
      </w:r>
      <w:r w:rsidR="00246E29">
        <w:t xml:space="preserve">claims </w:t>
      </w:r>
      <w:r w:rsidR="007E58B2">
        <w:t>were</w:t>
      </w:r>
      <w:r>
        <w:t xml:space="preserve"> that</w:t>
      </w:r>
      <w:r w:rsidR="007E58B2">
        <w:t xml:space="preserve"> </w:t>
      </w:r>
      <w:r w:rsidR="00743830">
        <w:t xml:space="preserve">(1) </w:t>
      </w:r>
      <w:r w:rsidR="007E58B2">
        <w:t>the Commission could authorize DP&amp;L to bill and collect transition revenue or its equivalent under</w:t>
      </w:r>
      <w:r>
        <w:t xml:space="preserve"> </w:t>
      </w:r>
      <w:r w:rsidR="007E58B2">
        <w:t>R.C. 4928.143(B)(2)(d)</w:t>
      </w:r>
      <w:r>
        <w:t xml:space="preserve"> </w:t>
      </w:r>
      <w:r w:rsidR="00D81CC8">
        <w:t>because</w:t>
      </w:r>
      <w:r>
        <w:t xml:space="preserve"> the “notwithstanding” clause of R.C. 4928.143(B)(2) </w:t>
      </w:r>
      <w:r w:rsidR="00D81CC8">
        <w:t>permitted the Commission to ignore the prohibition in R.C. 4928.38</w:t>
      </w:r>
      <w:r w:rsidR="00AC78DE">
        <w:t>,</w:t>
      </w:r>
      <w:r w:rsidR="00D81CC8">
        <w:t xml:space="preserve"> </w:t>
      </w:r>
      <w:r>
        <w:t xml:space="preserve">and </w:t>
      </w:r>
      <w:r w:rsidR="00743830">
        <w:t xml:space="preserve">(2) the Commission could ignore the </w:t>
      </w:r>
      <w:r w:rsidR="00A03894">
        <w:t xml:space="preserve">prohibition in 4928.38 </w:t>
      </w:r>
      <w:r w:rsidR="00743830">
        <w:t>because there was</w:t>
      </w:r>
      <w:r>
        <w:t xml:space="preserve"> an irreconcilable </w:t>
      </w:r>
      <w:r w:rsidR="00743830">
        <w:t>conflict</w:t>
      </w:r>
      <w:r>
        <w:t xml:space="preserve"> between R.C. 4928.143(B)(2)(d) and R.C. 4928.38 </w:t>
      </w:r>
      <w:r w:rsidR="00EF71FD">
        <w:t xml:space="preserve">that </w:t>
      </w:r>
      <w:r>
        <w:t xml:space="preserve">required the former section to be enforced.  </w:t>
      </w:r>
      <w:r w:rsidR="00F2019A" w:rsidRPr="00175181">
        <w:rPr>
          <w:i/>
        </w:rPr>
        <w:t>Id</w:t>
      </w:r>
      <w:r w:rsidR="00F2019A">
        <w:t>.</w:t>
      </w:r>
      <w:r>
        <w:t xml:space="preserve"> at 11-16.</w:t>
      </w:r>
      <w:r w:rsidR="00EF71FD" w:rsidRPr="00EF71FD">
        <w:t xml:space="preserve"> </w:t>
      </w:r>
    </w:p>
    <w:p w14:paraId="19662E73" w14:textId="6C94C3A2" w:rsidR="007527BF" w:rsidRDefault="007A00C3" w:rsidP="0075280E">
      <w:pPr>
        <w:spacing w:line="480" w:lineRule="auto"/>
        <w:ind w:firstLine="720"/>
        <w:jc w:val="both"/>
      </w:pPr>
      <w:r>
        <w:t xml:space="preserve">After the Court issued </w:t>
      </w:r>
      <w:r w:rsidR="0028748E">
        <w:t xml:space="preserve">the </w:t>
      </w:r>
      <w:r w:rsidR="0028748E" w:rsidRPr="00ED586C">
        <w:rPr>
          <w:i/>
        </w:rPr>
        <w:t>CSP</w:t>
      </w:r>
      <w:r>
        <w:t xml:space="preserve"> decision, </w:t>
      </w:r>
      <w:r w:rsidR="00EF71FD">
        <w:t xml:space="preserve">DP&amp;L </w:t>
      </w:r>
      <w:r w:rsidR="00511781">
        <w:t xml:space="preserve">(with </w:t>
      </w:r>
      <w:r>
        <w:t>the Commission</w:t>
      </w:r>
      <w:r w:rsidR="00511781">
        <w:t>)</w:t>
      </w:r>
      <w:r>
        <w:t xml:space="preserve"> </w:t>
      </w:r>
      <w:r w:rsidR="0028748E">
        <w:t xml:space="preserve">filed </w:t>
      </w:r>
      <w:r w:rsidR="00ED586C">
        <w:t xml:space="preserve">with the Court </w:t>
      </w:r>
      <w:r w:rsidR="0028748E">
        <w:t xml:space="preserve">a supplemental brief </w:t>
      </w:r>
      <w:r w:rsidR="00ED586C">
        <w:t>defending the</w:t>
      </w:r>
      <w:r>
        <w:t xml:space="preserve"> Commission’s authorization of the SSR.  </w:t>
      </w:r>
      <w:r w:rsidRPr="00493633">
        <w:rPr>
          <w:i/>
        </w:rPr>
        <w:lastRenderedPageBreak/>
        <w:t>In re Matter of the Application of The Dayton Power and Light Company for Approval of its Electric Security Plan</w:t>
      </w:r>
      <w:r>
        <w:t>, Sup. Ct. Case No. 14-1505, Supplemental Brief of Appellee the Public Utilities Commission of Ohio and Cross-Appellant the Dayton Power and Light Company Regarding Recent Supreme Court Decision (June 2, 2016</w:t>
      </w:r>
      <w:r w:rsidR="00592B40">
        <w:t>)</w:t>
      </w:r>
      <w:r>
        <w:t xml:space="preserve">. </w:t>
      </w:r>
      <w:r w:rsidR="00A03894">
        <w:t xml:space="preserve"> In the supplemental brief, DP&amp;L urged</w:t>
      </w:r>
      <w:r w:rsidR="00915F21">
        <w:t xml:space="preserve"> the Court to find that its </w:t>
      </w:r>
      <w:r w:rsidR="004A2FA5">
        <w:t xml:space="preserve">decision in </w:t>
      </w:r>
      <w:r w:rsidR="004A2FA5" w:rsidRPr="003600F2">
        <w:rPr>
          <w:i/>
        </w:rPr>
        <w:t>CSP</w:t>
      </w:r>
      <w:r w:rsidR="004A2FA5">
        <w:t xml:space="preserve"> </w:t>
      </w:r>
      <w:r w:rsidR="00A03894">
        <w:t xml:space="preserve">did not require reversal of the authorization of the SSR.  Repeating </w:t>
      </w:r>
      <w:r w:rsidR="00246E29">
        <w:t xml:space="preserve">claims </w:t>
      </w:r>
      <w:r w:rsidR="00A03894">
        <w:t xml:space="preserve">it had previously presented in its merit briefs to the Court, DP&amp;L argued that </w:t>
      </w:r>
      <w:r w:rsidR="00A03894" w:rsidRPr="009A2AEA">
        <w:rPr>
          <w:i/>
        </w:rPr>
        <w:t>CSP</w:t>
      </w:r>
      <w:r w:rsidR="00A03894">
        <w:t xml:space="preserve"> was not controlling </w:t>
      </w:r>
      <w:r w:rsidR="004A2FA5">
        <w:t xml:space="preserve">because </w:t>
      </w:r>
      <w:r>
        <w:t xml:space="preserve">the “notwithstanding” clause in R.C. 4928.143(B)(2) permitted the Commission </w:t>
      </w:r>
      <w:r w:rsidR="00A03894">
        <w:t>to ignore the prohibition in R.C. 4928.38</w:t>
      </w:r>
      <w:r>
        <w:t xml:space="preserve">.  </w:t>
      </w:r>
      <w:r w:rsidRPr="00175181">
        <w:rPr>
          <w:i/>
        </w:rPr>
        <w:t>Id</w:t>
      </w:r>
      <w:r>
        <w:t xml:space="preserve">. at 3-6.  </w:t>
      </w:r>
      <w:r w:rsidR="00A03894">
        <w:t>Additionally</w:t>
      </w:r>
      <w:r>
        <w:t xml:space="preserve">, </w:t>
      </w:r>
      <w:r w:rsidR="00A03894">
        <w:t xml:space="preserve">DP&amp;L </w:t>
      </w:r>
      <w:r>
        <w:t xml:space="preserve">argued </w:t>
      </w:r>
      <w:r w:rsidR="00A03894">
        <w:t>R.C. 4928.38</w:t>
      </w:r>
      <w:r>
        <w:t xml:space="preserve"> irreconcilably conflicts with the subsequently enacted authority provided by R.C. 4928.143(B)(2)(d) and the conflict should be resolved in favor of the more recently enacted statute.  </w:t>
      </w:r>
      <w:r w:rsidRPr="00175181">
        <w:rPr>
          <w:i/>
        </w:rPr>
        <w:t>Id</w:t>
      </w:r>
      <w:r>
        <w:t xml:space="preserve">. at 6-9.  </w:t>
      </w:r>
    </w:p>
    <w:p w14:paraId="0010B36B" w14:textId="36C53D99" w:rsidR="007A00C3" w:rsidRDefault="007A00C3" w:rsidP="0075280E">
      <w:pPr>
        <w:spacing w:line="480" w:lineRule="auto"/>
        <w:ind w:firstLine="720"/>
        <w:jc w:val="both"/>
      </w:pPr>
      <w:r>
        <w:t xml:space="preserve">IEU-Ohio and OCC </w:t>
      </w:r>
      <w:r w:rsidR="00B03E05">
        <w:t>filed</w:t>
      </w:r>
      <w:r>
        <w:t xml:space="preserve"> </w:t>
      </w:r>
      <w:r w:rsidR="0024158D">
        <w:t xml:space="preserve">supplemental </w:t>
      </w:r>
      <w:r>
        <w:t>brief</w:t>
      </w:r>
      <w:r w:rsidR="00B03E05">
        <w:t>s responding to</w:t>
      </w:r>
      <w:r>
        <w:t xml:space="preserve"> DP&amp;L and demonstrated that R.C. 4928.143 does not authorize the collection of transition revenue or its equivalent and that the interpretation of the Commission’s statutory authority </w:t>
      </w:r>
      <w:r w:rsidR="00B03E05">
        <w:t xml:space="preserve">advanced by DP&amp;L </w:t>
      </w:r>
      <w:r>
        <w:t xml:space="preserve">under R.C. 4928.143 and 4928.38 violated legislative intent and the Commission’s application of the statutes.  See </w:t>
      </w:r>
      <w:r w:rsidRPr="00493633">
        <w:rPr>
          <w:i/>
        </w:rPr>
        <w:t>In re Matter of the Application of The Dayton Power and Light Company for Approval of its Electric Security Plan</w:t>
      </w:r>
      <w:r>
        <w:t>, Sup. Ct. Case No. 14-1505, Supplemental Brief of Appellant/Cross Appellee Industrial Energy Users-Ohio (June 6, 2016) and Supplemental Brief by Appellant the Office of the Ohio Consumers’ Counsel (June 7, 2016).</w:t>
      </w:r>
      <w:r w:rsidR="006D4933">
        <w:t xml:space="preserve">  Those arguments, set out below, </w:t>
      </w:r>
      <w:r w:rsidR="00F625B1">
        <w:t xml:space="preserve">also dispose of </w:t>
      </w:r>
      <w:r w:rsidR="006D4933">
        <w:t>DP&amp;L’s assertion that the Commission can authorize an increase in the SSR-E.</w:t>
      </w:r>
    </w:p>
    <w:p w14:paraId="759DBF02" w14:textId="28AA718D" w:rsidR="00F057CF" w:rsidRDefault="008A12A1" w:rsidP="008A12A1">
      <w:pPr>
        <w:pStyle w:val="Heading2"/>
      </w:pPr>
      <w:bookmarkStart w:id="14" w:name="_Toc454877905"/>
      <w:bookmarkStart w:id="15" w:name="_Toc454885969"/>
      <w:r>
        <w:t xml:space="preserve">Receipt of transition revenue or its equivalent cannot be authorized under </w:t>
      </w:r>
      <w:r w:rsidR="00F057CF">
        <w:t>R.C. 4928.143(B)(2)(d)</w:t>
      </w:r>
      <w:bookmarkEnd w:id="14"/>
      <w:bookmarkEnd w:id="15"/>
      <w:r w:rsidR="00F057CF">
        <w:t xml:space="preserve"> </w:t>
      </w:r>
    </w:p>
    <w:p w14:paraId="31717118" w14:textId="4F8F70A5" w:rsidR="00F057CF" w:rsidRPr="00F057CF" w:rsidRDefault="00F057CF" w:rsidP="00F057CF">
      <w:pPr>
        <w:spacing w:line="480" w:lineRule="auto"/>
        <w:ind w:firstLine="720"/>
        <w:jc w:val="both"/>
      </w:pPr>
      <w:r w:rsidRPr="00F057CF">
        <w:lastRenderedPageBreak/>
        <w:t>In asserting that the Commission can authorize the SSR</w:t>
      </w:r>
      <w:r w:rsidR="009619B8">
        <w:t>-E</w:t>
      </w:r>
      <w:r w:rsidRPr="00F057CF">
        <w:t xml:space="preserve"> to bill and collect transition revenue or its equivalent, DP&amp;L assume</w:t>
      </w:r>
      <w:r w:rsidR="00816CF1">
        <w:t>s</w:t>
      </w:r>
      <w:r w:rsidRPr="00F057CF">
        <w:t xml:space="preserve"> that the Commission can authorize under R.C. 4928.143(B)(2)(d) the collection of transition revenue or its equivalent.  As the Court has already held, that claim is incorrect.  </w:t>
      </w:r>
      <w:r w:rsidR="00A331B6">
        <w:rPr>
          <w:i/>
        </w:rPr>
        <w:t>CSP</w:t>
      </w:r>
      <w:r w:rsidRPr="00F057CF">
        <w:t>, at ¶¶ 14-40.</w:t>
      </w:r>
    </w:p>
    <w:p w14:paraId="680C7D75" w14:textId="7F7738F4" w:rsidR="00F057CF" w:rsidRPr="00F057CF" w:rsidRDefault="00EA0039" w:rsidP="00F057CF">
      <w:pPr>
        <w:spacing w:line="480" w:lineRule="auto"/>
        <w:ind w:firstLine="720"/>
        <w:jc w:val="both"/>
      </w:pPr>
      <w:r>
        <w:t>The</w:t>
      </w:r>
      <w:r w:rsidR="00CE7FD0">
        <w:t xml:space="preserve"> terms that may be approved as part of an ESP </w:t>
      </w:r>
      <w:r w:rsidR="00A208DF">
        <w:t xml:space="preserve">are limited </w:t>
      </w:r>
      <w:r w:rsidR="00CE7FD0">
        <w:t xml:space="preserve">to those provided by R.C. 4928.143(B)(2).  </w:t>
      </w:r>
      <w:r w:rsidR="00CE7FD0" w:rsidRPr="003A237D">
        <w:rPr>
          <w:i/>
        </w:rPr>
        <w:t>In re Columbus S. Power Co.</w:t>
      </w:r>
      <w:r w:rsidR="00CE7FD0">
        <w:t xml:space="preserve">, 128 Ohio St.3d 512 (2011).  </w:t>
      </w:r>
      <w:r w:rsidR="00F057CF" w:rsidRPr="00F057CF">
        <w:t xml:space="preserve">R.C. 4928.143(B)(2)(d) provides that an ESP may contain “terms, conditions, or charges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  </w:t>
      </w:r>
      <w:r w:rsidR="00A331B6">
        <w:t>T</w:t>
      </w:r>
      <w:r w:rsidR="00F057CF" w:rsidRPr="00F057CF">
        <w:t xml:space="preserve">his language does not authorize the billing and collection of lost generation revenue or transition revenue designed to maintain the financial integrity of an electric utility’s retail generation business. </w:t>
      </w:r>
      <w:r w:rsidR="00F057CF" w:rsidRPr="00F057CF">
        <w:rPr>
          <w:i/>
        </w:rPr>
        <w:t xml:space="preserve"> </w:t>
      </w:r>
      <w:r w:rsidR="00F057CF" w:rsidRPr="00F057CF">
        <w:t xml:space="preserve">Accordingly, the premise </w:t>
      </w:r>
      <w:r w:rsidR="00A331B6">
        <w:t>of DP&amp;L’s argument relying on</w:t>
      </w:r>
      <w:r w:rsidR="00F057CF" w:rsidRPr="00F057CF">
        <w:t xml:space="preserve"> R.C. 4928.143(B)(2)(d) is wrong.</w:t>
      </w:r>
    </w:p>
    <w:p w14:paraId="3E6CFF82" w14:textId="77777777" w:rsidR="00FB2413" w:rsidRPr="00FB2413" w:rsidRDefault="00FB2413" w:rsidP="00A77977">
      <w:pPr>
        <w:pStyle w:val="Heading2"/>
      </w:pPr>
      <w:bookmarkStart w:id="16" w:name="_Toc451524173"/>
      <w:bookmarkStart w:id="17" w:name="_Toc451762652"/>
      <w:bookmarkStart w:id="18" w:name="_Toc451769331"/>
      <w:bookmarkStart w:id="19" w:name="_Toc454877906"/>
      <w:bookmarkStart w:id="20" w:name="_Toc454885970"/>
      <w:r w:rsidRPr="00FB2413">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bookmarkEnd w:id="16"/>
      <w:bookmarkEnd w:id="17"/>
      <w:bookmarkEnd w:id="18"/>
      <w:bookmarkEnd w:id="19"/>
      <w:bookmarkEnd w:id="20"/>
      <w:r w:rsidRPr="00FB2413">
        <w:t xml:space="preserve">  </w:t>
      </w:r>
    </w:p>
    <w:p w14:paraId="0A264D1F" w14:textId="0B969651" w:rsidR="00CD4FBE" w:rsidRDefault="009D2597" w:rsidP="00FB2413">
      <w:pPr>
        <w:spacing w:line="480" w:lineRule="auto"/>
        <w:ind w:firstLine="720"/>
        <w:jc w:val="both"/>
      </w:pPr>
      <w:r>
        <w:t xml:space="preserve">To avoid the prohibition on the authorization of transition revenue under R.C. 4928.38, </w:t>
      </w:r>
      <w:r w:rsidR="00341234">
        <w:t xml:space="preserve">DP&amp;L </w:t>
      </w:r>
      <w:r w:rsidR="00F625B1">
        <w:t>claims</w:t>
      </w:r>
      <w:r w:rsidR="00341234">
        <w:t xml:space="preserve"> that </w:t>
      </w:r>
      <w:r w:rsidR="00BC2F2B">
        <w:t xml:space="preserve">the “notwithstanding” clause found in R.C. 4928.143(B)(2) permits the Commission </w:t>
      </w:r>
      <w:r>
        <w:t xml:space="preserve">to authorize an increase in the SSR-E even if the authorization would permit </w:t>
      </w:r>
      <w:r w:rsidR="00702AAD">
        <w:t xml:space="preserve">DP&amp;L </w:t>
      </w:r>
      <w:r>
        <w:t>to bill and collect transition revenue</w:t>
      </w:r>
      <w:r w:rsidR="00BC2F2B">
        <w:t>.</w:t>
      </w:r>
      <w:r>
        <w:t xml:space="preserve">  DP&amp;L Reply at </w:t>
      </w:r>
      <w:r w:rsidR="00CD4FBE">
        <w:t>12.</w:t>
      </w:r>
      <w:r w:rsidR="00BC2F2B">
        <w:t xml:space="preserve"> </w:t>
      </w:r>
      <w:r w:rsidR="00341234">
        <w:t xml:space="preserve"> </w:t>
      </w:r>
      <w:r w:rsidR="00CD4FBE">
        <w:t xml:space="preserve">That </w:t>
      </w:r>
      <w:r w:rsidR="00F625B1">
        <w:t>claim</w:t>
      </w:r>
      <w:r w:rsidR="00CD4FBE">
        <w:t xml:space="preserve"> is without merit.</w:t>
      </w:r>
    </w:p>
    <w:p w14:paraId="559556CA" w14:textId="77777777" w:rsidR="003076F1" w:rsidRDefault="00FB2413" w:rsidP="00FB2413">
      <w:pPr>
        <w:spacing w:line="480" w:lineRule="auto"/>
        <w:ind w:firstLine="720"/>
        <w:jc w:val="both"/>
      </w:pPr>
      <w:r w:rsidRPr="00FB2413">
        <w:lastRenderedPageBreak/>
        <w:t>The “paramount concern in construing a statute is legislative intent.”</w:t>
      </w:r>
      <w:r w:rsidRPr="00FB2413">
        <w:rPr>
          <w:i/>
        </w:rPr>
        <w:t xml:space="preserve">  Ohio Neighborhood Finance, Inc. v. Scott</w:t>
      </w:r>
      <w:r w:rsidRPr="00FB2413">
        <w:t xml:space="preserve">, 139 Ohio St.3d 536, 2014-Ohio-2440, ¶ 22.  “Notwithstanding” clauses such as that contained in R.C. 4928.143(B)(2) therefore must be read in light of the “paramount concern” of the legislation.  </w:t>
      </w:r>
      <w:r w:rsidRPr="00FB2413">
        <w:rPr>
          <w:i/>
        </w:rPr>
        <w:t>Id.</w:t>
      </w:r>
      <w:r w:rsidRPr="00FB2413">
        <w:t xml:space="preserve">; </w:t>
      </w:r>
      <w:r w:rsidRPr="00FB2413">
        <w:rPr>
          <w:i/>
        </w:rPr>
        <w:t>State v. Brown</w:t>
      </w:r>
      <w:r w:rsidRPr="00FB2413">
        <w:t>, 119 Ohio St.3d 447, 2008-Ohio-4569, ¶ 37 (</w:t>
      </w:r>
      <w:r w:rsidRPr="00FB2413">
        <w:rPr>
          <w:i/>
        </w:rPr>
        <w:t>quoting</w:t>
      </w:r>
      <w:r w:rsidRPr="00FB2413">
        <w:rPr>
          <w:i/>
          <w:iCs/>
        </w:rPr>
        <w:t xml:space="preserve"> State v. Cook</w:t>
      </w:r>
      <w:r w:rsidRPr="00FB2413">
        <w:t xml:space="preserve">, 83 Ohio St.3d 404, (1998)) (“A cardinal rule of statutory interpretation is that ‘[a] court must look to the language and purpose of the statute in order to determine legislative intent.’”); </w:t>
      </w:r>
      <w:r w:rsidRPr="00FB2413">
        <w:rPr>
          <w:i/>
        </w:rPr>
        <w:t xml:space="preserve"> Kewalo Ocean Activities and Kahala Catamarans v. Ching</w:t>
      </w:r>
      <w:r w:rsidRPr="00FB2413">
        <w:t xml:space="preserve">, 243 P.3d 273 (2010); </w:t>
      </w:r>
      <w:r w:rsidRPr="00FB2413">
        <w:rPr>
          <w:i/>
        </w:rPr>
        <w:t>Yates v. U.S.</w:t>
      </w:r>
      <w:r w:rsidRPr="00FB2413">
        <w:t>, 574 U.S. __, 2015 WL 773330 at *6 (</w:t>
      </w:r>
      <w:r w:rsidRPr="00FB2413">
        <w:rPr>
          <w:i/>
        </w:rPr>
        <w:t>quoting Robinson v. Shell Oil Co.</w:t>
      </w:r>
      <w:r w:rsidRPr="00FB2413">
        <w:t xml:space="preserve">, 519 U.S. 337, 341 (1997) (term “tangible object” in Sarbanes-Oxley Act did not include fish because “‘[t]he plainness or ambiguity of statutory language is determined [not only] by reference to the language itself, [but as well by] the specific context in which that language is used, and the broader context of the statute as a whole.’”).  </w:t>
      </w:r>
    </w:p>
    <w:p w14:paraId="7692FA3C" w14:textId="5D2F6E4E" w:rsidR="00FB2413" w:rsidRPr="00FB2413" w:rsidRDefault="00FB2413" w:rsidP="00FB2413">
      <w:pPr>
        <w:spacing w:line="480" w:lineRule="auto"/>
        <w:ind w:firstLine="720"/>
        <w:jc w:val="both"/>
      </w:pPr>
      <w:r w:rsidRPr="00FB2413">
        <w:t>In this instance, the “notwithstanding” clause in R.C. 4928.143(B)(2) must be read in light of the enactment in the same legislation of R.C. 4928.141, which prohibits an allowance for transition costs, and other provisions that render the SSR charge unlawful.</w:t>
      </w:r>
    </w:p>
    <w:p w14:paraId="7F96D218" w14:textId="241F1175" w:rsidR="00FB2413" w:rsidRPr="00FB2413" w:rsidRDefault="00FB2413" w:rsidP="00FB2413">
      <w:pPr>
        <w:spacing w:line="480" w:lineRule="auto"/>
        <w:ind w:firstLine="720"/>
        <w:jc w:val="both"/>
        <w:rPr>
          <w:bCs/>
        </w:rPr>
      </w:pPr>
      <w:r w:rsidRPr="00FB2413">
        <w:rPr>
          <w:bCs/>
        </w:rPr>
        <w:t xml:space="preserve">As part of </w:t>
      </w:r>
      <w:r w:rsidR="00782EE2">
        <w:t>Amended Substitute Senate Bill 221 (“SB 221”)</w:t>
      </w:r>
      <w:r w:rsidRPr="00FB2413">
        <w:rPr>
          <w:bCs/>
        </w:rPr>
        <w:t xml:space="preserve">, the legislation enacting R.C. 4928.143 and its “notwithstanding” clause, the General Assembly also enacted R.C. 4928.141.  That Section specifies that an electric utility must maintain a </w:t>
      </w:r>
      <w:r w:rsidR="00FC42F7">
        <w:rPr>
          <w:bCs/>
        </w:rPr>
        <w:t>s</w:t>
      </w:r>
      <w:r w:rsidR="00BF20B1" w:rsidRPr="00FB2413">
        <w:rPr>
          <w:bCs/>
        </w:rPr>
        <w:t xml:space="preserve">tandard </w:t>
      </w:r>
      <w:r w:rsidR="00FC42F7">
        <w:rPr>
          <w:bCs/>
        </w:rPr>
        <w:t>s</w:t>
      </w:r>
      <w:r w:rsidR="00BF20B1" w:rsidRPr="00FB2413">
        <w:rPr>
          <w:bCs/>
        </w:rPr>
        <w:t xml:space="preserve">ervice </w:t>
      </w:r>
      <w:r w:rsidR="00FC42F7">
        <w:rPr>
          <w:bCs/>
        </w:rPr>
        <w:t>o</w:t>
      </w:r>
      <w:r w:rsidR="00BF20B1" w:rsidRPr="00FB2413">
        <w:rPr>
          <w:bCs/>
        </w:rPr>
        <w:t xml:space="preserve">ffer </w:t>
      </w:r>
      <w:r w:rsidRPr="00FB2413">
        <w:rPr>
          <w:bCs/>
        </w:rPr>
        <w:t xml:space="preserve">and that this offer may take the form of a Market Rate Offer under R.C. 4928.142 or an ESP under R.C. 4928.143.  R.C. 4928.141 also addresses the previously enacted prohibition on transition revenue and directs the Commission to </w:t>
      </w:r>
      <w:r w:rsidRPr="00FB2413">
        <w:rPr>
          <w:bCs/>
        </w:rPr>
        <w:lastRenderedPageBreak/>
        <w:t xml:space="preserve">exclude an allowance for transition costs from any standard service offer.  As the Court recently explained, R.C. 4928.141 “expressly prohibits the recovery of transition costs” under “a standard service offer made through an ESP.”  </w:t>
      </w:r>
      <w:r w:rsidR="009B548A">
        <w:rPr>
          <w:bCs/>
          <w:i/>
        </w:rPr>
        <w:t>CSP,</w:t>
      </w:r>
      <w:r w:rsidRPr="00FB2413">
        <w:rPr>
          <w:bCs/>
        </w:rPr>
        <w:t xml:space="preserve"> ¶ 17.  </w:t>
      </w:r>
    </w:p>
    <w:p w14:paraId="5806DE20" w14:textId="55DC618D" w:rsidR="00FB2413" w:rsidRPr="00FB2413" w:rsidRDefault="00FB2413" w:rsidP="00FB2413">
      <w:pPr>
        <w:spacing w:line="480" w:lineRule="auto"/>
        <w:ind w:firstLine="720"/>
        <w:jc w:val="both"/>
        <w:rPr>
          <w:bCs/>
        </w:rPr>
      </w:pPr>
      <w:r w:rsidRPr="00FB2413">
        <w:rPr>
          <w:bCs/>
        </w:rPr>
        <w:t xml:space="preserve">In SB 221, the General Assembly provided additional direction that it did not intend the “notwithstanding” clause to subsume all of the other statutory provisions in Title 49.  In particular, the General Assembly modified the </w:t>
      </w:r>
      <w:r w:rsidR="003076F1">
        <w:rPr>
          <w:bCs/>
        </w:rPr>
        <w:t>s</w:t>
      </w:r>
      <w:r w:rsidRPr="00FB2413">
        <w:rPr>
          <w:bCs/>
        </w:rPr>
        <w:t>tate</w:t>
      </w:r>
      <w:r w:rsidR="003076F1">
        <w:rPr>
          <w:bCs/>
        </w:rPr>
        <w:t xml:space="preserve"> energy</w:t>
      </w:r>
      <w:r w:rsidRPr="00FB2413">
        <w:rPr>
          <w:bCs/>
        </w:rPr>
        <w:t xml:space="preserve"> policy by amending and renumbering R.C. 4928.02(H) to provide that it is the policy of the State of Ohio to:</w:t>
      </w:r>
    </w:p>
    <w:p w14:paraId="1A8451C3" w14:textId="77777777" w:rsidR="00FB2413" w:rsidRPr="00FB2413" w:rsidRDefault="00FB2413" w:rsidP="00041E4A">
      <w:pPr>
        <w:ind w:left="720" w:right="720" w:firstLine="720"/>
        <w:jc w:val="both"/>
        <w:rPr>
          <w:bCs/>
        </w:rPr>
      </w:pPr>
      <w:r w:rsidRPr="00FB2413">
        <w:rPr>
          <w:bCs/>
        </w:rPr>
        <w:t xml:space="preserve">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FB2413">
        <w:rPr>
          <w:bCs/>
          <w:i/>
        </w:rPr>
        <w:t>including by prohibiting the recovery of any generation-related costs through distribution or transmission rates</w:t>
      </w:r>
      <w:r w:rsidRPr="00FB2413">
        <w:rPr>
          <w:bCs/>
        </w:rPr>
        <w:t>.  (Emphasis on the additional statutory language).</w:t>
      </w:r>
      <w:r w:rsidRPr="00FB2413">
        <w:rPr>
          <w:bCs/>
          <w:vertAlign w:val="superscript"/>
        </w:rPr>
        <w:footnoteReference w:id="6"/>
      </w:r>
    </w:p>
    <w:p w14:paraId="61415B0A" w14:textId="77777777" w:rsidR="00FB2413" w:rsidRPr="00FB2413" w:rsidRDefault="00FB2413" w:rsidP="00041E4A">
      <w:pPr>
        <w:ind w:left="720" w:right="720" w:firstLine="720"/>
        <w:jc w:val="both"/>
        <w:rPr>
          <w:bCs/>
        </w:rPr>
      </w:pPr>
    </w:p>
    <w:p w14:paraId="234E6720" w14:textId="09816560" w:rsidR="00FB2413" w:rsidRPr="00FB2413" w:rsidRDefault="00FB2413" w:rsidP="003A0084">
      <w:pPr>
        <w:spacing w:line="480" w:lineRule="auto"/>
        <w:jc w:val="both"/>
        <w:rPr>
          <w:bCs/>
        </w:rPr>
      </w:pPr>
      <w:r w:rsidRPr="00FB2413">
        <w:rPr>
          <w:bCs/>
        </w:rPr>
        <w:t>The amendment specifically prohibits a charge such as the SSR</w:t>
      </w:r>
      <w:r w:rsidR="00D752D9">
        <w:rPr>
          <w:bCs/>
        </w:rPr>
        <w:t>-E</w:t>
      </w:r>
      <w:r w:rsidRPr="00FB2413">
        <w:rPr>
          <w:bCs/>
        </w:rPr>
        <w:t xml:space="preserve"> that provides DP&amp;L’s generation business with additional revenue through a distribution-like, </w:t>
      </w:r>
      <w:r w:rsidRPr="00FB2413">
        <w:rPr>
          <w:bCs/>
          <w:i/>
        </w:rPr>
        <w:t>i.e.</w:t>
      </w:r>
      <w:r w:rsidRPr="00FB2413">
        <w:rPr>
          <w:bCs/>
        </w:rPr>
        <w:t>, nonbypassable, charge.</w:t>
      </w:r>
    </w:p>
    <w:p w14:paraId="11D6FDF6" w14:textId="4C025E1F" w:rsidR="00FB2413" w:rsidRPr="00FB2413" w:rsidRDefault="00FB2413" w:rsidP="00FB2413">
      <w:pPr>
        <w:spacing w:line="480" w:lineRule="auto"/>
        <w:ind w:firstLine="720"/>
        <w:jc w:val="both"/>
        <w:rPr>
          <w:bCs/>
        </w:rPr>
      </w:pPr>
      <w:r w:rsidRPr="00FB2413">
        <w:rPr>
          <w:bCs/>
        </w:rPr>
        <w:t>In addition to prohibiting an allowance for transition costs in R.C. 4928.141</w:t>
      </w:r>
      <w:r w:rsidR="00867BB2">
        <w:rPr>
          <w:bCs/>
        </w:rPr>
        <w:t xml:space="preserve"> and prohibiting nonbypassable generation-related charges</w:t>
      </w:r>
      <w:r w:rsidRPr="00FB2413">
        <w:rPr>
          <w:bCs/>
        </w:rPr>
        <w:t xml:space="preserve">, the General Assembly also modified R.C. 4928.17.  Under then-existing and current law, this Section requires an electric utility to separate its competitive generation function from the noncompetitive distribution and transmission functions and prohibits the utility from providing any undue </w:t>
      </w:r>
      <w:r w:rsidRPr="00FB2413">
        <w:rPr>
          <w:bCs/>
        </w:rPr>
        <w:lastRenderedPageBreak/>
        <w:t xml:space="preserve">preference or advantage to its competitive generation business unit or the generation business of any affiliate.  In SB 221, the General Assembly added a requirement that electric utilities obtain Commission approval prior to divesting any generation assets.  </w:t>
      </w:r>
      <w:r w:rsidR="001C75BD">
        <w:rPr>
          <w:bCs/>
        </w:rPr>
        <w:t>Thus, w</w:t>
      </w:r>
      <w:r w:rsidR="00502DA4">
        <w:rPr>
          <w:bCs/>
        </w:rPr>
        <w:t xml:space="preserve">hile the General Assembly enacted the </w:t>
      </w:r>
      <w:r w:rsidR="001C75BD">
        <w:rPr>
          <w:bCs/>
        </w:rPr>
        <w:t>“</w:t>
      </w:r>
      <w:r w:rsidR="00502DA4">
        <w:rPr>
          <w:bCs/>
        </w:rPr>
        <w:t>notwithstanding</w:t>
      </w:r>
      <w:r w:rsidR="001C75BD">
        <w:rPr>
          <w:bCs/>
        </w:rPr>
        <w:t>”</w:t>
      </w:r>
      <w:r w:rsidR="00502DA4">
        <w:rPr>
          <w:bCs/>
        </w:rPr>
        <w:t xml:space="preserve"> clause</w:t>
      </w:r>
      <w:r w:rsidR="00531290">
        <w:rPr>
          <w:bCs/>
        </w:rPr>
        <w:t xml:space="preserve">, </w:t>
      </w:r>
      <w:r w:rsidR="00502DA4">
        <w:rPr>
          <w:bCs/>
        </w:rPr>
        <w:t>it</w:t>
      </w:r>
      <w:r w:rsidR="00FB36A9">
        <w:rPr>
          <w:bCs/>
        </w:rPr>
        <w:t xml:space="preserve"> </w:t>
      </w:r>
      <w:r w:rsidR="001C75BD">
        <w:rPr>
          <w:bCs/>
        </w:rPr>
        <w:t xml:space="preserve">also </w:t>
      </w:r>
      <w:r w:rsidR="00FB36A9">
        <w:rPr>
          <w:bCs/>
        </w:rPr>
        <w:t>continued the prohibition</w:t>
      </w:r>
      <w:r w:rsidRPr="00FB2413">
        <w:rPr>
          <w:bCs/>
        </w:rPr>
        <w:t xml:space="preserve"> </w:t>
      </w:r>
      <w:r w:rsidR="00FB36A9">
        <w:rPr>
          <w:bCs/>
        </w:rPr>
        <w:t>on a utility’s provision of an</w:t>
      </w:r>
      <w:r w:rsidRPr="00FB2413">
        <w:rPr>
          <w:bCs/>
        </w:rPr>
        <w:t xml:space="preserve"> undue advantage or preference to its own competitive generation business.</w:t>
      </w:r>
    </w:p>
    <w:p w14:paraId="54B12A50" w14:textId="2EAABE0E" w:rsidR="00FB2413" w:rsidRPr="00FB2413" w:rsidRDefault="00FB2413" w:rsidP="00FB2413">
      <w:pPr>
        <w:spacing w:line="480" w:lineRule="auto"/>
        <w:ind w:firstLine="720"/>
        <w:jc w:val="both"/>
        <w:rPr>
          <w:bCs/>
        </w:rPr>
      </w:pPr>
      <w:r w:rsidRPr="00FB2413">
        <w:rPr>
          <w:bCs/>
        </w:rPr>
        <w:t>While the General Assembly has amended Chapter 4928 several times since it enacted R.C. 4928.38 prohibiting the authorization of transition revenue,</w:t>
      </w:r>
      <w:r w:rsidR="008F1561">
        <w:rPr>
          <w:rStyle w:val="FootnoteReference"/>
          <w:bCs/>
        </w:rPr>
        <w:footnoteReference w:id="7"/>
      </w:r>
      <w:r w:rsidRPr="00FB2413">
        <w:rPr>
          <w:bCs/>
        </w:rPr>
        <w:t xml:space="preserve"> it has not repealed or given any signal that the one-time opportunity to collect transition revenue or its equivalent was silently repealed or should be ignored.  When it has addressed the issue at all, the General Assembly has enacted amendments that bar transition revenue, retain the bar on undue subsidies, and prohibit nonbypassable generation related charges.  As the Ohio law currently stands, </w:t>
      </w:r>
      <w:r w:rsidR="00834D46">
        <w:rPr>
          <w:bCs/>
        </w:rPr>
        <w:t xml:space="preserve">therefore, </w:t>
      </w:r>
      <w:r w:rsidRPr="00FB2413">
        <w:rPr>
          <w:bCs/>
        </w:rPr>
        <w:t xml:space="preserve">an electric utility was afforded one opportunity to bill and collect transition revenue, and that opportunity is long over.  R.C. 4928.38 to R.C. 4928.40; </w:t>
      </w:r>
      <w:r w:rsidR="003F50A6">
        <w:rPr>
          <w:bCs/>
          <w:i/>
        </w:rPr>
        <w:t>CSP</w:t>
      </w:r>
      <w:r w:rsidRPr="00FB2413">
        <w:rPr>
          <w:bCs/>
        </w:rPr>
        <w:t>, at ¶</w:t>
      </w:r>
      <w:r w:rsidR="00315BBD">
        <w:rPr>
          <w:rFonts w:cs="Arial"/>
          <w:bCs/>
        </w:rPr>
        <w:t>¶</w:t>
      </w:r>
      <w:r w:rsidRPr="00FB2413">
        <w:rPr>
          <w:bCs/>
        </w:rPr>
        <w:t xml:space="preserve"> 15-17.  </w:t>
      </w:r>
    </w:p>
    <w:p w14:paraId="45BE9473" w14:textId="1DA45F10" w:rsidR="00FB2413" w:rsidRPr="00FB2413" w:rsidRDefault="00FB2413" w:rsidP="00FB2413">
      <w:pPr>
        <w:spacing w:line="480" w:lineRule="auto"/>
        <w:ind w:firstLine="720"/>
        <w:jc w:val="both"/>
        <w:rPr>
          <w:bCs/>
        </w:rPr>
      </w:pPr>
      <w:r w:rsidRPr="00FB2413">
        <w:rPr>
          <w:bCs/>
        </w:rPr>
        <w:t>Furthermore, the Commission’s decisions bear out the Commission’s understanding that R.C. 4928.143(B)(2) did not silently repeal various othe</w:t>
      </w:r>
      <w:r w:rsidR="00AE07AD">
        <w:rPr>
          <w:bCs/>
        </w:rPr>
        <w:t>r requirements of Chapter 4928.</w:t>
      </w:r>
      <w:r w:rsidR="0006631E">
        <w:rPr>
          <w:bCs/>
        </w:rPr>
        <w:t xml:space="preserve">  </w:t>
      </w:r>
      <w:r w:rsidR="006B185F">
        <w:rPr>
          <w:bCs/>
        </w:rPr>
        <w:t>In the Opinion and Order authorizing the SSR, for example</w:t>
      </w:r>
      <w:r w:rsidRPr="00FB2413">
        <w:rPr>
          <w:bCs/>
        </w:rPr>
        <w:t xml:space="preserve">, the Commission rejected another nonbypassable charge proposed by DP&amp;L under R.C. 4928.143(B)(2)(d), the Switching Tracker, because it “violates the policies of </w:t>
      </w:r>
      <w:r w:rsidRPr="00FB2413">
        <w:rPr>
          <w:bCs/>
        </w:rPr>
        <w:lastRenderedPageBreak/>
        <w:t>the state of Ohio [R.C. 4928.02], is anticompetitive, and would discourage further development of Ohio’s retail electric services ma</w:t>
      </w:r>
      <w:r w:rsidR="004D46BE">
        <w:rPr>
          <w:bCs/>
        </w:rPr>
        <w:t xml:space="preserve">rket.”  </w:t>
      </w:r>
      <w:r w:rsidR="00CA0984" w:rsidRPr="00CA0984">
        <w:rPr>
          <w:bCs/>
          <w:i/>
        </w:rPr>
        <w:t>DP&amp;L II</w:t>
      </w:r>
      <w:r w:rsidR="00CA0984">
        <w:rPr>
          <w:bCs/>
        </w:rPr>
        <w:t xml:space="preserve">, </w:t>
      </w:r>
      <w:r w:rsidR="004D46BE">
        <w:rPr>
          <w:bCs/>
        </w:rPr>
        <w:t>Opinion and Order at 30</w:t>
      </w:r>
      <w:r w:rsidR="0006631E">
        <w:rPr>
          <w:bCs/>
        </w:rPr>
        <w:t>.</w:t>
      </w:r>
    </w:p>
    <w:p w14:paraId="3B51DD10" w14:textId="44520684" w:rsidR="00FB2413" w:rsidRPr="00FB2413" w:rsidRDefault="00FB2413" w:rsidP="00FB2413">
      <w:pPr>
        <w:spacing w:line="480" w:lineRule="auto"/>
        <w:ind w:firstLine="720"/>
        <w:jc w:val="both"/>
        <w:rPr>
          <w:bCs/>
          <w:i/>
        </w:rPr>
      </w:pPr>
      <w:r w:rsidRPr="00FB2413">
        <w:rPr>
          <w:bCs/>
        </w:rPr>
        <w:t xml:space="preserve">The interpretation </w:t>
      </w:r>
      <w:r w:rsidR="007323A5">
        <w:rPr>
          <w:bCs/>
        </w:rPr>
        <w:t xml:space="preserve">of the “notwithstanding” clause </w:t>
      </w:r>
      <w:r w:rsidRPr="00FB2413">
        <w:rPr>
          <w:bCs/>
        </w:rPr>
        <w:t xml:space="preserve">advanced </w:t>
      </w:r>
      <w:r w:rsidR="00452275">
        <w:rPr>
          <w:bCs/>
        </w:rPr>
        <w:t>by DP&amp;L</w:t>
      </w:r>
      <w:r w:rsidRPr="00FB2413">
        <w:rPr>
          <w:bCs/>
        </w:rPr>
        <w:t xml:space="preserve"> is also inconsistent with prior Commission orders.  In 2010, for example, AEP-Ohio requested that the Commission authorize a charge under R.C. 4928.143(B)(2)(c) and (d) to allow it to collect costs associated with closing a generation plant.  </w:t>
      </w:r>
      <w:r w:rsidRPr="00FB2413">
        <w:rPr>
          <w:bCs/>
          <w:i/>
        </w:rPr>
        <w:t>In the Matter of the Application of Ohio Power Company for Approval of the Shutdown of Unit 5 of the Philip Sporn Generating Station and to Establish a Plant Shutdown Rider</w:t>
      </w:r>
      <w:r w:rsidRPr="00FB2413">
        <w:rPr>
          <w:bCs/>
        </w:rPr>
        <w:t>, Case No. 10-1454-EL-RDR, Finding and Order at 7, 17-18 (Ja</w:t>
      </w:r>
      <w:r w:rsidR="00CA0984">
        <w:rPr>
          <w:bCs/>
        </w:rPr>
        <w:t>n. 11, 2012)</w:t>
      </w:r>
      <w:r w:rsidRPr="00FB2413">
        <w:rPr>
          <w:bCs/>
        </w:rPr>
        <w:t xml:space="preserve">.  The Commission rejected AEP-Ohio’s application, finding that it did not have the authority under R.C. 4928.143(B)(2) to allow for such recovery </w:t>
      </w:r>
      <w:r w:rsidRPr="00FB2413">
        <w:rPr>
          <w:bCs/>
          <w:i/>
        </w:rPr>
        <w:t>and</w:t>
      </w:r>
      <w:r w:rsidRPr="00FB2413">
        <w:rPr>
          <w:bCs/>
        </w:rPr>
        <w:t xml:space="preserve"> that the recovery of such costs was prohibited by R.C. 4928.02(H).  </w:t>
      </w:r>
      <w:r w:rsidRPr="00FB2413">
        <w:rPr>
          <w:bCs/>
          <w:i/>
        </w:rPr>
        <w:t>Id.</w:t>
      </w:r>
    </w:p>
    <w:p w14:paraId="005C3DAB" w14:textId="79E3EB92" w:rsidR="00FB2413" w:rsidRPr="00FB2413" w:rsidRDefault="00FB2413" w:rsidP="00FB2413">
      <w:pPr>
        <w:spacing w:line="480" w:lineRule="auto"/>
        <w:ind w:firstLine="720"/>
        <w:jc w:val="both"/>
        <w:rPr>
          <w:bCs/>
        </w:rPr>
      </w:pPr>
      <w:r w:rsidRPr="00FB2413">
        <w:rPr>
          <w:bCs/>
        </w:rPr>
        <w:t xml:space="preserve">Subsequent to issuing the orders </w:t>
      </w:r>
      <w:r w:rsidR="00452275">
        <w:rPr>
          <w:bCs/>
        </w:rPr>
        <w:t>authorizing the SSR-E</w:t>
      </w:r>
      <w:r w:rsidRPr="00FB2413">
        <w:rPr>
          <w:bCs/>
        </w:rPr>
        <w:t xml:space="preserve">, the Commission issued a decision that again confirms </w:t>
      </w:r>
      <w:r w:rsidR="005E3600">
        <w:rPr>
          <w:bCs/>
        </w:rPr>
        <w:t xml:space="preserve">that </w:t>
      </w:r>
      <w:r w:rsidRPr="00FB2413">
        <w:rPr>
          <w:bCs/>
        </w:rPr>
        <w:t xml:space="preserve">the State policy in R.C. 4928.02 applies to charges authorized under R.C. 4928.143(B)(2).  </w:t>
      </w:r>
      <w:r w:rsidRPr="00FB2413">
        <w:rPr>
          <w:bCs/>
          <w:i/>
        </w:rPr>
        <w:t>In the Matter of the Application of Ohio Power Company for Authority to Establish a Standard Service Offer Pursuant to R.C. 4928.143, in the Form of an Electric Security Plan</w:t>
      </w:r>
      <w:r w:rsidRPr="00FB2413">
        <w:rPr>
          <w:bCs/>
        </w:rPr>
        <w:t>, Case No</w:t>
      </w:r>
      <w:r w:rsidR="005E3600">
        <w:rPr>
          <w:bCs/>
        </w:rPr>
        <w:t>s</w:t>
      </w:r>
      <w:r w:rsidRPr="00FB2413">
        <w:rPr>
          <w:bCs/>
        </w:rPr>
        <w:t xml:space="preserve">. 13-2385-EL-SSO, </w:t>
      </w:r>
      <w:r w:rsidRPr="00FB2413">
        <w:rPr>
          <w:bCs/>
          <w:i/>
        </w:rPr>
        <w:t>et al</w:t>
      </w:r>
      <w:r w:rsidRPr="00FB2413">
        <w:rPr>
          <w:bCs/>
        </w:rPr>
        <w:t>., Opinion and Order at 7, 26, 65, 69, 91, 95 (Feb. 25, 2015)</w:t>
      </w:r>
      <w:r w:rsidR="00AF020A">
        <w:rPr>
          <w:bCs/>
        </w:rPr>
        <w:t xml:space="preserve"> (reviewing various terms in light of state energy policy)</w:t>
      </w:r>
      <w:r w:rsidRPr="00FB2413">
        <w:rPr>
          <w:bCs/>
        </w:rPr>
        <w:t>.  In this order, the Commission held that it was required to modify a rider proposed by AEP-Ohio under R.C. 4928.143(B)(2) because the proposed rider would violate the</w:t>
      </w:r>
      <w:r w:rsidR="002D166C">
        <w:rPr>
          <w:bCs/>
        </w:rPr>
        <w:t xml:space="preserve"> prohibition in R.C. 4928.02(H).  </w:t>
      </w:r>
      <w:r w:rsidRPr="00FB2413">
        <w:rPr>
          <w:bCs/>
          <w:i/>
        </w:rPr>
        <w:t>Id.</w:t>
      </w:r>
      <w:r w:rsidRPr="00FB2413">
        <w:rPr>
          <w:bCs/>
        </w:rPr>
        <w:t xml:space="preserve"> at 81.  The Commission further held in this order that an additional statutory requirement contained in R.C. </w:t>
      </w:r>
      <w:r w:rsidRPr="00FB2413">
        <w:rPr>
          <w:bCs/>
        </w:rPr>
        <w:lastRenderedPageBreak/>
        <w:t xml:space="preserve">4928.10(D)(3) could not be ignored when authorizing a charge under R.C. 4928.143(B)(2).  </w:t>
      </w:r>
      <w:r w:rsidRPr="00FB2413">
        <w:rPr>
          <w:bCs/>
          <w:i/>
        </w:rPr>
        <w:t>Id.</w:t>
      </w:r>
      <w:r w:rsidRPr="00FB2413">
        <w:rPr>
          <w:bCs/>
        </w:rPr>
        <w:t xml:space="preserve"> at 82.</w:t>
      </w:r>
    </w:p>
    <w:p w14:paraId="6DB679F9" w14:textId="3F118E27" w:rsidR="00FB2413" w:rsidRPr="00FB2413" w:rsidRDefault="00FB2413" w:rsidP="00FB2413">
      <w:pPr>
        <w:spacing w:line="480" w:lineRule="auto"/>
        <w:ind w:firstLine="720"/>
        <w:jc w:val="both"/>
        <w:rPr>
          <w:bCs/>
        </w:rPr>
      </w:pPr>
      <w:r w:rsidRPr="00FB2413">
        <w:t xml:space="preserve">In summary, </w:t>
      </w:r>
      <w:r w:rsidRPr="00FB2413">
        <w:rPr>
          <w:bCs/>
        </w:rPr>
        <w:t xml:space="preserve">the General Assembly did not intend to give the Commission </w:t>
      </w:r>
      <w:r w:rsidRPr="00FB2413">
        <w:rPr>
          <w:bCs/>
          <w:i/>
        </w:rPr>
        <w:t>carte blanche</w:t>
      </w:r>
      <w:r w:rsidRPr="00FB2413">
        <w:rPr>
          <w:bCs/>
        </w:rPr>
        <w:t xml:space="preserve"> to ignore every other statute in Title 49 when authorizing charges under an ESP</w:t>
      </w:r>
      <w:r w:rsidR="00BF5DEF">
        <w:rPr>
          <w:bCs/>
        </w:rPr>
        <w:t xml:space="preserve"> when it enacted the “notwithstanding” clause in R.C. 4928.143(B)(2)</w:t>
      </w:r>
      <w:r w:rsidRPr="00FB2413">
        <w:rPr>
          <w:bCs/>
        </w:rPr>
        <w:t xml:space="preserve">.  The General Assembly’s simultaneous and subsequent amendments of Chapter 4928 reflect an intent to maintain the applicability of the prohibitions in R.C. 4928.02(H), 4928.141, 4928.17, and 4928.38.  Further, the Commission’s own interpretation of R.C. 4928.143(B)(2)(d) evidences that the Commission itself does not interpret the </w:t>
      </w:r>
      <w:r w:rsidR="00DF17DC">
        <w:rPr>
          <w:bCs/>
        </w:rPr>
        <w:t>“</w:t>
      </w:r>
      <w:r w:rsidRPr="00FB2413">
        <w:rPr>
          <w:bCs/>
        </w:rPr>
        <w:t>notwithstanding</w:t>
      </w:r>
      <w:r w:rsidR="00DF17DC">
        <w:rPr>
          <w:bCs/>
        </w:rPr>
        <w:t>”</w:t>
      </w:r>
      <w:r w:rsidRPr="00FB2413">
        <w:rPr>
          <w:bCs/>
        </w:rPr>
        <w:t xml:space="preserve"> clause in such a way that the Commission may ignore the prohibitions contained in other provisions of Chapter 4928.  </w:t>
      </w:r>
      <w:r w:rsidRPr="00FB2413">
        <w:t xml:space="preserve">Thus, the </w:t>
      </w:r>
      <w:r w:rsidR="0004208A">
        <w:t>claim</w:t>
      </w:r>
      <w:r w:rsidRPr="00FB2413">
        <w:t xml:space="preserve"> </w:t>
      </w:r>
      <w:r w:rsidR="006E5502">
        <w:t xml:space="preserve">that the Commission may ignore R.C. 4928.38 and authorize DP&amp;L to </w:t>
      </w:r>
      <w:r w:rsidR="00AD138B">
        <w:t>bill and collect transition revenue or its equivalent through an increase of the SSR-E rate</w:t>
      </w:r>
      <w:r w:rsidRPr="00FB2413">
        <w:t xml:space="preserve"> finds no support in the law or the Commission’s application of the law.</w:t>
      </w:r>
    </w:p>
    <w:p w14:paraId="0C722FC9" w14:textId="77777777" w:rsidR="00FB2413" w:rsidRPr="00FB2413" w:rsidRDefault="00FB2413" w:rsidP="008B6528">
      <w:pPr>
        <w:pStyle w:val="Heading2"/>
      </w:pPr>
      <w:bookmarkStart w:id="21" w:name="_Toc451524174"/>
      <w:bookmarkStart w:id="22" w:name="_Toc451762653"/>
      <w:bookmarkStart w:id="23" w:name="_Toc451769332"/>
      <w:bookmarkStart w:id="24" w:name="_Toc454877907"/>
      <w:bookmarkStart w:id="25" w:name="_Toc454885971"/>
      <w:r w:rsidRPr="00FB2413">
        <w:t>The claim that the Commission may authorize transition revenue or its equivalent by resolving an alleged conflict under R.C. 1.52 should be rejected because there is no conflict between R.C. 4928.143(B)(2)(d) and R.C. 4928.38</w:t>
      </w:r>
      <w:bookmarkEnd w:id="21"/>
      <w:bookmarkEnd w:id="22"/>
      <w:bookmarkEnd w:id="23"/>
      <w:bookmarkEnd w:id="24"/>
      <w:bookmarkEnd w:id="25"/>
    </w:p>
    <w:p w14:paraId="139FEA4B" w14:textId="0AC1AE9F" w:rsidR="00FB2413" w:rsidRPr="00FB2413" w:rsidRDefault="00FB2413" w:rsidP="00FB2413">
      <w:pPr>
        <w:spacing w:line="480" w:lineRule="auto"/>
        <w:ind w:firstLine="720"/>
        <w:jc w:val="both"/>
      </w:pPr>
      <w:r w:rsidRPr="00FB2413">
        <w:t>In an alternative claim, DP&amp;L assert</w:t>
      </w:r>
      <w:r w:rsidR="00341234">
        <w:t>s</w:t>
      </w:r>
      <w:r w:rsidRPr="00FB2413">
        <w:t xml:space="preserve"> that the </w:t>
      </w:r>
      <w:r w:rsidR="002F3740">
        <w:t>Commission</w:t>
      </w:r>
      <w:r w:rsidRPr="00FB2413">
        <w:t xml:space="preserve"> should ignore the prohibition in R.C. 4928.38 because R.C. 4928.143 was enacted after R.C. 4928.38.  </w:t>
      </w:r>
      <w:r w:rsidR="00BE23BF">
        <w:t>DP&amp;L Reply at 14-16</w:t>
      </w:r>
      <w:r w:rsidRPr="00FB2413">
        <w:t>.  This claim is premised on Section R.C. 1.52 and is applicable only if two statutes are irreconcilable.  R.C. 4928.143(B)(2)(d)</w:t>
      </w:r>
      <w:r w:rsidR="001B1F3D">
        <w:t>, however,</w:t>
      </w:r>
      <w:r w:rsidRPr="00FB2413">
        <w:t xml:space="preserve"> is irreconcilable with R.C. 4928.141 and 4928.38</w:t>
      </w:r>
      <w:r w:rsidR="001B1F3D">
        <w:t xml:space="preserve"> only</w:t>
      </w:r>
      <w:r w:rsidRPr="00FB2413">
        <w:t xml:space="preserve"> if words </w:t>
      </w:r>
      <w:r w:rsidR="00BE23BF">
        <w:t xml:space="preserve">are inserted </w:t>
      </w:r>
      <w:r w:rsidRPr="00FB2413">
        <w:t xml:space="preserve">into R.C. 4928.143(B)(2)(d) </w:t>
      </w:r>
      <w:r w:rsidR="00116540">
        <w:t xml:space="preserve">that </w:t>
      </w:r>
      <w:r w:rsidRPr="00FB2413">
        <w:t xml:space="preserve">would allow the Commission to authorize transition revenue or its equivalent.  </w:t>
      </w:r>
      <w:r w:rsidR="00B6224D">
        <w:t xml:space="preserve">The Commission, however, is not authorized to expand the terms and conditions that may </w:t>
      </w:r>
      <w:r w:rsidR="00B6224D">
        <w:lastRenderedPageBreak/>
        <w:t>be included in an ESP</w:t>
      </w:r>
      <w:r w:rsidR="00E8394B">
        <w:t>,</w:t>
      </w:r>
      <w:r w:rsidR="0089259D">
        <w:t xml:space="preserve"> and the contemporaneous enactment of other provision prohibiting the billing and collection of transition revenue or equivalent </w:t>
      </w:r>
      <w:r w:rsidR="00F41490">
        <w:t xml:space="preserve">demonstrate that the General Assembly did not intend to lift the </w:t>
      </w:r>
      <w:r w:rsidR="00EA2822">
        <w:t xml:space="preserve">prohibition of the </w:t>
      </w:r>
      <w:r w:rsidR="00F41490">
        <w:t>authorization of transition revenue or its equivalent</w:t>
      </w:r>
      <w:r w:rsidR="00B6224D">
        <w:t>.</w:t>
      </w:r>
    </w:p>
    <w:p w14:paraId="78EC0287" w14:textId="4354C4BB" w:rsidR="00FB2413" w:rsidRPr="00FB2413" w:rsidRDefault="00FB2413" w:rsidP="00FB2413">
      <w:pPr>
        <w:spacing w:line="480" w:lineRule="auto"/>
        <w:ind w:firstLine="720"/>
        <w:jc w:val="both"/>
      </w:pPr>
      <w:r w:rsidRPr="00FB2413">
        <w:t xml:space="preserve">“It is </w:t>
      </w:r>
      <w:r w:rsidRPr="00FB2413">
        <w:rPr>
          <w:bCs/>
        </w:rPr>
        <w:t>a</w:t>
      </w:r>
      <w:r w:rsidRPr="00FB2413">
        <w:t xml:space="preserve"> general rule that courts, </w:t>
      </w:r>
      <w:r w:rsidRPr="00FB2413">
        <w:rPr>
          <w:bCs/>
        </w:rPr>
        <w:t>in</w:t>
      </w:r>
      <w:r w:rsidRPr="00FB2413">
        <w:t xml:space="preserve"> the </w:t>
      </w:r>
      <w:r w:rsidRPr="00FB2413">
        <w:rPr>
          <w:bCs/>
        </w:rPr>
        <w:t>interpretation of a statute</w:t>
      </w:r>
      <w:r w:rsidRPr="00FB2413">
        <w:t xml:space="preserve">, may not take, strike or </w:t>
      </w:r>
      <w:r w:rsidRPr="00FB2413">
        <w:rPr>
          <w:bCs/>
        </w:rPr>
        <w:t>read</w:t>
      </w:r>
      <w:r w:rsidRPr="00FB2413">
        <w:t xml:space="preserve"> anything </w:t>
      </w:r>
      <w:r w:rsidRPr="00FB2413">
        <w:rPr>
          <w:bCs/>
        </w:rPr>
        <w:t>out</w:t>
      </w:r>
      <w:r w:rsidRPr="00FB2413">
        <w:t xml:space="preserve"> of </w:t>
      </w:r>
      <w:r w:rsidRPr="00FB2413">
        <w:rPr>
          <w:bCs/>
        </w:rPr>
        <w:t>a</w:t>
      </w:r>
      <w:r w:rsidRPr="00FB2413">
        <w:t xml:space="preserve"> </w:t>
      </w:r>
      <w:r w:rsidRPr="00FB2413">
        <w:rPr>
          <w:bCs/>
        </w:rPr>
        <w:t>statute</w:t>
      </w:r>
      <w:r w:rsidRPr="00FB2413">
        <w:t xml:space="preserve">, or delete, subtract or omit anything therefrom.”  </w:t>
      </w:r>
      <w:r w:rsidRPr="00FB2413">
        <w:rPr>
          <w:i/>
        </w:rPr>
        <w:t>Wachendorf v. Shaver</w:t>
      </w:r>
      <w:r w:rsidRPr="00FB2413">
        <w:t xml:space="preserve">, 149 Ohio St. 231, 237, 78 N.E.2d 370, 374 (1948); </w:t>
      </w:r>
      <w:r w:rsidRPr="00FB2413">
        <w:rPr>
          <w:i/>
        </w:rPr>
        <w:t>Columbus-Suburban Coach Lines v. Pub. Util. Comm.</w:t>
      </w:r>
      <w:r w:rsidRPr="00FB2413">
        <w:t>, 20 Ohio St.2d 125, 127, 254 N.E. 2d 8 (1969) (</w:t>
      </w:r>
      <w:r w:rsidRPr="00FB2413">
        <w:rPr>
          <w:bCs/>
        </w:rPr>
        <w:t>In</w:t>
      </w:r>
      <w:r w:rsidRPr="00FB2413">
        <w:t xml:space="preserve"> matters of construction, “it is the duty of this court to give effect to the </w:t>
      </w:r>
      <w:r w:rsidRPr="00FB2413">
        <w:rPr>
          <w:bCs/>
        </w:rPr>
        <w:t>words</w:t>
      </w:r>
      <w:r w:rsidRPr="00FB2413">
        <w:t xml:space="preserve"> used, not to delete </w:t>
      </w:r>
      <w:r w:rsidRPr="00FB2413">
        <w:rPr>
          <w:bCs/>
        </w:rPr>
        <w:t>words</w:t>
      </w:r>
      <w:r w:rsidRPr="00FB2413">
        <w:t xml:space="preserve"> used or to insert </w:t>
      </w:r>
      <w:r w:rsidRPr="00FB2413">
        <w:rPr>
          <w:bCs/>
        </w:rPr>
        <w:t>words</w:t>
      </w:r>
      <w:r w:rsidRPr="00FB2413">
        <w:t xml:space="preserve"> not used.").  </w:t>
      </w:r>
      <w:r w:rsidR="00CE7FD0">
        <w:t>As noted above, t</w:t>
      </w:r>
      <w:r w:rsidR="0005498B">
        <w:t xml:space="preserve">he Commission is likewise bound to limit the terms that may be approved as part of an ESP to those provided by R.C. 4928.143(B)(2).  </w:t>
      </w:r>
      <w:r w:rsidR="0005498B" w:rsidRPr="003A237D">
        <w:rPr>
          <w:i/>
        </w:rPr>
        <w:t xml:space="preserve">In re </w:t>
      </w:r>
      <w:r w:rsidR="00FD6A4C" w:rsidRPr="003A237D">
        <w:rPr>
          <w:i/>
        </w:rPr>
        <w:t>Columbus S. Power Co.</w:t>
      </w:r>
      <w:r w:rsidR="00FD6A4C">
        <w:t>, 128 Ohio St.3d 512 (2011).  Under R.</w:t>
      </w:r>
      <w:r w:rsidR="0063564A">
        <w:t xml:space="preserve">C. 4928.143(B)(2)(d), there is no provision for an allowance for transition revenue or </w:t>
      </w:r>
      <w:r w:rsidR="00EA2822">
        <w:t>its equivalent</w:t>
      </w:r>
      <w:r w:rsidR="0063564A">
        <w:t>.  Because R.C. 4928.143(B)(2)(d)</w:t>
      </w:r>
      <w:r w:rsidRPr="00FB2413">
        <w:t xml:space="preserve"> </w:t>
      </w:r>
      <w:r w:rsidR="0063564A">
        <w:t>does</w:t>
      </w:r>
      <w:r w:rsidRPr="00FB2413">
        <w:t xml:space="preserve"> not authorize the recovery of transition revenue or its equivalent, </w:t>
      </w:r>
      <w:r w:rsidR="00CA3B7E">
        <w:t xml:space="preserve">there is no “irreconcilable conflict” </w:t>
      </w:r>
      <w:r w:rsidR="005B3001">
        <w:t xml:space="preserve">with R.C. 4928.38.  Therefore, </w:t>
      </w:r>
      <w:r w:rsidRPr="00FB2413">
        <w:t xml:space="preserve">the rule </w:t>
      </w:r>
      <w:r w:rsidR="00CA3B7E">
        <w:t xml:space="preserve">of </w:t>
      </w:r>
      <w:r w:rsidR="00CA3B7E" w:rsidRPr="00FB2413">
        <w:t xml:space="preserve">statutory construction </w:t>
      </w:r>
      <w:r w:rsidRPr="00FB2413">
        <w:t>favor</w:t>
      </w:r>
      <w:r w:rsidR="00D64926">
        <w:t xml:space="preserve">ing later enacted statutes </w:t>
      </w:r>
      <w:r w:rsidR="00A7665E">
        <w:t xml:space="preserve">if there is an irreconcilable conflict </w:t>
      </w:r>
      <w:r w:rsidR="00D64926">
        <w:t xml:space="preserve">is not </w:t>
      </w:r>
      <w:r w:rsidRPr="00FB2413">
        <w:t xml:space="preserve">applicable. </w:t>
      </w:r>
    </w:p>
    <w:p w14:paraId="1129F998" w14:textId="7EFDD0E9" w:rsidR="00FB2413" w:rsidRPr="00FB2413" w:rsidRDefault="00443B33" w:rsidP="00FB2413">
      <w:pPr>
        <w:spacing w:line="480" w:lineRule="auto"/>
        <w:ind w:firstLine="720"/>
        <w:jc w:val="both"/>
      </w:pPr>
      <w:r>
        <w:t>Moreover</w:t>
      </w:r>
      <w:r w:rsidR="00FB2413" w:rsidRPr="00FB2413">
        <w:t xml:space="preserve">, the </w:t>
      </w:r>
      <w:r w:rsidR="00F64174">
        <w:t xml:space="preserve">interpretative </w:t>
      </w:r>
      <w:r w:rsidR="00FB2413" w:rsidRPr="00FB2413">
        <w:t xml:space="preserve">rule </w:t>
      </w:r>
      <w:r>
        <w:t>does</w:t>
      </w:r>
      <w:r w:rsidR="00FB2413" w:rsidRPr="00FB2413">
        <w:t xml:space="preserve"> not apply due to the enactment of R.C. 4928.02(H) and 4928.141 in the same legislation</w:t>
      </w:r>
      <w:r w:rsidR="00AD79EE">
        <w:t xml:space="preserve"> with R.C. 4928.143</w:t>
      </w:r>
      <w:r w:rsidR="00FB2413" w:rsidRPr="00FB2413">
        <w:t xml:space="preserve">.  </w:t>
      </w:r>
      <w:r w:rsidR="007641A4">
        <w:t xml:space="preserve">The premise of R.C. 1.52 is that the General Assembly intended to limit or repeal the prior statute when it enacted the subsequent law that irreconcilably conflicts with the prior law.  </w:t>
      </w:r>
      <w:r w:rsidR="00FB2413" w:rsidRPr="00FB2413">
        <w:t xml:space="preserve">When the General Assembly enacted R.C. 4928.143(B)(2) in SB 221, </w:t>
      </w:r>
      <w:r w:rsidR="007641A4">
        <w:t xml:space="preserve">however, </w:t>
      </w:r>
      <w:r w:rsidR="00FB2413" w:rsidRPr="00FB2413">
        <w:t xml:space="preserve">it also enacted R.C. 4928.141 prohibiting an allowance of transition costs and amended R.C. </w:t>
      </w:r>
      <w:r w:rsidR="00FB2413" w:rsidRPr="00FB2413">
        <w:lastRenderedPageBreak/>
        <w:t xml:space="preserve">4928.02(H) to prohibit nonbypassable collection of generation costs.  </w:t>
      </w:r>
      <w:r w:rsidR="00A0228A">
        <w:t>Based on the</w:t>
      </w:r>
      <w:r w:rsidR="00EE4932">
        <w:t xml:space="preserve"> </w:t>
      </w:r>
      <w:r w:rsidR="00FB2413" w:rsidRPr="00FB2413">
        <w:t xml:space="preserve">General Assembly’s enactment </w:t>
      </w:r>
      <w:r w:rsidR="0099670B">
        <w:t xml:space="preserve">of </w:t>
      </w:r>
      <w:r w:rsidR="007B3EF4">
        <w:t xml:space="preserve">R.C. </w:t>
      </w:r>
      <w:r w:rsidR="00A0228A">
        <w:t>4928.02(H)</w:t>
      </w:r>
      <w:r w:rsidR="007B3EF4">
        <w:t xml:space="preserve"> and </w:t>
      </w:r>
      <w:r w:rsidR="00A0228A">
        <w:t xml:space="preserve">4928.141 </w:t>
      </w:r>
      <w:r w:rsidR="00FB2413" w:rsidRPr="00FB2413">
        <w:t xml:space="preserve">in </w:t>
      </w:r>
      <w:r w:rsidR="005B3001">
        <w:t xml:space="preserve">the same legislation as the provision </w:t>
      </w:r>
      <w:r w:rsidR="00BE2133">
        <w:t>authorizing “stability” riders</w:t>
      </w:r>
      <w:r w:rsidR="00FB2413" w:rsidRPr="00FB2413">
        <w:t xml:space="preserve">, </w:t>
      </w:r>
      <w:r w:rsidR="00EE4932">
        <w:t xml:space="preserve">it is evident that </w:t>
      </w:r>
      <w:r w:rsidR="00125C4C">
        <w:t xml:space="preserve">the General Assembly </w:t>
      </w:r>
      <w:r w:rsidR="00EC4D4A">
        <w:t xml:space="preserve">did not </w:t>
      </w:r>
      <w:r w:rsidR="00EE4932">
        <w:t>intend</w:t>
      </w:r>
      <w:r w:rsidR="00EC4D4A">
        <w:t xml:space="preserve"> to repeal the prohibition of the receipt of transition revenue or its equivalent</w:t>
      </w:r>
      <w:r w:rsidR="00125C4C">
        <w:t xml:space="preserve">.  </w:t>
      </w:r>
      <w:r w:rsidR="00D22C65">
        <w:t>R.C. 1.52 does not require a different result.</w:t>
      </w:r>
    </w:p>
    <w:p w14:paraId="68AD48AB" w14:textId="6615CF95" w:rsidR="00FB2413" w:rsidRDefault="00111E3B" w:rsidP="00654ED1">
      <w:pPr>
        <w:pStyle w:val="Heading2"/>
      </w:pPr>
      <w:bookmarkStart w:id="26" w:name="_Toc454877908"/>
      <w:bookmarkStart w:id="27" w:name="_Toc454885972"/>
      <w:r>
        <w:t>The Commission should reject DP&amp;L’s alternative claims that the Commission may ignore R.C. 49</w:t>
      </w:r>
      <w:r w:rsidR="00B30197">
        <w:t>2</w:t>
      </w:r>
      <w:r>
        <w:t>8.38 based on t</w:t>
      </w:r>
      <w:r w:rsidR="0038299A">
        <w:t>he Supreme Court</w:t>
      </w:r>
      <w:r w:rsidR="007B69FA">
        <w:t>’s</w:t>
      </w:r>
      <w:r w:rsidR="0038299A">
        <w:t xml:space="preserve"> </w:t>
      </w:r>
      <w:r>
        <w:t>s</w:t>
      </w:r>
      <w:r w:rsidR="00AB10B2">
        <w:t>ummary reversal of the authorization of the SSR</w:t>
      </w:r>
      <w:bookmarkEnd w:id="26"/>
      <w:bookmarkEnd w:id="27"/>
      <w:r>
        <w:t xml:space="preserve"> </w:t>
      </w:r>
    </w:p>
    <w:p w14:paraId="394E22F5" w14:textId="0C83741E" w:rsidR="00CA0BE3" w:rsidRDefault="007A00C3" w:rsidP="0075280E">
      <w:pPr>
        <w:spacing w:line="480" w:lineRule="auto"/>
        <w:jc w:val="both"/>
      </w:pPr>
      <w:r>
        <w:tab/>
      </w:r>
      <w:r w:rsidR="00791BDC">
        <w:t xml:space="preserve">Any doubt about the </w:t>
      </w:r>
      <w:r w:rsidR="007F7887">
        <w:t>vitality of DP&amp;L’s alternative claims supporting an increase in the SSR-E</w:t>
      </w:r>
      <w:r w:rsidR="00791BDC">
        <w:t xml:space="preserve"> has now been laid to rest</w:t>
      </w:r>
      <w:r w:rsidR="0058082D">
        <w:t xml:space="preserve"> </w:t>
      </w:r>
      <w:r w:rsidR="00D05EAD">
        <w:t xml:space="preserve">by </w:t>
      </w:r>
      <w:r w:rsidR="0058082D">
        <w:t>the Court’s decision revers</w:t>
      </w:r>
      <w:r w:rsidR="00D05EAD">
        <w:t>ing the authorization of the SS</w:t>
      </w:r>
      <w:r w:rsidR="0058082D">
        <w:t>R</w:t>
      </w:r>
      <w:r w:rsidR="00791BDC">
        <w:t xml:space="preserve">.  </w:t>
      </w:r>
      <w:r w:rsidR="00C72C46">
        <w:t>In that case as noted above</w:t>
      </w:r>
      <w:r w:rsidR="0058082D">
        <w:t xml:space="preserve">, </w:t>
      </w:r>
      <w:r w:rsidR="003F3483">
        <w:t xml:space="preserve">DP&amp;L (with the Commission) presented the alternative claims that DP&amp;L is relying upon to justify the increase in the SSR-E rate.  In its </w:t>
      </w:r>
      <w:r w:rsidR="00C72C46">
        <w:t>decision</w:t>
      </w:r>
      <w:r w:rsidR="003F3483">
        <w:t>, t</w:t>
      </w:r>
      <w:r w:rsidR="00242772">
        <w:t>he C</w:t>
      </w:r>
      <w:r w:rsidR="006F2FD8">
        <w:t xml:space="preserve">ourt </w:t>
      </w:r>
      <w:r w:rsidR="00242772">
        <w:t>summarily</w:t>
      </w:r>
      <w:r w:rsidR="006F2FD8">
        <w:t xml:space="preserve"> </w:t>
      </w:r>
      <w:r w:rsidR="003F3483">
        <w:t>reversed the authorization of the SSR in a single sentence</w:t>
      </w:r>
      <w:r w:rsidR="00B24331">
        <w:t xml:space="preserve">: </w:t>
      </w:r>
      <w:r>
        <w:t xml:space="preserve"> “The decision of the Public Utilities Commission is reversed on the authority of </w:t>
      </w:r>
      <w:r w:rsidRPr="007527BF">
        <w:rPr>
          <w:i/>
        </w:rPr>
        <w:t>In re Application of Columbus S. Power Co</w:t>
      </w:r>
      <w:r>
        <w:t>.</w:t>
      </w:r>
      <w:r w:rsidR="007527BF">
        <w:t>,</w:t>
      </w:r>
      <w:r>
        <w:t xml:space="preserve"> __ Ohio St.3d __, 2016-Ohio-1608</w:t>
      </w:r>
      <w:r w:rsidR="00E579DB">
        <w:t>, __ N.E.</w:t>
      </w:r>
      <w:r>
        <w:t>2d __.”</w:t>
      </w:r>
      <w:r w:rsidR="00207ABE">
        <w:t xml:space="preserve"> </w:t>
      </w:r>
      <w:r w:rsidR="00207ABE" w:rsidRPr="00207ABE">
        <w:rPr>
          <w:i/>
        </w:rPr>
        <w:t xml:space="preserve"> </w:t>
      </w:r>
      <w:r w:rsidR="00207ABE" w:rsidRPr="005C3242">
        <w:rPr>
          <w:i/>
        </w:rPr>
        <w:t>In re Application of Dayton Power and Light Co.</w:t>
      </w:r>
      <w:r w:rsidR="00207ABE">
        <w:t>, Slip Op. 2016-Ohio-3431, Decision (June 20, 2016)</w:t>
      </w:r>
      <w:r w:rsidR="00D46463">
        <w:t xml:space="preserve"> (“</w:t>
      </w:r>
      <w:r w:rsidR="00D46463" w:rsidRPr="00D46463">
        <w:rPr>
          <w:i/>
        </w:rPr>
        <w:t>DP&amp;L</w:t>
      </w:r>
      <w:r w:rsidR="00D46463">
        <w:t>”)</w:t>
      </w:r>
      <w:r w:rsidR="00207ABE">
        <w:t xml:space="preserve">.  </w:t>
      </w:r>
      <w:r w:rsidR="007F7887">
        <w:t>The</w:t>
      </w:r>
      <w:r w:rsidR="00325638">
        <w:t xml:space="preserve"> Court’s decision thus disposes of DP&amp;L’s </w:t>
      </w:r>
      <w:r w:rsidR="001F5709">
        <w:t xml:space="preserve">alternative </w:t>
      </w:r>
      <w:r w:rsidR="00325638">
        <w:t xml:space="preserve">claims that the Commission may ignore the prohibition of transition revenue or its equivalent </w:t>
      </w:r>
      <w:r w:rsidR="001F5709">
        <w:t>based on either the “notwithstanding” clause or due to an irreconcilable conflict between R.C. 4928.143(B)(2)(d) and R.C. 4928.38.</w:t>
      </w:r>
      <w:r w:rsidR="00325638">
        <w:t xml:space="preserve">  </w:t>
      </w:r>
    </w:p>
    <w:p w14:paraId="783C6EFB" w14:textId="77777777" w:rsidR="00F17BB9" w:rsidRPr="00E80D5E" w:rsidRDefault="00F17BB9" w:rsidP="00175181">
      <w:pPr>
        <w:pStyle w:val="Heading1"/>
      </w:pPr>
      <w:bookmarkStart w:id="28" w:name="_Toc454877909"/>
      <w:bookmarkStart w:id="29" w:name="_Toc454885973"/>
      <w:r w:rsidRPr="00E80D5E">
        <w:t>Conclusion</w:t>
      </w:r>
      <w:bookmarkEnd w:id="28"/>
      <w:bookmarkEnd w:id="29"/>
    </w:p>
    <w:p w14:paraId="078581D5" w14:textId="11065DCE" w:rsidR="004F7F21" w:rsidRDefault="00F17BB9" w:rsidP="004A502D">
      <w:pPr>
        <w:spacing w:line="480" w:lineRule="auto"/>
        <w:jc w:val="both"/>
      </w:pPr>
      <w:r w:rsidRPr="00E80D5E">
        <w:tab/>
      </w:r>
      <w:r w:rsidR="00325638" w:rsidRPr="00E80D5E">
        <w:t xml:space="preserve">As IEU-Ohio demonstrated in its Memo Contra, DP&amp;L’s motion seeking an increase in the SSR-E </w:t>
      </w:r>
      <w:r w:rsidR="00325638">
        <w:t>rate</w:t>
      </w:r>
      <w:r w:rsidR="00325638" w:rsidRPr="00E80D5E">
        <w:t xml:space="preserve"> would authorize the recovery of transition revenue or its equivalent</w:t>
      </w:r>
      <w:r w:rsidR="00FF00B7">
        <w:t xml:space="preserve"> in violation of R.C. 4928.38</w:t>
      </w:r>
      <w:r w:rsidR="00325638" w:rsidRPr="00E80D5E">
        <w:t xml:space="preserve">.  IEU-Ohio Memorandum Contra at 18-20.  </w:t>
      </w:r>
      <w:r w:rsidR="00325638">
        <w:t xml:space="preserve">DP&amp;L </w:t>
      </w:r>
      <w:r w:rsidR="00325638">
        <w:lastRenderedPageBreak/>
        <w:t>has responded that the Commission may ignore the prohibition on the receipt of transition revenue or its equivalent based on the same claims it presented to the Court to support the authorization of the SSR.  T</w:t>
      </w:r>
      <w:r w:rsidR="00325638" w:rsidRPr="00E80D5E">
        <w:t>he Court</w:t>
      </w:r>
      <w:r w:rsidR="00325638">
        <w:t>, however,</w:t>
      </w:r>
      <w:r w:rsidR="00325638" w:rsidRPr="00E80D5E">
        <w:t xml:space="preserve"> </w:t>
      </w:r>
      <w:r w:rsidR="00CB61ED">
        <w:t xml:space="preserve">rejected those claims and </w:t>
      </w:r>
      <w:r w:rsidR="00325638" w:rsidRPr="00E80D5E">
        <w:t xml:space="preserve">has now held </w:t>
      </w:r>
      <w:r w:rsidR="00325638">
        <w:t xml:space="preserve">twice that </w:t>
      </w:r>
      <w:r w:rsidR="00325638" w:rsidRPr="00E80D5E">
        <w:t>the Commission cannot</w:t>
      </w:r>
      <w:r w:rsidR="00325638">
        <w:t xml:space="preserve"> authorize</w:t>
      </w:r>
      <w:r w:rsidR="00325638" w:rsidRPr="00E80D5E">
        <w:t xml:space="preserve"> an electric distribution utility to bill and collect transition revenue or its equivalent under the guise of R.C. 4928.143(B)(2)(d)</w:t>
      </w:r>
      <w:r w:rsidR="00096243">
        <w:t xml:space="preserve">.  </w:t>
      </w:r>
      <w:r w:rsidR="00325638">
        <w:t xml:space="preserve">Based on the Court’s decisions in the </w:t>
      </w:r>
      <w:r w:rsidR="00325638" w:rsidRPr="00D46463">
        <w:rPr>
          <w:i/>
        </w:rPr>
        <w:t>CSP</w:t>
      </w:r>
      <w:r w:rsidR="00325638">
        <w:t xml:space="preserve"> and </w:t>
      </w:r>
      <w:r w:rsidR="00325638" w:rsidRPr="00FC42F7">
        <w:rPr>
          <w:i/>
        </w:rPr>
        <w:t>DP&amp;L</w:t>
      </w:r>
      <w:r w:rsidR="00325638">
        <w:t xml:space="preserve"> cases, therefore, the Commission should reject DP&amp;L’s argument that the Commission can ignore the prohibition contained in R.C. 4928.38</w:t>
      </w:r>
      <w:r w:rsidR="00FF48D7">
        <w:t xml:space="preserve"> and</w:t>
      </w:r>
      <w:r w:rsidRPr="00E80D5E">
        <w:t xml:space="preserve"> deny DP&amp;L</w:t>
      </w:r>
      <w:r w:rsidR="007E6130">
        <w:t>’s</w:t>
      </w:r>
      <w:r w:rsidRPr="00E80D5E">
        <w:t xml:space="preserve"> Motion</w:t>
      </w:r>
      <w:r w:rsidR="00CB61ED">
        <w:t xml:space="preserve"> to increase the SSR-E rate</w:t>
      </w:r>
      <w:r w:rsidRPr="00E80D5E">
        <w:t>.</w:t>
      </w:r>
    </w:p>
    <w:p w14:paraId="27D288F8" w14:textId="77777777" w:rsidR="00B031BA" w:rsidRPr="00041744" w:rsidRDefault="00B031BA" w:rsidP="00B031BA">
      <w:pPr>
        <w:tabs>
          <w:tab w:val="left" w:pos="4320"/>
          <w:tab w:val="right" w:pos="8640"/>
        </w:tabs>
      </w:pPr>
      <w:r>
        <w:tab/>
      </w:r>
      <w:r w:rsidRPr="00041744">
        <w:t>Respectfully submitted,</w:t>
      </w:r>
    </w:p>
    <w:p w14:paraId="52DD5B99" w14:textId="77777777" w:rsidR="00B031BA" w:rsidRPr="00041744" w:rsidRDefault="00B031BA" w:rsidP="00B031BA">
      <w:pPr>
        <w:tabs>
          <w:tab w:val="left" w:pos="4320"/>
          <w:tab w:val="right" w:pos="8640"/>
        </w:tabs>
      </w:pPr>
    </w:p>
    <w:p w14:paraId="28B8925D" w14:textId="77777777" w:rsidR="00B031BA" w:rsidRPr="00041744" w:rsidRDefault="00B031BA" w:rsidP="00B031BA">
      <w:pPr>
        <w:tabs>
          <w:tab w:val="left" w:pos="4320"/>
          <w:tab w:val="right" w:pos="8640"/>
        </w:tabs>
        <w:rPr>
          <w:i/>
          <w:u w:val="single"/>
        </w:rPr>
      </w:pPr>
      <w:r w:rsidRPr="00041744">
        <w:rPr>
          <w:i/>
        </w:rPr>
        <w:tab/>
      </w:r>
      <w:r w:rsidRPr="00041744">
        <w:rPr>
          <w:i/>
          <w:u w:val="single"/>
        </w:rPr>
        <w:t>/s/ Frank P. Darr</w:t>
      </w:r>
      <w:r w:rsidRPr="00041744">
        <w:rPr>
          <w:i/>
          <w:u w:val="single"/>
        </w:rPr>
        <w:tab/>
      </w:r>
    </w:p>
    <w:p w14:paraId="4BD3C311" w14:textId="77777777" w:rsidR="00B031BA" w:rsidRPr="00041744" w:rsidRDefault="00B031BA" w:rsidP="00B031BA">
      <w:pPr>
        <w:widowControl w:val="0"/>
        <w:tabs>
          <w:tab w:val="left" w:pos="4320"/>
        </w:tabs>
        <w:ind w:left="4320"/>
        <w:rPr>
          <w:rFonts w:eastAsia="Calibri"/>
        </w:rPr>
      </w:pPr>
      <w:r w:rsidRPr="00041744">
        <w:rPr>
          <w:rFonts w:eastAsia="Calibri"/>
          <w:bCs/>
        </w:rPr>
        <w:t>Frank P. Darr (Reg. No. 0025469)</w:t>
      </w:r>
      <w:r w:rsidRPr="00041744">
        <w:rPr>
          <w:rFonts w:eastAsia="Calibri"/>
        </w:rPr>
        <w:t xml:space="preserve"> </w:t>
      </w:r>
    </w:p>
    <w:p w14:paraId="15EF2F61" w14:textId="77777777" w:rsidR="00B031BA" w:rsidRPr="00041744" w:rsidRDefault="00B031BA" w:rsidP="00B031BA">
      <w:pPr>
        <w:widowControl w:val="0"/>
        <w:tabs>
          <w:tab w:val="left" w:pos="4320"/>
        </w:tabs>
        <w:ind w:left="4320"/>
        <w:rPr>
          <w:rFonts w:eastAsia="Calibri"/>
          <w:bCs/>
        </w:rPr>
      </w:pPr>
      <w:r w:rsidRPr="00041744">
        <w:rPr>
          <w:rFonts w:eastAsia="Calibri"/>
        </w:rPr>
        <w:t>(Counsel of Record)</w:t>
      </w:r>
    </w:p>
    <w:p w14:paraId="13F96BAA" w14:textId="77777777" w:rsidR="00B031BA" w:rsidRPr="00041744" w:rsidRDefault="00B031BA" w:rsidP="00B031BA">
      <w:pPr>
        <w:widowControl w:val="0"/>
        <w:tabs>
          <w:tab w:val="left" w:pos="4320"/>
        </w:tabs>
        <w:ind w:left="4320"/>
        <w:rPr>
          <w:rFonts w:eastAsia="Calibri"/>
          <w:b/>
          <w:bCs/>
        </w:rPr>
      </w:pPr>
      <w:r w:rsidRPr="00041744">
        <w:rPr>
          <w:rFonts w:eastAsia="Calibri"/>
          <w:bCs/>
        </w:rPr>
        <w:t>Matthew R. Pritchard (Reg. No. 0088070)</w:t>
      </w:r>
    </w:p>
    <w:p w14:paraId="62A420E9" w14:textId="77777777" w:rsidR="00B031BA" w:rsidRPr="00041744" w:rsidRDefault="00B031BA" w:rsidP="00B031BA">
      <w:pPr>
        <w:widowControl w:val="0"/>
        <w:tabs>
          <w:tab w:val="left" w:pos="4320"/>
        </w:tabs>
        <w:ind w:left="4320"/>
        <w:rPr>
          <w:rFonts w:eastAsia="Calibri"/>
          <w:b/>
          <w:bCs/>
          <w:smallCaps/>
        </w:rPr>
      </w:pPr>
      <w:r w:rsidRPr="00041744">
        <w:rPr>
          <w:rFonts w:eastAsia="Calibri"/>
          <w:bCs/>
          <w:smallCaps/>
        </w:rPr>
        <w:t>McNees Wallace &amp; Nurick LLC</w:t>
      </w:r>
    </w:p>
    <w:p w14:paraId="4D8F87C6" w14:textId="77777777" w:rsidR="00B031BA" w:rsidRPr="00041744" w:rsidRDefault="00B031BA" w:rsidP="00B031BA">
      <w:pPr>
        <w:widowControl w:val="0"/>
        <w:tabs>
          <w:tab w:val="left" w:pos="4320"/>
        </w:tabs>
        <w:ind w:left="4320"/>
        <w:rPr>
          <w:rFonts w:eastAsia="Calibri"/>
          <w:b/>
          <w:bCs/>
        </w:rPr>
      </w:pPr>
      <w:r w:rsidRPr="00041744">
        <w:rPr>
          <w:rFonts w:eastAsia="Calibri"/>
          <w:bCs/>
        </w:rPr>
        <w:t>21 East State Street, 17</w:t>
      </w:r>
      <w:r w:rsidRPr="00041744">
        <w:rPr>
          <w:rFonts w:eastAsia="Calibri"/>
          <w:bCs/>
          <w:vertAlign w:val="superscript"/>
        </w:rPr>
        <w:t>TH</w:t>
      </w:r>
      <w:r w:rsidRPr="00041744">
        <w:rPr>
          <w:rFonts w:eastAsia="Calibri"/>
          <w:bCs/>
        </w:rPr>
        <w:t xml:space="preserve"> Floor</w:t>
      </w:r>
    </w:p>
    <w:p w14:paraId="16589DCF"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Columbus, OH  43215</w:t>
      </w:r>
    </w:p>
    <w:p w14:paraId="60AAD0BC"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Telephone:  (614) 469-8000</w:t>
      </w:r>
    </w:p>
    <w:p w14:paraId="1416A187" w14:textId="77777777" w:rsidR="00B031BA" w:rsidRPr="00041744" w:rsidRDefault="00B031BA" w:rsidP="00B031BA">
      <w:pPr>
        <w:tabs>
          <w:tab w:val="left" w:pos="-1440"/>
          <w:tab w:val="left" w:pos="-720"/>
          <w:tab w:val="left" w:pos="4320"/>
          <w:tab w:val="left" w:pos="5040"/>
          <w:tab w:val="center" w:pos="7200"/>
        </w:tabs>
        <w:overflowPunct w:val="0"/>
        <w:autoSpaceDE w:val="0"/>
        <w:autoSpaceDN w:val="0"/>
        <w:adjustRightInd w:val="0"/>
        <w:ind w:left="4320"/>
        <w:rPr>
          <w:rFonts w:eastAsia="Calibri"/>
        </w:rPr>
      </w:pPr>
      <w:r w:rsidRPr="00041744">
        <w:rPr>
          <w:rFonts w:eastAsia="Calibri"/>
        </w:rPr>
        <w:t>Telecopier:  (614) 469-4653</w:t>
      </w:r>
    </w:p>
    <w:p w14:paraId="433F7AB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rPr>
        <w:t>fdarr@mwncmh.com</w:t>
      </w:r>
    </w:p>
    <w:p w14:paraId="755424B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3812211B"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sidRPr="00041744">
        <w:rPr>
          <w:rFonts w:eastAsia="Calibri"/>
          <w:color w:val="000000"/>
        </w:rPr>
        <w:t>mpritchard@mwncmh.com</w:t>
      </w:r>
    </w:p>
    <w:p w14:paraId="2A8CD65C"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color w:val="000000"/>
        </w:rPr>
      </w:pPr>
      <w:r w:rsidRPr="00041744">
        <w:rPr>
          <w:rFonts w:eastAsia="Calibri"/>
          <w:color w:val="000000"/>
        </w:rPr>
        <w:t>(willing to accept service by e-mail)</w:t>
      </w:r>
    </w:p>
    <w:p w14:paraId="7808612F" w14:textId="77777777" w:rsidR="00B031BA" w:rsidRPr="00041744" w:rsidRDefault="00B031BA" w:rsidP="00B031BA">
      <w:pPr>
        <w:tabs>
          <w:tab w:val="left" w:pos="-1440"/>
          <w:tab w:val="left" w:pos="-720"/>
          <w:tab w:val="left" w:pos="5040"/>
          <w:tab w:val="center" w:pos="7200"/>
        </w:tabs>
        <w:overflowPunct w:val="0"/>
        <w:autoSpaceDE w:val="0"/>
        <w:autoSpaceDN w:val="0"/>
        <w:adjustRightInd w:val="0"/>
        <w:ind w:left="4320"/>
        <w:rPr>
          <w:rFonts w:eastAsia="Calibri"/>
          <w:b/>
          <w:smallCaps/>
        </w:rPr>
      </w:pPr>
    </w:p>
    <w:p w14:paraId="74853923" w14:textId="64A725C7" w:rsidR="00B031BA" w:rsidRDefault="00B031BA" w:rsidP="00B031BA">
      <w:pPr>
        <w:ind w:left="4320" w:hanging="4320"/>
        <w:sectPr w:rsidR="00B031BA" w:rsidSect="00B031BA">
          <w:pgSz w:w="12240" w:h="15840" w:code="1"/>
          <w:pgMar w:top="1440" w:right="1440" w:bottom="1440" w:left="1440" w:header="720" w:footer="720" w:gutter="0"/>
          <w:pgNumType w:start="1"/>
          <w:cols w:space="720"/>
          <w:titlePg/>
          <w:docGrid w:linePitch="360"/>
        </w:sectPr>
      </w:pPr>
      <w:r w:rsidRPr="00041744">
        <w:rPr>
          <w:rFonts w:eastAsia="Calibri"/>
          <w:b/>
        </w:rPr>
        <w:tab/>
        <w:t>Attorneys for Industrial Energy Users-Ohio</w:t>
      </w:r>
    </w:p>
    <w:p w14:paraId="7CC8DEA2" w14:textId="77777777" w:rsidR="004F7F21" w:rsidRDefault="004F7F21" w:rsidP="00F65EB9">
      <w:pPr>
        <w:ind w:left="4320" w:hanging="4320"/>
      </w:pPr>
    </w:p>
    <w:sectPr w:rsidR="004F7F21" w:rsidSect="00A1171A">
      <w:headerReference w:type="even" r:id="rId66"/>
      <w:headerReference w:type="default" r:id="rId67"/>
      <w:footerReference w:type="even" r:id="rId68"/>
      <w:footerReference w:type="default" r:id="rId69"/>
      <w:headerReference w:type="first" r:id="rId70"/>
      <w:footerReference w:type="first" r:id="rId7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CB6E" w14:textId="77777777" w:rsidR="00137313" w:rsidRDefault="00137313" w:rsidP="007E0CEF">
      <w:r>
        <w:separator/>
      </w:r>
    </w:p>
  </w:endnote>
  <w:endnote w:type="continuationSeparator" w:id="0">
    <w:p w14:paraId="18CFDCD2" w14:textId="77777777" w:rsidR="00137313" w:rsidRDefault="00137313" w:rsidP="007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C9EF" w14:textId="77777777" w:rsidR="00137313" w:rsidRDefault="001373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21ED" w14:textId="3C873274" w:rsidR="00137313" w:rsidRPr="00746728" w:rsidRDefault="00073165" w:rsidP="00AC7EAC">
    <w:pPr>
      <w:pStyle w:val="Footer"/>
    </w:pPr>
    <w:r w:rsidRPr="00073165">
      <w:rPr>
        <w:noProof/>
        <w:sz w:val="16"/>
      </w:rPr>
      <w:t>{C50376: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8B30" w14:textId="13625DFE" w:rsidR="00137313" w:rsidRPr="00944823" w:rsidRDefault="00073165">
    <w:pPr>
      <w:pStyle w:val="Footer"/>
    </w:pPr>
    <w:r w:rsidRPr="00073165">
      <w:rPr>
        <w:noProof/>
        <w:sz w:val="16"/>
      </w:rPr>
      <w:t>{C50376: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0EC8" w14:textId="382C0D45" w:rsidR="00137313" w:rsidRPr="00EB61A7" w:rsidRDefault="00073165" w:rsidP="00657927">
    <w:pPr>
      <w:pStyle w:val="Footer"/>
    </w:pPr>
    <w:r w:rsidRPr="00073165">
      <w:rPr>
        <w:noProof/>
        <w:sz w:val="16"/>
      </w:rPr>
      <w:t>{C50376: }</w:t>
    </w:r>
    <w:sdt>
      <w:sdtPr>
        <w:id w:val="-1954087591"/>
        <w:docPartObj>
          <w:docPartGallery w:val="Page Numbers (Bottom of Page)"/>
          <w:docPartUnique/>
        </w:docPartObj>
      </w:sdtPr>
      <w:sdtEndPr>
        <w:rPr>
          <w:noProof/>
        </w:rPr>
      </w:sdtEndPr>
      <w:sdtContent>
        <w:r w:rsidR="00137313">
          <w:tab/>
        </w:r>
        <w:r w:rsidR="00137313" w:rsidRPr="00EB61A7">
          <w:fldChar w:fldCharType="begin"/>
        </w:r>
        <w:r w:rsidR="00137313" w:rsidRPr="00EB61A7">
          <w:instrText xml:space="preserve"> PAGE   \* MERGEFORMAT </w:instrText>
        </w:r>
        <w:r w:rsidR="00137313" w:rsidRPr="00EB61A7">
          <w:fldChar w:fldCharType="separate"/>
        </w:r>
        <w:r>
          <w:rPr>
            <w:noProof/>
          </w:rPr>
          <w:t>4</w:t>
        </w:r>
        <w:r w:rsidR="00137313" w:rsidRPr="00EB61A7">
          <w:rPr>
            <w:noProof/>
          </w:rPr>
          <w:fldChar w:fldCharType="end"/>
        </w:r>
      </w:sdtContent>
    </w:sdt>
  </w:p>
  <w:p w14:paraId="59B80A83" w14:textId="77777777" w:rsidR="00137313" w:rsidRPr="00EB61A7" w:rsidRDefault="00137313" w:rsidP="00AC7E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791B" w14:textId="29C798EE" w:rsidR="00137313" w:rsidRPr="00944823" w:rsidRDefault="00073165">
    <w:pPr>
      <w:pStyle w:val="Footer"/>
    </w:pPr>
    <w:r w:rsidRPr="00073165">
      <w:rPr>
        <w:noProof/>
        <w:sz w:val="16"/>
      </w:rPr>
      <w:t>{C50376: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AE37" w14:textId="77777777" w:rsidR="00137313" w:rsidRDefault="0013731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FD79" w14:textId="2ED74B75" w:rsidR="00137313" w:rsidRPr="000C3B01" w:rsidRDefault="00073165">
    <w:pPr>
      <w:pStyle w:val="Footer"/>
    </w:pPr>
    <w:r w:rsidRPr="00073165">
      <w:rPr>
        <w:noProof/>
        <w:sz w:val="16"/>
      </w:rPr>
      <w:t>{C50376: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BBC9" w14:textId="26B3B7A9" w:rsidR="00137313" w:rsidRPr="000C3B01" w:rsidRDefault="00073165">
    <w:pPr>
      <w:pStyle w:val="Footer"/>
    </w:pPr>
    <w:r w:rsidRPr="00073165">
      <w:rPr>
        <w:noProof/>
        <w:sz w:val="16"/>
      </w:rPr>
      <w:t>{C50376: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7B15" w14:textId="0C5F57A0" w:rsidR="00137313" w:rsidRPr="00746728" w:rsidRDefault="00073165" w:rsidP="00325BE1">
    <w:pPr>
      <w:pStyle w:val="Footer"/>
    </w:pPr>
    <w:r w:rsidRPr="00073165">
      <w:rPr>
        <w:noProof/>
        <w:sz w:val="16"/>
      </w:rPr>
      <w:t>{C50376: }</w:t>
    </w:r>
    <w:sdt>
      <w:sdtPr>
        <w:id w:val="-730693774"/>
        <w:docPartObj>
          <w:docPartGallery w:val="Page Numbers (Bottom of Page)"/>
          <w:docPartUnique/>
        </w:docPartObj>
      </w:sdtPr>
      <w:sdtEndPr>
        <w:rPr>
          <w:noProof/>
        </w:rPr>
      </w:sdtEndPr>
      <w:sdtContent>
        <w:r w:rsidR="00137313">
          <w:tab/>
        </w:r>
        <w:r w:rsidR="00137313" w:rsidRPr="00746728">
          <w:fldChar w:fldCharType="begin"/>
        </w:r>
        <w:r w:rsidR="00137313" w:rsidRPr="00746728">
          <w:instrText xml:space="preserve"> PAGE   \* MERGEFORMAT </w:instrText>
        </w:r>
        <w:r w:rsidR="00137313" w:rsidRPr="00746728">
          <w:fldChar w:fldCharType="separate"/>
        </w:r>
        <w:r w:rsidR="00137313">
          <w:rPr>
            <w:noProof/>
          </w:rPr>
          <w:t>7</w:t>
        </w:r>
        <w:r w:rsidR="00137313" w:rsidRPr="0074672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EFF0" w14:textId="4A70514C" w:rsidR="00137313" w:rsidRPr="00EB61A7" w:rsidRDefault="00073165" w:rsidP="002B5C6D">
    <w:pPr>
      <w:pStyle w:val="Footer"/>
    </w:pPr>
    <w:r w:rsidRPr="00073165">
      <w:rPr>
        <w:noProof/>
        <w:sz w:val="16"/>
      </w:rPr>
      <w:t>{C50376: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5A35" w14:textId="68938570" w:rsidR="00137313" w:rsidRPr="00746728" w:rsidRDefault="00073165" w:rsidP="00325BE1">
    <w:pPr>
      <w:pStyle w:val="Footer"/>
    </w:pPr>
    <w:r w:rsidRPr="00073165">
      <w:rPr>
        <w:noProof/>
        <w:sz w:val="16"/>
      </w:rPr>
      <w:t>{C50376: }</w:t>
    </w:r>
    <w:sdt>
      <w:sdtPr>
        <w:id w:val="-1465181080"/>
        <w:docPartObj>
          <w:docPartGallery w:val="Page Numbers (Bottom of Page)"/>
          <w:docPartUnique/>
        </w:docPartObj>
      </w:sdtPr>
      <w:sdtEndPr>
        <w:rPr>
          <w:noProof/>
        </w:rPr>
      </w:sdtEndPr>
      <w:sdtContent>
        <w:r w:rsidR="00137313">
          <w:tab/>
        </w:r>
        <w:r w:rsidR="00137313" w:rsidRPr="00746728">
          <w:fldChar w:fldCharType="begin"/>
        </w:r>
        <w:r w:rsidR="00137313" w:rsidRPr="00746728">
          <w:instrText xml:space="preserve"> PAGE   \* MERGEFORMAT </w:instrText>
        </w:r>
        <w:r w:rsidR="00137313" w:rsidRPr="00746728">
          <w:fldChar w:fldCharType="separate"/>
        </w:r>
        <w:r w:rsidR="0038619D">
          <w:rPr>
            <w:noProof/>
          </w:rPr>
          <w:t>2</w:t>
        </w:r>
        <w:r w:rsidR="00137313" w:rsidRPr="00746728">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1C0A" w14:textId="07A0E1E3" w:rsidR="00137313" w:rsidRPr="00EB61A7" w:rsidRDefault="00073165" w:rsidP="002B5C6D">
    <w:pPr>
      <w:pStyle w:val="Footer"/>
    </w:pPr>
    <w:r w:rsidRPr="00073165">
      <w:rPr>
        <w:noProof/>
        <w:sz w:val="16"/>
      </w:rPr>
      <w:t>{C50376: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1AD5" w14:textId="4C5F9CEA" w:rsidR="00137313" w:rsidRPr="00746728" w:rsidRDefault="00073165" w:rsidP="00325BE1">
    <w:pPr>
      <w:pStyle w:val="Footer"/>
    </w:pPr>
    <w:r w:rsidRPr="00073165">
      <w:rPr>
        <w:noProof/>
        <w:sz w:val="16"/>
      </w:rPr>
      <w:t>{C50376: }</w:t>
    </w:r>
    <w:sdt>
      <w:sdtPr>
        <w:id w:val="1609613828"/>
        <w:docPartObj>
          <w:docPartGallery w:val="Page Numbers (Bottom of Page)"/>
          <w:docPartUnique/>
        </w:docPartObj>
      </w:sdtPr>
      <w:sdtEndPr>
        <w:rPr>
          <w:noProof/>
        </w:rPr>
      </w:sdtEndPr>
      <w:sdtContent>
        <w:r w:rsidR="00137313">
          <w:tab/>
        </w:r>
        <w:r w:rsidR="00137313" w:rsidRPr="00746728">
          <w:fldChar w:fldCharType="begin"/>
        </w:r>
        <w:r w:rsidR="00137313" w:rsidRPr="00746728">
          <w:instrText xml:space="preserve"> PAGE   \* MERGEFORMAT </w:instrText>
        </w:r>
        <w:r w:rsidR="00137313" w:rsidRPr="00746728">
          <w:fldChar w:fldCharType="separate"/>
        </w:r>
        <w:r>
          <w:rPr>
            <w:noProof/>
          </w:rPr>
          <w:t>9</w:t>
        </w:r>
        <w:r w:rsidR="00137313" w:rsidRPr="00746728">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812B" w14:textId="543F6CF4" w:rsidR="00137313" w:rsidRPr="00EB61A7" w:rsidRDefault="00073165" w:rsidP="005E5D51">
    <w:pPr>
      <w:pStyle w:val="Footer"/>
    </w:pPr>
    <w:r w:rsidRPr="00073165">
      <w:rPr>
        <w:noProof/>
        <w:sz w:val="16"/>
      </w:rPr>
      <w:t>{C50376: }</w:t>
    </w:r>
    <w:sdt>
      <w:sdtPr>
        <w:id w:val="-162699876"/>
        <w:docPartObj>
          <w:docPartGallery w:val="Page Numbers (Bottom of Page)"/>
          <w:docPartUnique/>
        </w:docPartObj>
      </w:sdtPr>
      <w:sdtEndPr>
        <w:rPr>
          <w:noProof/>
        </w:rPr>
      </w:sdtEndPr>
      <w:sdtContent>
        <w:r w:rsidR="00137313">
          <w:tab/>
        </w:r>
        <w:r w:rsidR="00137313" w:rsidRPr="00EB61A7">
          <w:fldChar w:fldCharType="begin"/>
        </w:r>
        <w:r w:rsidR="00137313" w:rsidRPr="00EB61A7">
          <w:instrText xml:space="preserve"> PAGE   \* MERGEFORMAT </w:instrText>
        </w:r>
        <w:r w:rsidR="00137313" w:rsidRPr="00EB61A7">
          <w:fldChar w:fldCharType="separate"/>
        </w:r>
        <w:r>
          <w:rPr>
            <w:noProof/>
          </w:rPr>
          <w:t>3</w:t>
        </w:r>
        <w:r w:rsidR="00137313" w:rsidRPr="00EB61A7">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C62A" w14:textId="3F8A5242" w:rsidR="00137313" w:rsidRPr="00746728" w:rsidRDefault="00073165" w:rsidP="00AC7EAC">
    <w:pPr>
      <w:pStyle w:val="Footer"/>
    </w:pPr>
    <w:r w:rsidRPr="00073165">
      <w:rPr>
        <w:noProof/>
        <w:sz w:val="16"/>
      </w:rPr>
      <w:t>{C50376: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C0E4" w14:textId="02C0CD2E" w:rsidR="00137313" w:rsidRPr="00944823" w:rsidRDefault="00073165">
    <w:pPr>
      <w:pStyle w:val="Footer"/>
    </w:pPr>
    <w:r w:rsidRPr="00073165">
      <w:rPr>
        <w:noProof/>
        <w:sz w:val="16"/>
      </w:rPr>
      <w:t>{C50376: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DA9BF" w14:textId="77777777" w:rsidR="00137313" w:rsidRDefault="00137313" w:rsidP="007E0CEF">
      <w:pPr>
        <w:rPr>
          <w:noProof/>
        </w:rPr>
      </w:pPr>
      <w:r>
        <w:rPr>
          <w:noProof/>
        </w:rPr>
        <w:separator/>
      </w:r>
    </w:p>
  </w:footnote>
  <w:footnote w:type="continuationSeparator" w:id="0">
    <w:p w14:paraId="198A3623" w14:textId="77777777" w:rsidR="00137313" w:rsidRDefault="00137313" w:rsidP="007E0CEF">
      <w:r>
        <w:continuationSeparator/>
      </w:r>
    </w:p>
  </w:footnote>
  <w:footnote w:id="1">
    <w:p w14:paraId="6DB428C7" w14:textId="3397BBFB" w:rsidR="00137313" w:rsidRPr="00CB7770" w:rsidRDefault="00137313" w:rsidP="00105689">
      <w:pPr>
        <w:pStyle w:val="FootnoteText"/>
        <w:jc w:val="both"/>
        <w:rPr>
          <w:color w:val="373739"/>
        </w:rPr>
      </w:pPr>
      <w:r>
        <w:rPr>
          <w:rStyle w:val="FootnoteReference"/>
        </w:rPr>
        <w:footnoteRef/>
      </w:r>
      <w:r>
        <w:t xml:space="preserve"> </w:t>
      </w:r>
      <w:r>
        <w:rPr>
          <w:color w:val="373739"/>
        </w:rPr>
        <w:t>IEU-Ohio has no objection to an order permitting DP&amp;L to file a response to IEU-Ohio’s Surreply if the Commission grants this Motion.</w:t>
      </w:r>
    </w:p>
    <w:p w14:paraId="71502704" w14:textId="12A6A751" w:rsidR="00137313" w:rsidRDefault="00137313" w:rsidP="00D50FD7">
      <w:pPr>
        <w:pStyle w:val="FootnoteText"/>
        <w:jc w:val="both"/>
      </w:pPr>
    </w:p>
  </w:footnote>
  <w:footnote w:id="2">
    <w:p w14:paraId="74539852" w14:textId="77777777" w:rsidR="00137313" w:rsidRDefault="00137313" w:rsidP="00105689">
      <w:pPr>
        <w:pStyle w:val="FootnoteText"/>
        <w:spacing w:after="120"/>
        <w:jc w:val="both"/>
      </w:pPr>
      <w:r>
        <w:rPr>
          <w:rStyle w:val="FootnoteReference"/>
        </w:rPr>
        <w:footnoteRef/>
      </w:r>
      <w:r>
        <w:t xml:space="preserve"> In response to a motion by another intervenor, the Commission extended the deadline to file a memorandum contra from April 14 to April 29, 2016.  Entry (Apr. 11, 2016).</w:t>
      </w:r>
    </w:p>
  </w:footnote>
  <w:footnote w:id="3">
    <w:p w14:paraId="46076B10" w14:textId="77777777" w:rsidR="00137313" w:rsidRDefault="00137313" w:rsidP="00D50FD7">
      <w:pPr>
        <w:pStyle w:val="FootnoteText"/>
        <w:spacing w:after="120"/>
        <w:jc w:val="both"/>
      </w:pPr>
      <w:r>
        <w:rPr>
          <w:rStyle w:val="FootnoteReference"/>
        </w:rPr>
        <w:footnoteRef/>
      </w:r>
      <w:r>
        <w:t xml:space="preserve"> In response to a motion by DP&amp;L, the Commission extended the deadline for DP&amp;L to file its reply to May 13, 2016.  Entry (May 4, 2016).</w:t>
      </w:r>
    </w:p>
  </w:footnote>
  <w:footnote w:id="4">
    <w:p w14:paraId="25A32699" w14:textId="77777777" w:rsidR="00137313" w:rsidRDefault="00137313" w:rsidP="00D50FD7">
      <w:pPr>
        <w:pStyle w:val="FootnoteText"/>
        <w:spacing w:after="120"/>
        <w:jc w:val="both"/>
      </w:pPr>
      <w:r>
        <w:rPr>
          <w:rStyle w:val="FootnoteReference"/>
        </w:rPr>
        <w:footnoteRef/>
      </w:r>
      <w:r>
        <w:t xml:space="preserve"> In response to a motion by another intervenor, the Commission extended the deadline to file a memorandum contra from April 14 to April 29, 2016.  Entry (Apr. 11, 2016).</w:t>
      </w:r>
    </w:p>
  </w:footnote>
  <w:footnote w:id="5">
    <w:p w14:paraId="7F0C70A1" w14:textId="77777777" w:rsidR="00137313" w:rsidRDefault="00137313" w:rsidP="00D50FD7">
      <w:pPr>
        <w:pStyle w:val="FootnoteText"/>
        <w:spacing w:after="120"/>
        <w:jc w:val="both"/>
      </w:pPr>
      <w:r>
        <w:rPr>
          <w:rStyle w:val="FootnoteReference"/>
        </w:rPr>
        <w:footnoteRef/>
      </w:r>
      <w:r>
        <w:t xml:space="preserve"> In response to a motion by DP&amp;L, the Commission extended the deadline for DP&amp;L to file its reply to May 13, 2016.  Entry (May 4, 2016).</w:t>
      </w:r>
    </w:p>
  </w:footnote>
  <w:footnote w:id="6">
    <w:p w14:paraId="1258FC23" w14:textId="77777777" w:rsidR="00137313" w:rsidRPr="00105689" w:rsidRDefault="00137313" w:rsidP="00D50FD7">
      <w:pPr>
        <w:spacing w:after="240"/>
        <w:jc w:val="both"/>
        <w:rPr>
          <w:rFonts w:cs="Times New Roman"/>
          <w:sz w:val="20"/>
          <w:szCs w:val="20"/>
        </w:rPr>
      </w:pPr>
      <w:r w:rsidRPr="00CD320C">
        <w:rPr>
          <w:rStyle w:val="FootnoteReference"/>
          <w:rFonts w:cs="Times New Roman"/>
        </w:rPr>
        <w:footnoteRef/>
      </w:r>
      <w:r w:rsidRPr="00CD320C">
        <w:rPr>
          <w:rFonts w:cs="Times New Roman"/>
        </w:rPr>
        <w:t xml:space="preserve"> </w:t>
      </w:r>
      <w:r w:rsidRPr="00105689">
        <w:rPr>
          <w:rFonts w:cs="Times New Roman"/>
          <w:sz w:val="20"/>
          <w:szCs w:val="20"/>
        </w:rPr>
        <w:t xml:space="preserve">Prior to SB 221, the statutory section was numbered as division (G) and provided that it is the State's policy to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105689">
        <w:rPr>
          <w:rFonts w:cs="Times New Roman"/>
          <w:i/>
          <w:sz w:val="20"/>
          <w:szCs w:val="20"/>
        </w:rPr>
        <w:t>Elyria Foundry Co. v. Pub. Util. Comm.</w:t>
      </w:r>
      <w:r w:rsidRPr="00105689">
        <w:rPr>
          <w:rFonts w:cs="Times New Roman"/>
          <w:sz w:val="20"/>
          <w:szCs w:val="20"/>
        </w:rPr>
        <w:t xml:space="preserve">, 114 Ohio St.3d 305, 315, 2007-Ohio-4164, ¶ 48; </w:t>
      </w:r>
      <w:r w:rsidRPr="00105689">
        <w:rPr>
          <w:rFonts w:cs="Times New Roman"/>
          <w:i/>
          <w:sz w:val="20"/>
          <w:szCs w:val="20"/>
        </w:rPr>
        <w:t>see also</w:t>
      </w:r>
      <w:r w:rsidRPr="00105689">
        <w:rPr>
          <w:rFonts w:cs="Times New Roman"/>
          <w:sz w:val="20"/>
          <w:szCs w:val="20"/>
        </w:rPr>
        <w:t xml:space="preserve"> Ohio General Assembly Archives, SB 221, available at: http://archives.legislature.state.oh.us/bills.cfm?ID=127_SB_221.</w:t>
      </w:r>
    </w:p>
  </w:footnote>
  <w:footnote w:id="7">
    <w:p w14:paraId="50B94611" w14:textId="77777777" w:rsidR="00137313" w:rsidRPr="008F1561" w:rsidRDefault="00137313" w:rsidP="008F1561">
      <w:pPr>
        <w:pStyle w:val="FootnoteText"/>
        <w:rPr>
          <w:bCs/>
        </w:rPr>
      </w:pPr>
      <w:r>
        <w:rPr>
          <w:rStyle w:val="FootnoteReference"/>
        </w:rPr>
        <w:footnoteRef/>
      </w:r>
      <w:r>
        <w:t xml:space="preserve"> </w:t>
      </w:r>
      <w:r w:rsidRPr="008F1561">
        <w:rPr>
          <w:bCs/>
        </w:rPr>
        <w:t xml:space="preserve">When enacting SB 221, the General Assembly also did not repeal R.C. 4928.06 which obligates the Commission to effectuate the state energy policy contained in R.C. 4928.02.  In 2012, the General Assembly subsequently made additional changes to the state energy policy specified in R.C. 4928.02.  </w:t>
      </w:r>
      <w:r w:rsidRPr="008F1561">
        <w:rPr>
          <w:bCs/>
          <w:i/>
        </w:rPr>
        <w:t xml:space="preserve">See </w:t>
      </w:r>
      <w:r w:rsidRPr="008F1561">
        <w:rPr>
          <w:bCs/>
        </w:rPr>
        <w:t>Senate Bill 315 (these additional changes did not alter the prohibition in R.C. 4928.02(H)).  Therefore, the General Assembly intends that the state energy policy continue to have effect when the Commission reviews and approves an application for an ESP.</w:t>
      </w:r>
    </w:p>
    <w:p w14:paraId="0C5B05AA" w14:textId="77777777" w:rsidR="00137313" w:rsidRDefault="001373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4408" w14:textId="77777777" w:rsidR="00137313" w:rsidRDefault="001373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BE91" w14:textId="77777777" w:rsidR="00137313" w:rsidRDefault="0013731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DF63" w14:textId="77777777" w:rsidR="00137313" w:rsidRDefault="001373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3F78" w14:textId="77777777" w:rsidR="00137313" w:rsidRDefault="001373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85D3" w14:textId="77777777" w:rsidR="00137313" w:rsidRDefault="0013731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E760" w14:textId="5B7850FB" w:rsidR="00137313" w:rsidRDefault="001373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5507" w14:textId="77777777" w:rsidR="00137313" w:rsidRDefault="001373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AFA7" w14:textId="77777777" w:rsidR="00137313" w:rsidRDefault="00137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63CF" w14:textId="77777777" w:rsidR="00137313" w:rsidRDefault="00137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C465" w14:textId="77777777" w:rsidR="00137313" w:rsidRDefault="001373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A4F8" w14:textId="77777777" w:rsidR="00137313" w:rsidRDefault="001373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5E41" w14:textId="77777777" w:rsidR="00137313" w:rsidRDefault="001373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7015" w14:textId="77777777" w:rsidR="00137313" w:rsidRDefault="001373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9176" w14:textId="77777777" w:rsidR="00137313" w:rsidRDefault="001373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AAC7" w14:textId="77777777" w:rsidR="00137313" w:rsidRDefault="001373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56B9" w14:textId="77777777" w:rsidR="00137313" w:rsidRDefault="0013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53760"/>
    <w:multiLevelType w:val="multilevel"/>
    <w:tmpl w:val="8EEC555A"/>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abstractNum w:abstractNumId="1" w15:restartNumberingAfterBreak="0">
    <w:nsid w:val="704020BA"/>
    <w:multiLevelType w:val="multilevel"/>
    <w:tmpl w:val="ADD451DA"/>
    <w:name w:val="IEU PUCO brief-Scheme 1"/>
    <w:lvl w:ilvl="0">
      <w:start w:val="1"/>
      <w:numFmt w:val="upperRoman"/>
      <w:pStyle w:val="Heading1"/>
      <w:lvlText w:val="%1."/>
      <w:lvlJc w:val="left"/>
      <w:pPr>
        <w:tabs>
          <w:tab w:val="num" w:pos="720"/>
        </w:tabs>
        <w:ind w:left="720" w:hanging="720"/>
      </w:pPr>
      <w:rPr>
        <w:rFonts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 PUCO brief&lt;/Name&gt;&lt;Description&gt; &lt;/Description&gt;&lt;FilterID&gt;0&lt;/FilterID&gt;&lt;CustomTOCAttached&gt;false&lt;/CustomTOCAttached&gt;&lt;DefaultTOCSchemeID&gt;0&lt;/DefaultTOCSchemeID&gt;&lt;BitMapID&gt;2&lt;/BitMapID&gt;&lt;Hidden&gt;false&lt;/Hidden&gt;&lt;ListIndexUsed&gt;0&lt;/ListIndexUsed&gt;&lt;CapturedDocument&gt;M:\CLIENTS\18480\FE\C50295.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 PUCO brief"/>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1"/>
    <w:docVar w:name="TOCRun" w:val="True"/>
    <w:docVar w:name="TOCSpecialLevels1" w:val="False"/>
    <w:docVar w:name="UnderlineTOCLevel1" w:val="False"/>
    <w:docVar w:name="UpperLevelTOC" w:val="3"/>
  </w:docVars>
  <w:rsids>
    <w:rsidRoot w:val="00EC0CA1"/>
    <w:rsid w:val="00010246"/>
    <w:rsid w:val="00010610"/>
    <w:rsid w:val="00017DF3"/>
    <w:rsid w:val="00023566"/>
    <w:rsid w:val="000264A0"/>
    <w:rsid w:val="000327C9"/>
    <w:rsid w:val="00033DE4"/>
    <w:rsid w:val="00041E4A"/>
    <w:rsid w:val="0004208A"/>
    <w:rsid w:val="00045AA9"/>
    <w:rsid w:val="0004697A"/>
    <w:rsid w:val="00050E75"/>
    <w:rsid w:val="00052D56"/>
    <w:rsid w:val="0005498B"/>
    <w:rsid w:val="00063821"/>
    <w:rsid w:val="00063EB6"/>
    <w:rsid w:val="00064533"/>
    <w:rsid w:val="00064A5C"/>
    <w:rsid w:val="00065189"/>
    <w:rsid w:val="0006631E"/>
    <w:rsid w:val="00067142"/>
    <w:rsid w:val="00073165"/>
    <w:rsid w:val="00075637"/>
    <w:rsid w:val="000830F2"/>
    <w:rsid w:val="00085109"/>
    <w:rsid w:val="00093806"/>
    <w:rsid w:val="00096243"/>
    <w:rsid w:val="00096E23"/>
    <w:rsid w:val="00097005"/>
    <w:rsid w:val="000A4621"/>
    <w:rsid w:val="000B0C19"/>
    <w:rsid w:val="000B40B5"/>
    <w:rsid w:val="000B613D"/>
    <w:rsid w:val="000C2F3B"/>
    <w:rsid w:val="000D056E"/>
    <w:rsid w:val="000D52FB"/>
    <w:rsid w:val="000D6BE3"/>
    <w:rsid w:val="000E09AA"/>
    <w:rsid w:val="000E0F0E"/>
    <w:rsid w:val="000E4D21"/>
    <w:rsid w:val="000E6495"/>
    <w:rsid w:val="000F110D"/>
    <w:rsid w:val="000F1417"/>
    <w:rsid w:val="000F1D93"/>
    <w:rsid w:val="000F20E7"/>
    <w:rsid w:val="000F50E6"/>
    <w:rsid w:val="000F7E37"/>
    <w:rsid w:val="0010155C"/>
    <w:rsid w:val="00101D41"/>
    <w:rsid w:val="00102AE4"/>
    <w:rsid w:val="001047AE"/>
    <w:rsid w:val="00105689"/>
    <w:rsid w:val="00111E3B"/>
    <w:rsid w:val="0011387E"/>
    <w:rsid w:val="00116540"/>
    <w:rsid w:val="0011755B"/>
    <w:rsid w:val="00121A73"/>
    <w:rsid w:val="0012571F"/>
    <w:rsid w:val="00125C4C"/>
    <w:rsid w:val="00131813"/>
    <w:rsid w:val="0013265F"/>
    <w:rsid w:val="00133F3E"/>
    <w:rsid w:val="001366A8"/>
    <w:rsid w:val="00136790"/>
    <w:rsid w:val="00137313"/>
    <w:rsid w:val="001433EA"/>
    <w:rsid w:val="00144C54"/>
    <w:rsid w:val="001459C3"/>
    <w:rsid w:val="00152D0C"/>
    <w:rsid w:val="00154AC2"/>
    <w:rsid w:val="001555C8"/>
    <w:rsid w:val="00163F30"/>
    <w:rsid w:val="00165F9A"/>
    <w:rsid w:val="001728D4"/>
    <w:rsid w:val="00175181"/>
    <w:rsid w:val="0017585E"/>
    <w:rsid w:val="001826ED"/>
    <w:rsid w:val="00185BB3"/>
    <w:rsid w:val="00190927"/>
    <w:rsid w:val="00196200"/>
    <w:rsid w:val="001A093F"/>
    <w:rsid w:val="001A13AD"/>
    <w:rsid w:val="001A17C4"/>
    <w:rsid w:val="001A32CB"/>
    <w:rsid w:val="001A4C16"/>
    <w:rsid w:val="001A5ABE"/>
    <w:rsid w:val="001A5B41"/>
    <w:rsid w:val="001A69AE"/>
    <w:rsid w:val="001B07EC"/>
    <w:rsid w:val="001B1F3D"/>
    <w:rsid w:val="001C1EB4"/>
    <w:rsid w:val="001C1EC1"/>
    <w:rsid w:val="001C34DA"/>
    <w:rsid w:val="001C5E38"/>
    <w:rsid w:val="001C69A3"/>
    <w:rsid w:val="001C75BD"/>
    <w:rsid w:val="001D093E"/>
    <w:rsid w:val="001E1FC8"/>
    <w:rsid w:val="001E292A"/>
    <w:rsid w:val="001E40F5"/>
    <w:rsid w:val="001E44A9"/>
    <w:rsid w:val="001E6B6A"/>
    <w:rsid w:val="001F5154"/>
    <w:rsid w:val="001F5709"/>
    <w:rsid w:val="00204177"/>
    <w:rsid w:val="00205E93"/>
    <w:rsid w:val="00207ABE"/>
    <w:rsid w:val="00212DCE"/>
    <w:rsid w:val="00214BA1"/>
    <w:rsid w:val="0021773A"/>
    <w:rsid w:val="00217E3F"/>
    <w:rsid w:val="002306B3"/>
    <w:rsid w:val="00235BD9"/>
    <w:rsid w:val="00240769"/>
    <w:rsid w:val="00240C54"/>
    <w:rsid w:val="0024158D"/>
    <w:rsid w:val="00242772"/>
    <w:rsid w:val="00243CD7"/>
    <w:rsid w:val="002440BF"/>
    <w:rsid w:val="00246E29"/>
    <w:rsid w:val="00253F29"/>
    <w:rsid w:val="00255F51"/>
    <w:rsid w:val="002647FE"/>
    <w:rsid w:val="00270109"/>
    <w:rsid w:val="0028748E"/>
    <w:rsid w:val="00292AC2"/>
    <w:rsid w:val="002963DE"/>
    <w:rsid w:val="00296EB4"/>
    <w:rsid w:val="00297ABF"/>
    <w:rsid w:val="002A1532"/>
    <w:rsid w:val="002A25EA"/>
    <w:rsid w:val="002B4310"/>
    <w:rsid w:val="002B5C6D"/>
    <w:rsid w:val="002B5DF5"/>
    <w:rsid w:val="002B6A75"/>
    <w:rsid w:val="002B70A8"/>
    <w:rsid w:val="002C6EEA"/>
    <w:rsid w:val="002D166C"/>
    <w:rsid w:val="002D3FD2"/>
    <w:rsid w:val="002E46E6"/>
    <w:rsid w:val="002E668F"/>
    <w:rsid w:val="002E6DD9"/>
    <w:rsid w:val="002F3740"/>
    <w:rsid w:val="002F525D"/>
    <w:rsid w:val="002F7FDC"/>
    <w:rsid w:val="00303518"/>
    <w:rsid w:val="003041BC"/>
    <w:rsid w:val="003076F1"/>
    <w:rsid w:val="003122ED"/>
    <w:rsid w:val="00315BBD"/>
    <w:rsid w:val="00320D54"/>
    <w:rsid w:val="00322C4A"/>
    <w:rsid w:val="003231B6"/>
    <w:rsid w:val="00325638"/>
    <w:rsid w:val="00325BE1"/>
    <w:rsid w:val="00326444"/>
    <w:rsid w:val="00331CF5"/>
    <w:rsid w:val="00332452"/>
    <w:rsid w:val="00332E96"/>
    <w:rsid w:val="00341234"/>
    <w:rsid w:val="00344AB0"/>
    <w:rsid w:val="00347DC4"/>
    <w:rsid w:val="00352931"/>
    <w:rsid w:val="003566C0"/>
    <w:rsid w:val="003600F2"/>
    <w:rsid w:val="00373CB1"/>
    <w:rsid w:val="00374305"/>
    <w:rsid w:val="00376A89"/>
    <w:rsid w:val="0037747A"/>
    <w:rsid w:val="00377938"/>
    <w:rsid w:val="0038299A"/>
    <w:rsid w:val="0038507C"/>
    <w:rsid w:val="00385A6C"/>
    <w:rsid w:val="0038619D"/>
    <w:rsid w:val="003912C1"/>
    <w:rsid w:val="00394426"/>
    <w:rsid w:val="003A0084"/>
    <w:rsid w:val="003A237D"/>
    <w:rsid w:val="003A334D"/>
    <w:rsid w:val="003A5A14"/>
    <w:rsid w:val="003B0B74"/>
    <w:rsid w:val="003B20C1"/>
    <w:rsid w:val="003B5657"/>
    <w:rsid w:val="003B5DF5"/>
    <w:rsid w:val="003B74D1"/>
    <w:rsid w:val="003C3C6E"/>
    <w:rsid w:val="003D0E0A"/>
    <w:rsid w:val="003E60AE"/>
    <w:rsid w:val="003E64A2"/>
    <w:rsid w:val="003F3483"/>
    <w:rsid w:val="003F4AB7"/>
    <w:rsid w:val="003F50A6"/>
    <w:rsid w:val="003F5C3F"/>
    <w:rsid w:val="003F6FC3"/>
    <w:rsid w:val="00413576"/>
    <w:rsid w:val="00415271"/>
    <w:rsid w:val="00420A2E"/>
    <w:rsid w:val="00420EC4"/>
    <w:rsid w:val="0042236D"/>
    <w:rsid w:val="00423297"/>
    <w:rsid w:val="004256A4"/>
    <w:rsid w:val="00442E38"/>
    <w:rsid w:val="00443B33"/>
    <w:rsid w:val="0044758D"/>
    <w:rsid w:val="004479F8"/>
    <w:rsid w:val="00451534"/>
    <w:rsid w:val="00451EF1"/>
    <w:rsid w:val="00452275"/>
    <w:rsid w:val="004534DF"/>
    <w:rsid w:val="004659AC"/>
    <w:rsid w:val="00472CC1"/>
    <w:rsid w:val="00473F52"/>
    <w:rsid w:val="00474C16"/>
    <w:rsid w:val="00485D3D"/>
    <w:rsid w:val="00486ECE"/>
    <w:rsid w:val="00487311"/>
    <w:rsid w:val="0049041D"/>
    <w:rsid w:val="00493633"/>
    <w:rsid w:val="00496CCB"/>
    <w:rsid w:val="004A2FA5"/>
    <w:rsid w:val="004A502D"/>
    <w:rsid w:val="004A6783"/>
    <w:rsid w:val="004B1126"/>
    <w:rsid w:val="004B6AD3"/>
    <w:rsid w:val="004C1774"/>
    <w:rsid w:val="004D325C"/>
    <w:rsid w:val="004D453C"/>
    <w:rsid w:val="004D46BE"/>
    <w:rsid w:val="004D4762"/>
    <w:rsid w:val="004D5880"/>
    <w:rsid w:val="004D7F9B"/>
    <w:rsid w:val="004E00BB"/>
    <w:rsid w:val="004E65E2"/>
    <w:rsid w:val="004E7721"/>
    <w:rsid w:val="004F4443"/>
    <w:rsid w:val="004F5821"/>
    <w:rsid w:val="004F7F21"/>
    <w:rsid w:val="00502DA4"/>
    <w:rsid w:val="00504A7B"/>
    <w:rsid w:val="00506FD8"/>
    <w:rsid w:val="00507069"/>
    <w:rsid w:val="0050786C"/>
    <w:rsid w:val="00511781"/>
    <w:rsid w:val="00514F1C"/>
    <w:rsid w:val="00520703"/>
    <w:rsid w:val="00520C2D"/>
    <w:rsid w:val="00520D92"/>
    <w:rsid w:val="00521923"/>
    <w:rsid w:val="0052585D"/>
    <w:rsid w:val="00531290"/>
    <w:rsid w:val="00531A57"/>
    <w:rsid w:val="005338BB"/>
    <w:rsid w:val="005358E1"/>
    <w:rsid w:val="00542E21"/>
    <w:rsid w:val="00544443"/>
    <w:rsid w:val="0055289F"/>
    <w:rsid w:val="00555C4C"/>
    <w:rsid w:val="00565D88"/>
    <w:rsid w:val="005703CE"/>
    <w:rsid w:val="00571A0C"/>
    <w:rsid w:val="00571DD1"/>
    <w:rsid w:val="005740EE"/>
    <w:rsid w:val="005753EE"/>
    <w:rsid w:val="0058082D"/>
    <w:rsid w:val="00581552"/>
    <w:rsid w:val="00586FEC"/>
    <w:rsid w:val="00587C53"/>
    <w:rsid w:val="00592B40"/>
    <w:rsid w:val="005B167F"/>
    <w:rsid w:val="005B3001"/>
    <w:rsid w:val="005B36E8"/>
    <w:rsid w:val="005B509C"/>
    <w:rsid w:val="005B5D59"/>
    <w:rsid w:val="005B636F"/>
    <w:rsid w:val="005C1BEA"/>
    <w:rsid w:val="005C3242"/>
    <w:rsid w:val="005C77E8"/>
    <w:rsid w:val="005E3600"/>
    <w:rsid w:val="005E3900"/>
    <w:rsid w:val="005E5D51"/>
    <w:rsid w:val="005E701E"/>
    <w:rsid w:val="005E7BDA"/>
    <w:rsid w:val="005F2C39"/>
    <w:rsid w:val="005F4758"/>
    <w:rsid w:val="00600711"/>
    <w:rsid w:val="00603861"/>
    <w:rsid w:val="00604354"/>
    <w:rsid w:val="00606740"/>
    <w:rsid w:val="006157F5"/>
    <w:rsid w:val="00615E16"/>
    <w:rsid w:val="0062200C"/>
    <w:rsid w:val="006253D7"/>
    <w:rsid w:val="00625DC9"/>
    <w:rsid w:val="00631771"/>
    <w:rsid w:val="0063564A"/>
    <w:rsid w:val="00645E72"/>
    <w:rsid w:val="006472E2"/>
    <w:rsid w:val="00652804"/>
    <w:rsid w:val="00654ED1"/>
    <w:rsid w:val="00657927"/>
    <w:rsid w:val="00663749"/>
    <w:rsid w:val="006660A7"/>
    <w:rsid w:val="006817C4"/>
    <w:rsid w:val="00681E11"/>
    <w:rsid w:val="006832D9"/>
    <w:rsid w:val="00684092"/>
    <w:rsid w:val="00684CC8"/>
    <w:rsid w:val="0068719E"/>
    <w:rsid w:val="0069725B"/>
    <w:rsid w:val="006A46E6"/>
    <w:rsid w:val="006A6C87"/>
    <w:rsid w:val="006B185F"/>
    <w:rsid w:val="006B72A2"/>
    <w:rsid w:val="006C1063"/>
    <w:rsid w:val="006C19F1"/>
    <w:rsid w:val="006D0B4E"/>
    <w:rsid w:val="006D121C"/>
    <w:rsid w:val="006D4933"/>
    <w:rsid w:val="006D642B"/>
    <w:rsid w:val="006D6A2A"/>
    <w:rsid w:val="006E5062"/>
    <w:rsid w:val="006E52F3"/>
    <w:rsid w:val="006E5502"/>
    <w:rsid w:val="006F179F"/>
    <w:rsid w:val="006F24A2"/>
    <w:rsid w:val="006F2FD8"/>
    <w:rsid w:val="006F3EBF"/>
    <w:rsid w:val="006F4F20"/>
    <w:rsid w:val="00702AAD"/>
    <w:rsid w:val="007032B2"/>
    <w:rsid w:val="00706953"/>
    <w:rsid w:val="00706AEA"/>
    <w:rsid w:val="0071027D"/>
    <w:rsid w:val="0071088D"/>
    <w:rsid w:val="00710B90"/>
    <w:rsid w:val="00721328"/>
    <w:rsid w:val="00722D42"/>
    <w:rsid w:val="007256CD"/>
    <w:rsid w:val="007257C9"/>
    <w:rsid w:val="00727F9F"/>
    <w:rsid w:val="00727FA0"/>
    <w:rsid w:val="007323A5"/>
    <w:rsid w:val="00734380"/>
    <w:rsid w:val="007359C8"/>
    <w:rsid w:val="00736701"/>
    <w:rsid w:val="00736E31"/>
    <w:rsid w:val="00742E2C"/>
    <w:rsid w:val="00743830"/>
    <w:rsid w:val="007464A1"/>
    <w:rsid w:val="00746728"/>
    <w:rsid w:val="007527BF"/>
    <w:rsid w:val="0075280E"/>
    <w:rsid w:val="00753247"/>
    <w:rsid w:val="00760F95"/>
    <w:rsid w:val="00763969"/>
    <w:rsid w:val="007641A4"/>
    <w:rsid w:val="00771BCF"/>
    <w:rsid w:val="007722CD"/>
    <w:rsid w:val="007733C4"/>
    <w:rsid w:val="00774CAF"/>
    <w:rsid w:val="00774DCE"/>
    <w:rsid w:val="0077567A"/>
    <w:rsid w:val="00781BA1"/>
    <w:rsid w:val="00782EE2"/>
    <w:rsid w:val="00783240"/>
    <w:rsid w:val="007841E4"/>
    <w:rsid w:val="0078608F"/>
    <w:rsid w:val="007872F5"/>
    <w:rsid w:val="00791BDC"/>
    <w:rsid w:val="007955E6"/>
    <w:rsid w:val="007A00C3"/>
    <w:rsid w:val="007A1B7C"/>
    <w:rsid w:val="007A25F5"/>
    <w:rsid w:val="007A4561"/>
    <w:rsid w:val="007A4B5F"/>
    <w:rsid w:val="007B3EF4"/>
    <w:rsid w:val="007B4F2C"/>
    <w:rsid w:val="007B69FA"/>
    <w:rsid w:val="007C0F15"/>
    <w:rsid w:val="007C48EA"/>
    <w:rsid w:val="007C4DDA"/>
    <w:rsid w:val="007C7F31"/>
    <w:rsid w:val="007E0754"/>
    <w:rsid w:val="007E0CEF"/>
    <w:rsid w:val="007E350F"/>
    <w:rsid w:val="007E58B2"/>
    <w:rsid w:val="007E6130"/>
    <w:rsid w:val="007E6556"/>
    <w:rsid w:val="007F293B"/>
    <w:rsid w:val="007F679C"/>
    <w:rsid w:val="007F7887"/>
    <w:rsid w:val="008127CA"/>
    <w:rsid w:val="00816CF1"/>
    <w:rsid w:val="0081772B"/>
    <w:rsid w:val="00817AAC"/>
    <w:rsid w:val="00822A7C"/>
    <w:rsid w:val="00834D46"/>
    <w:rsid w:val="00840021"/>
    <w:rsid w:val="00841BA5"/>
    <w:rsid w:val="00845C62"/>
    <w:rsid w:val="00846106"/>
    <w:rsid w:val="00846C8B"/>
    <w:rsid w:val="008516F8"/>
    <w:rsid w:val="00851700"/>
    <w:rsid w:val="00856040"/>
    <w:rsid w:val="00860E5B"/>
    <w:rsid w:val="00863FA1"/>
    <w:rsid w:val="00867BB2"/>
    <w:rsid w:val="00871E22"/>
    <w:rsid w:val="00877042"/>
    <w:rsid w:val="00880A54"/>
    <w:rsid w:val="00880C4D"/>
    <w:rsid w:val="008864F9"/>
    <w:rsid w:val="0089259D"/>
    <w:rsid w:val="00892CE3"/>
    <w:rsid w:val="008937F4"/>
    <w:rsid w:val="00894CEA"/>
    <w:rsid w:val="008954C1"/>
    <w:rsid w:val="008A12A1"/>
    <w:rsid w:val="008A240C"/>
    <w:rsid w:val="008A2BF6"/>
    <w:rsid w:val="008A7563"/>
    <w:rsid w:val="008B31B1"/>
    <w:rsid w:val="008B327A"/>
    <w:rsid w:val="008B6488"/>
    <w:rsid w:val="008B6528"/>
    <w:rsid w:val="008B7D51"/>
    <w:rsid w:val="008C2955"/>
    <w:rsid w:val="008C3BB9"/>
    <w:rsid w:val="008C61C2"/>
    <w:rsid w:val="008D08E0"/>
    <w:rsid w:val="008D2D51"/>
    <w:rsid w:val="008D6B41"/>
    <w:rsid w:val="008E32DE"/>
    <w:rsid w:val="008E3BF4"/>
    <w:rsid w:val="008E5878"/>
    <w:rsid w:val="008F1561"/>
    <w:rsid w:val="008F3A44"/>
    <w:rsid w:val="008F7032"/>
    <w:rsid w:val="00900A34"/>
    <w:rsid w:val="00911D63"/>
    <w:rsid w:val="00915F21"/>
    <w:rsid w:val="00916ACB"/>
    <w:rsid w:val="009173B0"/>
    <w:rsid w:val="00917BD5"/>
    <w:rsid w:val="0092382A"/>
    <w:rsid w:val="00923D0B"/>
    <w:rsid w:val="00930DAE"/>
    <w:rsid w:val="009317CF"/>
    <w:rsid w:val="00934FF6"/>
    <w:rsid w:val="009424F1"/>
    <w:rsid w:val="00944823"/>
    <w:rsid w:val="0094502C"/>
    <w:rsid w:val="00946C08"/>
    <w:rsid w:val="00947F23"/>
    <w:rsid w:val="00954825"/>
    <w:rsid w:val="00955C15"/>
    <w:rsid w:val="009604AC"/>
    <w:rsid w:val="009619B8"/>
    <w:rsid w:val="009620A8"/>
    <w:rsid w:val="00964BC2"/>
    <w:rsid w:val="0097428C"/>
    <w:rsid w:val="00975360"/>
    <w:rsid w:val="0097662D"/>
    <w:rsid w:val="0098142B"/>
    <w:rsid w:val="00984FD8"/>
    <w:rsid w:val="0098799E"/>
    <w:rsid w:val="0099088C"/>
    <w:rsid w:val="00990FB6"/>
    <w:rsid w:val="0099140F"/>
    <w:rsid w:val="0099451B"/>
    <w:rsid w:val="00994868"/>
    <w:rsid w:val="0099670B"/>
    <w:rsid w:val="00997157"/>
    <w:rsid w:val="009A2353"/>
    <w:rsid w:val="009A29DE"/>
    <w:rsid w:val="009A2AEA"/>
    <w:rsid w:val="009A5510"/>
    <w:rsid w:val="009B548A"/>
    <w:rsid w:val="009B7C82"/>
    <w:rsid w:val="009C0F48"/>
    <w:rsid w:val="009C1D86"/>
    <w:rsid w:val="009C4A63"/>
    <w:rsid w:val="009D12B6"/>
    <w:rsid w:val="009D2597"/>
    <w:rsid w:val="009E4708"/>
    <w:rsid w:val="009E7AC4"/>
    <w:rsid w:val="00A00E70"/>
    <w:rsid w:val="00A016C0"/>
    <w:rsid w:val="00A0228A"/>
    <w:rsid w:val="00A02307"/>
    <w:rsid w:val="00A037B2"/>
    <w:rsid w:val="00A03894"/>
    <w:rsid w:val="00A04F9E"/>
    <w:rsid w:val="00A1171A"/>
    <w:rsid w:val="00A14D98"/>
    <w:rsid w:val="00A16794"/>
    <w:rsid w:val="00A208DF"/>
    <w:rsid w:val="00A20AA6"/>
    <w:rsid w:val="00A20B30"/>
    <w:rsid w:val="00A2261A"/>
    <w:rsid w:val="00A30FAB"/>
    <w:rsid w:val="00A331B6"/>
    <w:rsid w:val="00A457ED"/>
    <w:rsid w:val="00A55E0A"/>
    <w:rsid w:val="00A62BA1"/>
    <w:rsid w:val="00A64ACE"/>
    <w:rsid w:val="00A65399"/>
    <w:rsid w:val="00A71B6A"/>
    <w:rsid w:val="00A7665E"/>
    <w:rsid w:val="00A77977"/>
    <w:rsid w:val="00A831A4"/>
    <w:rsid w:val="00A84087"/>
    <w:rsid w:val="00A8735F"/>
    <w:rsid w:val="00A90AD0"/>
    <w:rsid w:val="00A91E76"/>
    <w:rsid w:val="00A9271E"/>
    <w:rsid w:val="00A97AE5"/>
    <w:rsid w:val="00A97F5B"/>
    <w:rsid w:val="00AA4A90"/>
    <w:rsid w:val="00AA77D3"/>
    <w:rsid w:val="00AB0D28"/>
    <w:rsid w:val="00AB10B2"/>
    <w:rsid w:val="00AB1EA1"/>
    <w:rsid w:val="00AB6578"/>
    <w:rsid w:val="00AC0BBC"/>
    <w:rsid w:val="00AC0C89"/>
    <w:rsid w:val="00AC2C4C"/>
    <w:rsid w:val="00AC36A2"/>
    <w:rsid w:val="00AC6CC3"/>
    <w:rsid w:val="00AC78DE"/>
    <w:rsid w:val="00AC7EAC"/>
    <w:rsid w:val="00AD031B"/>
    <w:rsid w:val="00AD138B"/>
    <w:rsid w:val="00AD2F16"/>
    <w:rsid w:val="00AD4C36"/>
    <w:rsid w:val="00AD79EE"/>
    <w:rsid w:val="00AE07AD"/>
    <w:rsid w:val="00AE100B"/>
    <w:rsid w:val="00AE3D5E"/>
    <w:rsid w:val="00AE43C2"/>
    <w:rsid w:val="00AE4542"/>
    <w:rsid w:val="00AF020A"/>
    <w:rsid w:val="00AF1F9C"/>
    <w:rsid w:val="00AF4224"/>
    <w:rsid w:val="00AF65C0"/>
    <w:rsid w:val="00B01502"/>
    <w:rsid w:val="00B031BA"/>
    <w:rsid w:val="00B03E05"/>
    <w:rsid w:val="00B043FF"/>
    <w:rsid w:val="00B105BC"/>
    <w:rsid w:val="00B21978"/>
    <w:rsid w:val="00B23BD6"/>
    <w:rsid w:val="00B24331"/>
    <w:rsid w:val="00B30197"/>
    <w:rsid w:val="00B334EC"/>
    <w:rsid w:val="00B34B0F"/>
    <w:rsid w:val="00B36611"/>
    <w:rsid w:val="00B411EA"/>
    <w:rsid w:val="00B42048"/>
    <w:rsid w:val="00B422B7"/>
    <w:rsid w:val="00B443E1"/>
    <w:rsid w:val="00B44DC9"/>
    <w:rsid w:val="00B51CE9"/>
    <w:rsid w:val="00B608D9"/>
    <w:rsid w:val="00B60CF6"/>
    <w:rsid w:val="00B6224D"/>
    <w:rsid w:val="00B625EA"/>
    <w:rsid w:val="00B655A8"/>
    <w:rsid w:val="00B662F9"/>
    <w:rsid w:val="00B80C1F"/>
    <w:rsid w:val="00B83E3F"/>
    <w:rsid w:val="00B850B7"/>
    <w:rsid w:val="00B86931"/>
    <w:rsid w:val="00B92B5E"/>
    <w:rsid w:val="00BA0B60"/>
    <w:rsid w:val="00BA3F6E"/>
    <w:rsid w:val="00BA51CD"/>
    <w:rsid w:val="00BB1061"/>
    <w:rsid w:val="00BB1C83"/>
    <w:rsid w:val="00BB3008"/>
    <w:rsid w:val="00BC0E74"/>
    <w:rsid w:val="00BC2F2B"/>
    <w:rsid w:val="00BC5D8E"/>
    <w:rsid w:val="00BD3AB4"/>
    <w:rsid w:val="00BD473E"/>
    <w:rsid w:val="00BD53C5"/>
    <w:rsid w:val="00BD7949"/>
    <w:rsid w:val="00BE1886"/>
    <w:rsid w:val="00BE2133"/>
    <w:rsid w:val="00BE23A2"/>
    <w:rsid w:val="00BE23BF"/>
    <w:rsid w:val="00BE2AA9"/>
    <w:rsid w:val="00BE3BA5"/>
    <w:rsid w:val="00BE570B"/>
    <w:rsid w:val="00BF20B1"/>
    <w:rsid w:val="00BF5DEF"/>
    <w:rsid w:val="00C01762"/>
    <w:rsid w:val="00C0405A"/>
    <w:rsid w:val="00C062BE"/>
    <w:rsid w:val="00C108E8"/>
    <w:rsid w:val="00C1119C"/>
    <w:rsid w:val="00C13F42"/>
    <w:rsid w:val="00C25E66"/>
    <w:rsid w:val="00C360D6"/>
    <w:rsid w:val="00C516CB"/>
    <w:rsid w:val="00C516ED"/>
    <w:rsid w:val="00C51A5F"/>
    <w:rsid w:val="00C7066A"/>
    <w:rsid w:val="00C72C46"/>
    <w:rsid w:val="00C74236"/>
    <w:rsid w:val="00C7623C"/>
    <w:rsid w:val="00C8151A"/>
    <w:rsid w:val="00C83B6C"/>
    <w:rsid w:val="00C84F07"/>
    <w:rsid w:val="00C85E6C"/>
    <w:rsid w:val="00C90EE9"/>
    <w:rsid w:val="00C918D4"/>
    <w:rsid w:val="00C95D51"/>
    <w:rsid w:val="00C97F50"/>
    <w:rsid w:val="00CA0984"/>
    <w:rsid w:val="00CA0BE3"/>
    <w:rsid w:val="00CA22D6"/>
    <w:rsid w:val="00CA3B7E"/>
    <w:rsid w:val="00CA41FE"/>
    <w:rsid w:val="00CB61ED"/>
    <w:rsid w:val="00CB7770"/>
    <w:rsid w:val="00CC1CE3"/>
    <w:rsid w:val="00CC252E"/>
    <w:rsid w:val="00CC44D0"/>
    <w:rsid w:val="00CC4B83"/>
    <w:rsid w:val="00CC6D63"/>
    <w:rsid w:val="00CC6EE2"/>
    <w:rsid w:val="00CD1819"/>
    <w:rsid w:val="00CD3B5E"/>
    <w:rsid w:val="00CD4FBE"/>
    <w:rsid w:val="00CD5703"/>
    <w:rsid w:val="00CE0661"/>
    <w:rsid w:val="00CE1789"/>
    <w:rsid w:val="00CE1F35"/>
    <w:rsid w:val="00CE21AA"/>
    <w:rsid w:val="00CE7FD0"/>
    <w:rsid w:val="00CF021D"/>
    <w:rsid w:val="00CF2B16"/>
    <w:rsid w:val="00CF5CC0"/>
    <w:rsid w:val="00CF7BFD"/>
    <w:rsid w:val="00D00503"/>
    <w:rsid w:val="00D016A4"/>
    <w:rsid w:val="00D03F8C"/>
    <w:rsid w:val="00D05DDE"/>
    <w:rsid w:val="00D05E26"/>
    <w:rsid w:val="00D05EAD"/>
    <w:rsid w:val="00D07CAD"/>
    <w:rsid w:val="00D1439A"/>
    <w:rsid w:val="00D22C65"/>
    <w:rsid w:val="00D23E02"/>
    <w:rsid w:val="00D33BBC"/>
    <w:rsid w:val="00D35DDC"/>
    <w:rsid w:val="00D378E6"/>
    <w:rsid w:val="00D37E03"/>
    <w:rsid w:val="00D42B19"/>
    <w:rsid w:val="00D46463"/>
    <w:rsid w:val="00D502D3"/>
    <w:rsid w:val="00D50FD7"/>
    <w:rsid w:val="00D53338"/>
    <w:rsid w:val="00D5429B"/>
    <w:rsid w:val="00D64926"/>
    <w:rsid w:val="00D64AB0"/>
    <w:rsid w:val="00D66F30"/>
    <w:rsid w:val="00D67DB2"/>
    <w:rsid w:val="00D752D9"/>
    <w:rsid w:val="00D768E2"/>
    <w:rsid w:val="00D775ED"/>
    <w:rsid w:val="00D81CC8"/>
    <w:rsid w:val="00D8311D"/>
    <w:rsid w:val="00D855C5"/>
    <w:rsid w:val="00D872EB"/>
    <w:rsid w:val="00D93A9B"/>
    <w:rsid w:val="00D93DC6"/>
    <w:rsid w:val="00DA0F56"/>
    <w:rsid w:val="00DA3AC2"/>
    <w:rsid w:val="00DB190F"/>
    <w:rsid w:val="00DB6014"/>
    <w:rsid w:val="00DB7515"/>
    <w:rsid w:val="00DC0534"/>
    <w:rsid w:val="00DD12A9"/>
    <w:rsid w:val="00DE384B"/>
    <w:rsid w:val="00DE5569"/>
    <w:rsid w:val="00DE5A18"/>
    <w:rsid w:val="00DE6B9E"/>
    <w:rsid w:val="00DE78D1"/>
    <w:rsid w:val="00DE7A8F"/>
    <w:rsid w:val="00DF17DC"/>
    <w:rsid w:val="00DF3359"/>
    <w:rsid w:val="00DF563A"/>
    <w:rsid w:val="00DF5F50"/>
    <w:rsid w:val="00E0020A"/>
    <w:rsid w:val="00E04E70"/>
    <w:rsid w:val="00E05C92"/>
    <w:rsid w:val="00E06415"/>
    <w:rsid w:val="00E128AD"/>
    <w:rsid w:val="00E13CB4"/>
    <w:rsid w:val="00E20FEB"/>
    <w:rsid w:val="00E21FC7"/>
    <w:rsid w:val="00E2446D"/>
    <w:rsid w:val="00E24FD7"/>
    <w:rsid w:val="00E336CC"/>
    <w:rsid w:val="00E36B3E"/>
    <w:rsid w:val="00E511FE"/>
    <w:rsid w:val="00E5214E"/>
    <w:rsid w:val="00E52429"/>
    <w:rsid w:val="00E52564"/>
    <w:rsid w:val="00E52B4A"/>
    <w:rsid w:val="00E54148"/>
    <w:rsid w:val="00E54AC2"/>
    <w:rsid w:val="00E579DB"/>
    <w:rsid w:val="00E629B9"/>
    <w:rsid w:val="00E6386D"/>
    <w:rsid w:val="00E66119"/>
    <w:rsid w:val="00E70CC6"/>
    <w:rsid w:val="00E70F1B"/>
    <w:rsid w:val="00E76C48"/>
    <w:rsid w:val="00E80D5E"/>
    <w:rsid w:val="00E82B9A"/>
    <w:rsid w:val="00E8384F"/>
    <w:rsid w:val="00E8394B"/>
    <w:rsid w:val="00E903F7"/>
    <w:rsid w:val="00E940BB"/>
    <w:rsid w:val="00E94DD0"/>
    <w:rsid w:val="00E95C95"/>
    <w:rsid w:val="00EA0039"/>
    <w:rsid w:val="00EA2822"/>
    <w:rsid w:val="00EA7D67"/>
    <w:rsid w:val="00EB1CE4"/>
    <w:rsid w:val="00EB61A7"/>
    <w:rsid w:val="00EC0CA1"/>
    <w:rsid w:val="00EC4D4A"/>
    <w:rsid w:val="00EC5469"/>
    <w:rsid w:val="00ED0B75"/>
    <w:rsid w:val="00ED4132"/>
    <w:rsid w:val="00ED586C"/>
    <w:rsid w:val="00ED6C02"/>
    <w:rsid w:val="00ED6D39"/>
    <w:rsid w:val="00EE065E"/>
    <w:rsid w:val="00EE1B21"/>
    <w:rsid w:val="00EE4588"/>
    <w:rsid w:val="00EE4932"/>
    <w:rsid w:val="00EF226B"/>
    <w:rsid w:val="00EF33E4"/>
    <w:rsid w:val="00EF71FD"/>
    <w:rsid w:val="00F0044A"/>
    <w:rsid w:val="00F0107A"/>
    <w:rsid w:val="00F03B6E"/>
    <w:rsid w:val="00F04D31"/>
    <w:rsid w:val="00F057CF"/>
    <w:rsid w:val="00F10202"/>
    <w:rsid w:val="00F11550"/>
    <w:rsid w:val="00F12481"/>
    <w:rsid w:val="00F1476B"/>
    <w:rsid w:val="00F162D8"/>
    <w:rsid w:val="00F17BB9"/>
    <w:rsid w:val="00F2019A"/>
    <w:rsid w:val="00F21611"/>
    <w:rsid w:val="00F2239F"/>
    <w:rsid w:val="00F26132"/>
    <w:rsid w:val="00F339D6"/>
    <w:rsid w:val="00F35A2C"/>
    <w:rsid w:val="00F35A69"/>
    <w:rsid w:val="00F404D9"/>
    <w:rsid w:val="00F41490"/>
    <w:rsid w:val="00F52639"/>
    <w:rsid w:val="00F54453"/>
    <w:rsid w:val="00F5549B"/>
    <w:rsid w:val="00F61894"/>
    <w:rsid w:val="00F625B1"/>
    <w:rsid w:val="00F64174"/>
    <w:rsid w:val="00F65EB9"/>
    <w:rsid w:val="00F665AC"/>
    <w:rsid w:val="00F67799"/>
    <w:rsid w:val="00F678ED"/>
    <w:rsid w:val="00F74C7C"/>
    <w:rsid w:val="00F83B04"/>
    <w:rsid w:val="00F8456F"/>
    <w:rsid w:val="00F85B4F"/>
    <w:rsid w:val="00F87C82"/>
    <w:rsid w:val="00F90565"/>
    <w:rsid w:val="00F92561"/>
    <w:rsid w:val="00FA0ED8"/>
    <w:rsid w:val="00FA553E"/>
    <w:rsid w:val="00FB2413"/>
    <w:rsid w:val="00FB36A9"/>
    <w:rsid w:val="00FB3C9D"/>
    <w:rsid w:val="00FC069D"/>
    <w:rsid w:val="00FC389C"/>
    <w:rsid w:val="00FC42F7"/>
    <w:rsid w:val="00FC4428"/>
    <w:rsid w:val="00FD6A4C"/>
    <w:rsid w:val="00FD7A38"/>
    <w:rsid w:val="00FE20DD"/>
    <w:rsid w:val="00FE5BA1"/>
    <w:rsid w:val="00FF00B7"/>
    <w:rsid w:val="00FF14BB"/>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D19307"/>
  <w15:docId w15:val="{328C17BC-22CA-4A9D-8E3C-E7DF344C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A75"/>
    <w:pPr>
      <w:numPr>
        <w:numId w:val="1"/>
      </w:numPr>
      <w:spacing w:before="24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2B6A75"/>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2B6A75"/>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2B6A75"/>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2B6A75"/>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2B6A75"/>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2B6A75"/>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2B6A75"/>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2B6A75"/>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0CEF"/>
    <w:rPr>
      <w:sz w:val="20"/>
      <w:szCs w:val="20"/>
    </w:rPr>
  </w:style>
  <w:style w:type="character" w:customStyle="1" w:styleId="FootnoteTextChar">
    <w:name w:val="Footnote Text Char"/>
    <w:basedOn w:val="DefaultParagraphFont"/>
    <w:link w:val="FootnoteText"/>
    <w:uiPriority w:val="99"/>
    <w:semiHidden/>
    <w:rsid w:val="007E0CEF"/>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7E0CEF"/>
    <w:rPr>
      <w:vertAlign w:val="superscript"/>
    </w:rPr>
  </w:style>
  <w:style w:type="paragraph" w:styleId="Header">
    <w:name w:val="header"/>
    <w:basedOn w:val="Normal"/>
    <w:link w:val="HeaderChar"/>
    <w:unhideWhenUsed/>
    <w:rsid w:val="00944823"/>
    <w:pPr>
      <w:tabs>
        <w:tab w:val="center" w:pos="4680"/>
        <w:tab w:val="right" w:pos="9360"/>
      </w:tabs>
    </w:pPr>
  </w:style>
  <w:style w:type="character" w:customStyle="1" w:styleId="HeaderChar">
    <w:name w:val="Header Char"/>
    <w:basedOn w:val="DefaultParagraphFont"/>
    <w:link w:val="Header"/>
    <w:rsid w:val="00944823"/>
  </w:style>
  <w:style w:type="paragraph" w:styleId="Footer">
    <w:name w:val="footer"/>
    <w:basedOn w:val="Normal"/>
    <w:link w:val="FooterChar"/>
    <w:unhideWhenUsed/>
    <w:rsid w:val="00944823"/>
    <w:pPr>
      <w:tabs>
        <w:tab w:val="center" w:pos="4680"/>
        <w:tab w:val="right" w:pos="9360"/>
      </w:tabs>
    </w:pPr>
  </w:style>
  <w:style w:type="character" w:customStyle="1" w:styleId="FooterChar">
    <w:name w:val="Footer Char"/>
    <w:basedOn w:val="DefaultParagraphFont"/>
    <w:link w:val="Footer"/>
    <w:rsid w:val="00944823"/>
  </w:style>
  <w:style w:type="paragraph" w:styleId="BalloonText">
    <w:name w:val="Balloon Text"/>
    <w:basedOn w:val="Normal"/>
    <w:link w:val="BalloonTextChar"/>
    <w:uiPriority w:val="99"/>
    <w:semiHidden/>
    <w:unhideWhenUsed/>
    <w:rsid w:val="00615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F5"/>
    <w:rPr>
      <w:rFonts w:ascii="Segoe UI" w:hAnsi="Segoe UI" w:cs="Segoe UI"/>
      <w:sz w:val="18"/>
      <w:szCs w:val="18"/>
    </w:rPr>
  </w:style>
  <w:style w:type="character" w:styleId="CommentReference">
    <w:name w:val="annotation reference"/>
    <w:basedOn w:val="DefaultParagraphFont"/>
    <w:uiPriority w:val="99"/>
    <w:semiHidden/>
    <w:unhideWhenUsed/>
    <w:rsid w:val="005B509C"/>
    <w:rPr>
      <w:sz w:val="16"/>
      <w:szCs w:val="16"/>
    </w:rPr>
  </w:style>
  <w:style w:type="paragraph" w:styleId="CommentText">
    <w:name w:val="annotation text"/>
    <w:basedOn w:val="Normal"/>
    <w:link w:val="CommentTextChar"/>
    <w:uiPriority w:val="99"/>
    <w:semiHidden/>
    <w:unhideWhenUsed/>
    <w:rsid w:val="005B509C"/>
    <w:rPr>
      <w:sz w:val="20"/>
      <w:szCs w:val="20"/>
    </w:rPr>
  </w:style>
  <w:style w:type="character" w:customStyle="1" w:styleId="CommentTextChar">
    <w:name w:val="Comment Text Char"/>
    <w:basedOn w:val="DefaultParagraphFont"/>
    <w:link w:val="CommentText"/>
    <w:uiPriority w:val="99"/>
    <w:semiHidden/>
    <w:rsid w:val="005B509C"/>
    <w:rPr>
      <w:sz w:val="20"/>
      <w:szCs w:val="20"/>
    </w:rPr>
  </w:style>
  <w:style w:type="paragraph" w:styleId="CommentSubject">
    <w:name w:val="annotation subject"/>
    <w:basedOn w:val="CommentText"/>
    <w:next w:val="CommentText"/>
    <w:link w:val="CommentSubjectChar"/>
    <w:uiPriority w:val="99"/>
    <w:semiHidden/>
    <w:unhideWhenUsed/>
    <w:rsid w:val="005B509C"/>
    <w:rPr>
      <w:b/>
      <w:bCs/>
    </w:rPr>
  </w:style>
  <w:style w:type="character" w:customStyle="1" w:styleId="CommentSubjectChar">
    <w:name w:val="Comment Subject Char"/>
    <w:basedOn w:val="CommentTextChar"/>
    <w:link w:val="CommentSubject"/>
    <w:uiPriority w:val="99"/>
    <w:semiHidden/>
    <w:rsid w:val="005B509C"/>
    <w:rPr>
      <w:b/>
      <w:bCs/>
      <w:sz w:val="20"/>
      <w:szCs w:val="20"/>
    </w:rPr>
  </w:style>
  <w:style w:type="character" w:customStyle="1" w:styleId="Heading1Char">
    <w:name w:val="Heading 1 Char"/>
    <w:basedOn w:val="DefaultParagraphFont"/>
    <w:link w:val="Heading1"/>
    <w:uiPriority w:val="9"/>
    <w:rsid w:val="002B6A75"/>
    <w:rPr>
      <w:rFonts w:eastAsiaTheme="majorEastAsia" w:cs="Arial"/>
      <w:b/>
      <w:caps/>
      <w:szCs w:val="32"/>
      <w:u w:val="single"/>
    </w:rPr>
  </w:style>
  <w:style w:type="character" w:customStyle="1" w:styleId="Heading2Char">
    <w:name w:val="Heading 2 Char"/>
    <w:basedOn w:val="DefaultParagraphFont"/>
    <w:link w:val="Heading2"/>
    <w:uiPriority w:val="9"/>
    <w:semiHidden/>
    <w:rsid w:val="002B6A75"/>
    <w:rPr>
      <w:rFonts w:eastAsiaTheme="majorEastAsia" w:cs="Arial"/>
      <w:b/>
      <w:szCs w:val="26"/>
    </w:rPr>
  </w:style>
  <w:style w:type="character" w:customStyle="1" w:styleId="Heading3Char">
    <w:name w:val="Heading 3 Char"/>
    <w:basedOn w:val="DefaultParagraphFont"/>
    <w:link w:val="Heading3"/>
    <w:uiPriority w:val="9"/>
    <w:semiHidden/>
    <w:rsid w:val="002B6A75"/>
    <w:rPr>
      <w:rFonts w:eastAsiaTheme="majorEastAsia" w:cs="Arial"/>
      <w:b/>
    </w:rPr>
  </w:style>
  <w:style w:type="character" w:customStyle="1" w:styleId="Heading4Char">
    <w:name w:val="Heading 4 Char"/>
    <w:basedOn w:val="DefaultParagraphFont"/>
    <w:link w:val="Heading4"/>
    <w:uiPriority w:val="9"/>
    <w:semiHidden/>
    <w:rsid w:val="002B6A75"/>
    <w:rPr>
      <w:rFonts w:eastAsiaTheme="majorEastAsia" w:cs="Arial"/>
      <w:b/>
      <w:i/>
      <w:iCs/>
    </w:rPr>
  </w:style>
  <w:style w:type="character" w:customStyle="1" w:styleId="Heading5Char">
    <w:name w:val="Heading 5 Char"/>
    <w:basedOn w:val="DefaultParagraphFont"/>
    <w:link w:val="Heading5"/>
    <w:uiPriority w:val="9"/>
    <w:semiHidden/>
    <w:rsid w:val="002B6A75"/>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2B6A75"/>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2B6A75"/>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2B6A75"/>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2B6A75"/>
    <w:rPr>
      <w:rFonts w:eastAsiaTheme="majorEastAsia" w:cs="Arial"/>
      <w:iCs/>
      <w:color w:val="404040" w:themeColor="text1" w:themeTint="BF"/>
      <w:szCs w:val="21"/>
    </w:rPr>
  </w:style>
  <w:style w:type="character" w:styleId="Hyperlink">
    <w:name w:val="Hyperlink"/>
    <w:basedOn w:val="DefaultParagraphFont"/>
    <w:uiPriority w:val="99"/>
    <w:unhideWhenUsed/>
    <w:rsid w:val="002C6EEA"/>
    <w:rPr>
      <w:color w:val="0000FF" w:themeColor="hyperlink"/>
      <w:u w:val="single"/>
    </w:rPr>
  </w:style>
  <w:style w:type="paragraph" w:styleId="BodyText">
    <w:name w:val="Body Text"/>
    <w:basedOn w:val="Normal"/>
    <w:link w:val="BodyTextChar"/>
    <w:rsid w:val="002C6EEA"/>
    <w:pPr>
      <w:jc w:val="both"/>
    </w:pPr>
    <w:rPr>
      <w:rFonts w:eastAsia="Times New Roman" w:cs="Arial"/>
    </w:rPr>
  </w:style>
  <w:style w:type="character" w:customStyle="1" w:styleId="BodyTextChar">
    <w:name w:val="Body Text Char"/>
    <w:basedOn w:val="DefaultParagraphFont"/>
    <w:link w:val="BodyText"/>
    <w:rsid w:val="002C6EEA"/>
    <w:rPr>
      <w:rFonts w:eastAsia="Times New Roman" w:cs="Arial"/>
    </w:rPr>
  </w:style>
  <w:style w:type="paragraph" w:styleId="TOCHeading">
    <w:name w:val="TOC Heading"/>
    <w:basedOn w:val="Normal"/>
    <w:next w:val="TOC1"/>
    <w:uiPriority w:val="39"/>
    <w:unhideWhenUsed/>
    <w:qFormat/>
    <w:rsid w:val="000E09AA"/>
    <w:pPr>
      <w:keepNext/>
      <w:keepLines/>
      <w:spacing w:after="240"/>
      <w:jc w:val="center"/>
    </w:pPr>
    <w:rPr>
      <w:rFonts w:cs="Arial"/>
      <w:b/>
      <w:color w:val="000000"/>
    </w:rPr>
  </w:style>
  <w:style w:type="paragraph" w:styleId="TOC1">
    <w:name w:val="toc 1"/>
    <w:basedOn w:val="Normal"/>
    <w:next w:val="Normal"/>
    <w:autoRedefine/>
    <w:uiPriority w:val="39"/>
    <w:unhideWhenUsed/>
    <w:rsid w:val="006C1063"/>
    <w:pPr>
      <w:tabs>
        <w:tab w:val="left" w:pos="720"/>
        <w:tab w:val="right" w:leader="dot" w:pos="9360"/>
      </w:tabs>
      <w:spacing w:after="100"/>
    </w:pPr>
  </w:style>
  <w:style w:type="paragraph" w:styleId="TOC2">
    <w:name w:val="toc 2"/>
    <w:basedOn w:val="Normal"/>
    <w:next w:val="Normal"/>
    <w:autoRedefine/>
    <w:uiPriority w:val="39"/>
    <w:unhideWhenUsed/>
    <w:rsid w:val="00FC069D"/>
    <w:pPr>
      <w:tabs>
        <w:tab w:val="left" w:pos="720"/>
      </w:tabs>
      <w:spacing w:after="100"/>
      <w:ind w:left="1440" w:right="720" w:hanging="720"/>
    </w:pPr>
  </w:style>
  <w:style w:type="paragraph" w:styleId="TOC3">
    <w:name w:val="toc 3"/>
    <w:basedOn w:val="Normal"/>
    <w:next w:val="Normal"/>
    <w:autoRedefine/>
    <w:uiPriority w:val="39"/>
    <w:semiHidden/>
    <w:unhideWhenUsed/>
    <w:rsid w:val="000E09AA"/>
    <w:pPr>
      <w:spacing w:after="100"/>
      <w:ind w:left="480"/>
    </w:pPr>
  </w:style>
  <w:style w:type="paragraph" w:styleId="TOC4">
    <w:name w:val="toc 4"/>
    <w:basedOn w:val="Normal"/>
    <w:next w:val="Normal"/>
    <w:autoRedefine/>
    <w:uiPriority w:val="39"/>
    <w:semiHidden/>
    <w:unhideWhenUsed/>
    <w:rsid w:val="000E09AA"/>
    <w:pPr>
      <w:spacing w:after="100"/>
      <w:ind w:left="720"/>
    </w:pPr>
  </w:style>
  <w:style w:type="paragraph" w:styleId="TOC5">
    <w:name w:val="toc 5"/>
    <w:basedOn w:val="Normal"/>
    <w:next w:val="Normal"/>
    <w:autoRedefine/>
    <w:uiPriority w:val="39"/>
    <w:semiHidden/>
    <w:unhideWhenUsed/>
    <w:rsid w:val="000E09AA"/>
    <w:pPr>
      <w:spacing w:after="100"/>
      <w:ind w:left="960"/>
    </w:pPr>
  </w:style>
  <w:style w:type="paragraph" w:styleId="TOC6">
    <w:name w:val="toc 6"/>
    <w:basedOn w:val="Normal"/>
    <w:next w:val="Normal"/>
    <w:autoRedefine/>
    <w:uiPriority w:val="39"/>
    <w:semiHidden/>
    <w:unhideWhenUsed/>
    <w:rsid w:val="000E09AA"/>
    <w:pPr>
      <w:spacing w:after="100"/>
      <w:ind w:left="1200"/>
    </w:pPr>
  </w:style>
  <w:style w:type="paragraph" w:styleId="TOC7">
    <w:name w:val="toc 7"/>
    <w:basedOn w:val="Normal"/>
    <w:next w:val="Normal"/>
    <w:autoRedefine/>
    <w:uiPriority w:val="39"/>
    <w:semiHidden/>
    <w:unhideWhenUsed/>
    <w:rsid w:val="000E09AA"/>
    <w:pPr>
      <w:spacing w:after="100"/>
      <w:ind w:left="1440"/>
    </w:pPr>
  </w:style>
  <w:style w:type="paragraph" w:styleId="TOC8">
    <w:name w:val="toc 8"/>
    <w:basedOn w:val="Normal"/>
    <w:next w:val="Normal"/>
    <w:autoRedefine/>
    <w:uiPriority w:val="39"/>
    <w:semiHidden/>
    <w:unhideWhenUsed/>
    <w:rsid w:val="000E09AA"/>
    <w:pPr>
      <w:spacing w:after="100"/>
      <w:ind w:left="1680"/>
    </w:pPr>
  </w:style>
  <w:style w:type="paragraph" w:styleId="TOC9">
    <w:name w:val="toc 9"/>
    <w:basedOn w:val="Normal"/>
    <w:next w:val="Normal"/>
    <w:autoRedefine/>
    <w:uiPriority w:val="39"/>
    <w:semiHidden/>
    <w:unhideWhenUsed/>
    <w:rsid w:val="000E09AA"/>
    <w:pPr>
      <w:spacing w:after="100"/>
      <w:ind w:left="1920"/>
    </w:pPr>
  </w:style>
  <w:style w:type="paragraph" w:customStyle="1" w:styleId="TOCPage">
    <w:name w:val="TOC Page"/>
    <w:basedOn w:val="Normal"/>
    <w:next w:val="Normal"/>
    <w:link w:val="TOCPageChar"/>
    <w:rsid w:val="000E09AA"/>
    <w:pPr>
      <w:autoSpaceDE w:val="0"/>
      <w:autoSpaceDN w:val="0"/>
      <w:adjustRightInd w:val="0"/>
      <w:spacing w:after="240"/>
      <w:jc w:val="right"/>
    </w:pPr>
    <w:rPr>
      <w:rFonts w:cs="Arial"/>
      <w:b/>
      <w:smallCaps/>
      <w:szCs w:val="32"/>
    </w:rPr>
  </w:style>
  <w:style w:type="character" w:customStyle="1" w:styleId="TOCPageChar">
    <w:name w:val="TOC Page Char"/>
    <w:basedOn w:val="DefaultParagraphFont"/>
    <w:link w:val="TOCPage"/>
    <w:rsid w:val="000E09AA"/>
    <w:rPr>
      <w:rFonts w:cs="Arial"/>
      <w:b/>
      <w:smallCap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8440">
      <w:bodyDiv w:val="1"/>
      <w:marLeft w:val="0"/>
      <w:marRight w:val="0"/>
      <w:marTop w:val="0"/>
      <w:marBottom w:val="0"/>
      <w:divBdr>
        <w:top w:val="none" w:sz="0" w:space="0" w:color="auto"/>
        <w:left w:val="none" w:sz="0" w:space="0" w:color="auto"/>
        <w:bottom w:val="none" w:sz="0" w:space="0" w:color="auto"/>
        <w:right w:val="none" w:sz="0" w:space="0" w:color="auto"/>
      </w:divBdr>
      <w:divsChild>
        <w:div w:id="1009716927">
          <w:marLeft w:val="0"/>
          <w:marRight w:val="0"/>
          <w:marTop w:val="0"/>
          <w:marBottom w:val="0"/>
          <w:divBdr>
            <w:top w:val="none" w:sz="0" w:space="0" w:color="auto"/>
            <w:left w:val="none" w:sz="0" w:space="0" w:color="auto"/>
            <w:bottom w:val="none" w:sz="0" w:space="0" w:color="auto"/>
            <w:right w:val="none" w:sz="0" w:space="0" w:color="auto"/>
          </w:divBdr>
        </w:div>
      </w:divsChild>
    </w:div>
    <w:div w:id="1666082971">
      <w:bodyDiv w:val="1"/>
      <w:marLeft w:val="0"/>
      <w:marRight w:val="0"/>
      <w:marTop w:val="0"/>
      <w:marBottom w:val="0"/>
      <w:divBdr>
        <w:top w:val="none" w:sz="0" w:space="0" w:color="auto"/>
        <w:left w:val="none" w:sz="0" w:space="0" w:color="auto"/>
        <w:bottom w:val="none" w:sz="0" w:space="0" w:color="auto"/>
        <w:right w:val="none" w:sz="0" w:space="0" w:color="auto"/>
      </w:divBdr>
    </w:div>
    <w:div w:id="1687709345">
      <w:bodyDiv w:val="1"/>
      <w:marLeft w:val="0"/>
      <w:marRight w:val="0"/>
      <w:marTop w:val="0"/>
      <w:marBottom w:val="0"/>
      <w:divBdr>
        <w:top w:val="none" w:sz="0" w:space="0" w:color="auto"/>
        <w:left w:val="none" w:sz="0" w:space="0" w:color="auto"/>
        <w:bottom w:val="none" w:sz="0" w:space="0" w:color="auto"/>
        <w:right w:val="none" w:sz="0" w:space="0" w:color="auto"/>
      </w:divBdr>
      <w:divsChild>
        <w:div w:id="61414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jeffrey.mayes@monitoringanalytics.com" TargetMode="External"/><Relationship Id="rId39" Type="http://schemas.openxmlformats.org/officeDocument/2006/relationships/hyperlink" Target="mailto:cmooney@ohiopartners.org" TargetMode="External"/><Relationship Id="rId21" Type="http://schemas.openxmlformats.org/officeDocument/2006/relationships/footer" Target="footer7.xml"/><Relationship Id="rId34" Type="http://schemas.openxmlformats.org/officeDocument/2006/relationships/hyperlink" Target="mailto:glpetrucci@vorys.com" TargetMode="External"/><Relationship Id="rId42" Type="http://schemas.openxmlformats.org/officeDocument/2006/relationships/hyperlink" Target="mailto:gpoulos@enernoc.com" TargetMode="External"/><Relationship Id="rId47" Type="http://schemas.openxmlformats.org/officeDocument/2006/relationships/hyperlink" Target="mailto:Tony.mendoza@sierraclub.org" TargetMode="External"/><Relationship Id="rId50" Type="http://schemas.openxmlformats.org/officeDocument/2006/relationships/hyperlink" Target="mailto:talexander@calfee.com" TargetMode="External"/><Relationship Id="rId55" Type="http://schemas.openxmlformats.org/officeDocument/2006/relationships/hyperlink" Target="mailto:ejacobs@ablelaw.org" TargetMode="External"/><Relationship Id="rId63" Type="http://schemas.openxmlformats.org/officeDocument/2006/relationships/footer" Target="footer12.xm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Kevin.Moore@occ.ohio.gov"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mailto:mjsettineri@vorys.com" TargetMode="External"/><Relationship Id="rId37" Type="http://schemas.openxmlformats.org/officeDocument/2006/relationships/hyperlink" Target="mailto:mdortch@kravitzllc.com" TargetMode="External"/><Relationship Id="rId40" Type="http://schemas.openxmlformats.org/officeDocument/2006/relationships/hyperlink" Target="mailto:tdougherty@theOEC.org" TargetMode="External"/><Relationship Id="rId45" Type="http://schemas.openxmlformats.org/officeDocument/2006/relationships/hyperlink" Target="mailto:dborchers@bricker.com" TargetMode="External"/><Relationship Id="rId53" Type="http://schemas.openxmlformats.org/officeDocument/2006/relationships/hyperlink" Target="mailto:todonnell@dickinsonwright.com" TargetMode="Externa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mailto:William.Michael@occ.ohio.gov" TargetMode="External"/><Relationship Id="rId36" Type="http://schemas.openxmlformats.org/officeDocument/2006/relationships/hyperlink" Target="mailto:joliker@igsenergy.com" TargetMode="External"/><Relationship Id="rId49" Type="http://schemas.openxmlformats.org/officeDocument/2006/relationships/hyperlink" Target="mailto:jlang@calfee.com" TargetMode="External"/><Relationship Id="rId57" Type="http://schemas.openxmlformats.org/officeDocument/2006/relationships/hyperlink" Target="mailto:mcrawcord@djflawfirm.com" TargetMode="External"/><Relationship Id="rId61"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Ghiloni@carpenterlipps.com" TargetMode="External"/><Relationship Id="rId44" Type="http://schemas.openxmlformats.org/officeDocument/2006/relationships/hyperlink" Target="mailto:mwarnock@bricker.com" TargetMode="External"/><Relationship Id="rId52" Type="http://schemas.openxmlformats.org/officeDocument/2006/relationships/hyperlink" Target="mailto:dwilliamson@spilmanlaw.com" TargetMode="External"/><Relationship Id="rId60" Type="http://schemas.openxmlformats.org/officeDocument/2006/relationships/header" Target="header11.xml"/><Relationship Id="rId65" Type="http://schemas.openxmlformats.org/officeDocument/2006/relationships/footer" Target="footer1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evelyn.robinson@pjm.com" TargetMode="External"/><Relationship Id="rId30" Type="http://schemas.openxmlformats.org/officeDocument/2006/relationships/hyperlink" Target="mailto:Bojko@carpenterlipps.com" TargetMode="External"/><Relationship Id="rId35" Type="http://schemas.openxmlformats.org/officeDocument/2006/relationships/hyperlink" Target="mailto:ibatikov@vorys.com" TargetMode="External"/><Relationship Id="rId43" Type="http://schemas.openxmlformats.org/officeDocument/2006/relationships/hyperlink" Target="mailto:rick.sites@ohiohospitals.org" TargetMode="External"/><Relationship Id="rId48" Type="http://schemas.openxmlformats.org/officeDocument/2006/relationships/hyperlink" Target="mailto:slesser@calfee.com" TargetMode="External"/><Relationship Id="rId56" Type="http://schemas.openxmlformats.org/officeDocument/2006/relationships/hyperlink" Target="mailto:jdoll@djflawfirm.com" TargetMode="External"/><Relationship Id="rId64" Type="http://schemas.openxmlformats.org/officeDocument/2006/relationships/header" Target="header13.xml"/><Relationship Id="rId69" Type="http://schemas.openxmlformats.org/officeDocument/2006/relationships/footer" Target="footer15.xml"/><Relationship Id="rId8" Type="http://schemas.openxmlformats.org/officeDocument/2006/relationships/header" Target="header1.xml"/><Relationship Id="rId51" Type="http://schemas.openxmlformats.org/officeDocument/2006/relationships/hyperlink" Target="mailto:lhawrot@spilmanlaw.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mailto:smhoward@vorys.co" TargetMode="External"/><Relationship Id="rId38" Type="http://schemas.openxmlformats.org/officeDocument/2006/relationships/hyperlink" Target="mailto:rparsons@kravitzllc.com" TargetMode="External"/><Relationship Id="rId46" Type="http://schemas.openxmlformats.org/officeDocument/2006/relationships/hyperlink" Target="mailto:rsahli@columbus.rr.com" TargetMode="External"/><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header" Target="header7.xml"/><Relationship Id="rId41" Type="http://schemas.openxmlformats.org/officeDocument/2006/relationships/hyperlink" Target="mailto:Sechler@carpenterlipps.com" TargetMode="External"/><Relationship Id="rId54" Type="http://schemas.openxmlformats.org/officeDocument/2006/relationships/hyperlink" Target="mailto:rseiler@dickinsonwright.com" TargetMode="External"/><Relationship Id="rId62" Type="http://schemas.openxmlformats.org/officeDocument/2006/relationships/header" Target="header12.xml"/><Relationship Id="rId70"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6EB2-9D0C-44FA-BED2-131F2A5E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7192</Words>
  <Characters>39167</Characters>
  <Application>Microsoft Office Word</Application>
  <DocSecurity>0</DocSecurity>
  <PresentationFormat>14|.DOCX</PresentationFormat>
  <Lines>980</Lines>
  <Paragraphs>418</Paragraphs>
  <ScaleCrop>false</ScaleCrop>
  <HeadingPairs>
    <vt:vector size="2" baseType="variant">
      <vt:variant>
        <vt:lpstr>Title</vt:lpstr>
      </vt:variant>
      <vt:variant>
        <vt:i4>1</vt:i4>
      </vt:variant>
    </vt:vector>
  </HeadingPairs>
  <TitlesOfParts>
    <vt:vector size="1" baseType="lpstr">
      <vt:lpstr>DPL ESP III; motion to file supplemental brief and supplemental brief (C50306-4).DOCX</vt:lpstr>
    </vt:vector>
  </TitlesOfParts>
  <Company/>
  <LinksUpToDate>false</LinksUpToDate>
  <CharactersWithSpaces>46182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DPL ESP III; motion to file supplemental brief and supplemental brief (C50376).DOCX</dc:title>
  <dc:subject>C50376: /font=8</dc:subject>
  <dc:creator>Frank Darr</dc:creator>
  <cp:keywords/>
  <dc:description/>
  <cp:lastModifiedBy>Karen Bowman</cp:lastModifiedBy>
  <cp:revision>4</cp:revision>
  <cp:lastPrinted>2016-06-28T19:23:00Z</cp:lastPrinted>
  <dcterms:created xsi:type="dcterms:W3CDTF">2016-06-28T19:25:00Z</dcterms:created>
  <dcterms:modified xsi:type="dcterms:W3CDTF">2016-06-28T19:25:00Z</dcterms:modified>
</cp:coreProperties>
</file>