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3A" w:rsidRPr="00EB38FE" w:rsidRDefault="0066783A" w:rsidP="0066783A">
      <w:pPr>
        <w:jc w:val="center"/>
        <w:rPr>
          <w:b/>
          <w:szCs w:val="26"/>
        </w:rPr>
      </w:pPr>
      <w:r w:rsidRPr="00EB38FE">
        <w:rPr>
          <w:b/>
          <w:szCs w:val="26"/>
        </w:rPr>
        <w:t>UNITED STATES OF AMERICA</w:t>
      </w:r>
    </w:p>
    <w:p w:rsidR="0066783A" w:rsidRPr="00EB38FE" w:rsidRDefault="0066783A" w:rsidP="0066783A">
      <w:pPr>
        <w:jc w:val="center"/>
        <w:rPr>
          <w:b/>
          <w:szCs w:val="26"/>
        </w:rPr>
      </w:pPr>
      <w:r w:rsidRPr="00EB38FE">
        <w:rPr>
          <w:b/>
          <w:szCs w:val="26"/>
        </w:rPr>
        <w:t>FEDERAL ENERGY REGULATORY COMMISSION</w:t>
      </w:r>
    </w:p>
    <w:p w:rsidR="0066783A" w:rsidRPr="00691551" w:rsidRDefault="0066783A" w:rsidP="0066783A">
      <w:pPr>
        <w:jc w:val="center"/>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289"/>
        <w:gridCol w:w="4508"/>
      </w:tblGrid>
      <w:tr w:rsidR="0066783A" w:rsidTr="0088203F">
        <w:tc>
          <w:tcPr>
            <w:tcW w:w="4788" w:type="dxa"/>
          </w:tcPr>
          <w:p w:rsidR="0066783A" w:rsidRDefault="0066783A" w:rsidP="0088203F">
            <w:pPr>
              <w:pStyle w:val="Default"/>
              <w:rPr>
                <w:bCs/>
                <w:sz w:val="26"/>
                <w:szCs w:val="26"/>
              </w:rPr>
            </w:pPr>
            <w:r>
              <w:rPr>
                <w:bCs/>
                <w:sz w:val="26"/>
                <w:szCs w:val="26"/>
              </w:rPr>
              <w:t>Demand Response Coalition</w:t>
            </w:r>
          </w:p>
          <w:p w:rsidR="0066783A" w:rsidRDefault="0066783A" w:rsidP="0088203F">
            <w:pPr>
              <w:rPr>
                <w:szCs w:val="26"/>
              </w:rPr>
            </w:pPr>
          </w:p>
          <w:p w:rsidR="0066783A" w:rsidRDefault="0066783A" w:rsidP="0088203F">
            <w:pPr>
              <w:tabs>
                <w:tab w:val="left" w:pos="1440"/>
              </w:tabs>
              <w:rPr>
                <w:szCs w:val="26"/>
              </w:rPr>
            </w:pPr>
            <w:r>
              <w:rPr>
                <w:szCs w:val="26"/>
              </w:rPr>
              <w:tab/>
              <w:t>v.</w:t>
            </w:r>
          </w:p>
          <w:p w:rsidR="0066783A" w:rsidRDefault="0066783A" w:rsidP="0088203F">
            <w:pPr>
              <w:tabs>
                <w:tab w:val="left" w:pos="1440"/>
              </w:tabs>
              <w:rPr>
                <w:szCs w:val="26"/>
              </w:rPr>
            </w:pPr>
          </w:p>
          <w:p w:rsidR="0066783A" w:rsidRDefault="0066783A" w:rsidP="0088203F">
            <w:pPr>
              <w:tabs>
                <w:tab w:val="left" w:pos="1440"/>
              </w:tabs>
              <w:rPr>
                <w:szCs w:val="26"/>
              </w:rPr>
            </w:pPr>
            <w:r>
              <w:rPr>
                <w:bCs/>
                <w:szCs w:val="26"/>
              </w:rPr>
              <w:t xml:space="preserve">PJM Interconnection, L.L.C. </w:t>
            </w:r>
          </w:p>
        </w:tc>
        <w:tc>
          <w:tcPr>
            <w:tcW w:w="270" w:type="dxa"/>
          </w:tcPr>
          <w:p w:rsidR="0066783A" w:rsidRDefault="0066783A" w:rsidP="0088203F">
            <w:pPr>
              <w:rPr>
                <w:szCs w:val="26"/>
              </w:rPr>
            </w:pPr>
            <w:r>
              <w:rPr>
                <w:szCs w:val="26"/>
              </w:rPr>
              <w:t>:</w:t>
            </w:r>
          </w:p>
          <w:p w:rsidR="0066783A" w:rsidRDefault="0066783A" w:rsidP="0088203F">
            <w:pPr>
              <w:rPr>
                <w:szCs w:val="26"/>
              </w:rPr>
            </w:pPr>
            <w:r>
              <w:rPr>
                <w:szCs w:val="26"/>
              </w:rPr>
              <w:t>:</w:t>
            </w:r>
          </w:p>
          <w:p w:rsidR="0066783A" w:rsidRDefault="0066783A" w:rsidP="0088203F">
            <w:pPr>
              <w:rPr>
                <w:szCs w:val="26"/>
              </w:rPr>
            </w:pPr>
            <w:r>
              <w:rPr>
                <w:szCs w:val="26"/>
              </w:rPr>
              <w:t>:</w:t>
            </w:r>
          </w:p>
          <w:p w:rsidR="0066783A" w:rsidRDefault="0066783A" w:rsidP="0088203F">
            <w:pPr>
              <w:rPr>
                <w:szCs w:val="26"/>
              </w:rPr>
            </w:pPr>
            <w:r>
              <w:rPr>
                <w:szCs w:val="26"/>
              </w:rPr>
              <w:t>:</w:t>
            </w:r>
          </w:p>
          <w:p w:rsidR="0066783A" w:rsidRDefault="0066783A" w:rsidP="0088203F">
            <w:pPr>
              <w:rPr>
                <w:szCs w:val="26"/>
              </w:rPr>
            </w:pPr>
            <w:r>
              <w:rPr>
                <w:szCs w:val="26"/>
              </w:rPr>
              <w:t>:</w:t>
            </w:r>
          </w:p>
        </w:tc>
        <w:tc>
          <w:tcPr>
            <w:tcW w:w="4518" w:type="dxa"/>
          </w:tcPr>
          <w:p w:rsidR="0066783A" w:rsidRDefault="0066783A" w:rsidP="0088203F">
            <w:pPr>
              <w:rPr>
                <w:szCs w:val="26"/>
              </w:rPr>
            </w:pPr>
          </w:p>
          <w:p w:rsidR="0066783A" w:rsidRDefault="0066783A" w:rsidP="0088203F">
            <w:pPr>
              <w:rPr>
                <w:szCs w:val="26"/>
              </w:rPr>
            </w:pPr>
          </w:p>
          <w:p w:rsidR="0066783A" w:rsidRDefault="0066783A" w:rsidP="0088203F">
            <w:pPr>
              <w:rPr>
                <w:szCs w:val="26"/>
              </w:rPr>
            </w:pPr>
            <w:r>
              <w:rPr>
                <w:szCs w:val="26"/>
              </w:rPr>
              <w:t>Docket No. EL13-57-000</w:t>
            </w:r>
          </w:p>
        </w:tc>
      </w:tr>
    </w:tbl>
    <w:p w:rsidR="0066783A" w:rsidRDefault="0066783A" w:rsidP="0066783A">
      <w:pPr>
        <w:rPr>
          <w:szCs w:val="26"/>
        </w:rPr>
      </w:pPr>
    </w:p>
    <w:p w:rsidR="0066783A" w:rsidRDefault="0066783A" w:rsidP="0066783A">
      <w:pPr>
        <w:rPr>
          <w:szCs w:val="26"/>
        </w:rPr>
      </w:pPr>
    </w:p>
    <w:p w:rsidR="0066783A" w:rsidRDefault="0066783A" w:rsidP="0066783A">
      <w:pPr>
        <w:rPr>
          <w:szCs w:val="26"/>
        </w:rPr>
      </w:pPr>
    </w:p>
    <w:p w:rsidR="0066783A" w:rsidRDefault="0066783A" w:rsidP="0066783A">
      <w:pPr>
        <w:rPr>
          <w:szCs w:val="26"/>
        </w:rPr>
      </w:pPr>
    </w:p>
    <w:p w:rsidR="0066783A" w:rsidRDefault="0066783A" w:rsidP="0066783A">
      <w:pPr>
        <w:rPr>
          <w:szCs w:val="26"/>
        </w:rPr>
      </w:pPr>
    </w:p>
    <w:p w:rsidR="00B02456" w:rsidRDefault="00B02456" w:rsidP="0066783A">
      <w:pPr>
        <w:rPr>
          <w:szCs w:val="26"/>
        </w:rPr>
      </w:pPr>
    </w:p>
    <w:p w:rsidR="00B02456" w:rsidRPr="00691551" w:rsidRDefault="00B02456" w:rsidP="0066783A">
      <w:pPr>
        <w:rPr>
          <w:szCs w:val="26"/>
        </w:rPr>
      </w:pPr>
    </w:p>
    <w:p w:rsidR="0066783A" w:rsidRPr="00691551" w:rsidRDefault="0066783A" w:rsidP="0066783A">
      <w:pPr>
        <w:pStyle w:val="Default"/>
        <w:rPr>
          <w:sz w:val="26"/>
          <w:szCs w:val="26"/>
        </w:rPr>
      </w:pPr>
    </w:p>
    <w:p w:rsidR="0066783A" w:rsidRPr="00F23CC9" w:rsidRDefault="00AC0E06" w:rsidP="0066783A">
      <w:pPr>
        <w:widowControl/>
        <w:tabs>
          <w:tab w:val="left" w:pos="720"/>
          <w:tab w:val="left" w:pos="1440"/>
          <w:tab w:val="left" w:pos="2880"/>
          <w:tab w:val="left" w:pos="4320"/>
          <w:tab w:val="left" w:pos="5040"/>
          <w:tab w:val="left" w:pos="5760"/>
          <w:tab w:val="left" w:pos="6480"/>
          <w:tab w:val="left" w:pos="7200"/>
        </w:tabs>
        <w:autoSpaceDE/>
        <w:autoSpaceDN/>
        <w:adjustRightInd/>
        <w:spacing w:after="200"/>
        <w:jc w:val="center"/>
        <w:rPr>
          <w:szCs w:val="26"/>
          <w:lang w:bidi="en-US"/>
        </w:rPr>
      </w:pPr>
      <w:r>
        <w:rPr>
          <w:szCs w:val="26"/>
          <w:lang w:bidi="en-US"/>
        </w:rPr>
        <w:pict>
          <v:rect id="_x0000_i1025" style="width:468pt;height:1.5pt" o:hralign="center" o:hrstd="t" o:hrnoshade="t" o:hr="t" fillcolor="black" stroked="f"/>
        </w:pict>
      </w:r>
    </w:p>
    <w:p w:rsidR="0066783A" w:rsidRPr="00F23CC9" w:rsidRDefault="0066783A" w:rsidP="0066783A">
      <w:pPr>
        <w:widowControl/>
        <w:tabs>
          <w:tab w:val="left" w:pos="720"/>
          <w:tab w:val="left" w:pos="1440"/>
          <w:tab w:val="left" w:pos="2880"/>
          <w:tab w:val="left" w:pos="4320"/>
          <w:tab w:val="left" w:pos="5040"/>
          <w:tab w:val="left" w:pos="5760"/>
          <w:tab w:val="left" w:pos="6480"/>
          <w:tab w:val="left" w:pos="7200"/>
        </w:tabs>
        <w:autoSpaceDE/>
        <w:autoSpaceDN/>
        <w:adjustRightInd/>
        <w:jc w:val="center"/>
        <w:rPr>
          <w:b/>
          <w:sz w:val="36"/>
          <w:szCs w:val="36"/>
          <w:lang w:bidi="en-US"/>
        </w:rPr>
      </w:pPr>
      <w:r w:rsidRPr="00F23CC9">
        <w:rPr>
          <w:b/>
          <w:sz w:val="36"/>
          <w:szCs w:val="36"/>
          <w:lang w:bidi="en-US"/>
        </w:rPr>
        <w:t>COMMENTS</w:t>
      </w:r>
    </w:p>
    <w:p w:rsidR="0066783A" w:rsidRPr="00F23CC9" w:rsidRDefault="0066783A" w:rsidP="0066783A">
      <w:pPr>
        <w:widowControl/>
        <w:tabs>
          <w:tab w:val="left" w:pos="720"/>
          <w:tab w:val="left" w:pos="1440"/>
          <w:tab w:val="left" w:pos="2880"/>
          <w:tab w:val="left" w:pos="4320"/>
          <w:tab w:val="left" w:pos="5040"/>
          <w:tab w:val="left" w:pos="5760"/>
          <w:tab w:val="left" w:pos="6480"/>
          <w:tab w:val="left" w:pos="7200"/>
        </w:tabs>
        <w:autoSpaceDE/>
        <w:autoSpaceDN/>
        <w:adjustRightInd/>
        <w:jc w:val="center"/>
        <w:rPr>
          <w:b/>
          <w:szCs w:val="26"/>
          <w:lang w:bidi="en-US"/>
        </w:rPr>
      </w:pPr>
      <w:r w:rsidRPr="00F23CC9">
        <w:rPr>
          <w:b/>
          <w:szCs w:val="26"/>
          <w:lang w:bidi="en-US"/>
        </w:rPr>
        <w:t xml:space="preserve">SUBMITTED ON BEHALF OF </w:t>
      </w:r>
    </w:p>
    <w:p w:rsidR="0066783A" w:rsidRPr="00F23CC9" w:rsidRDefault="0066783A" w:rsidP="0066783A">
      <w:pPr>
        <w:widowControl/>
        <w:tabs>
          <w:tab w:val="left" w:pos="720"/>
          <w:tab w:val="left" w:pos="1440"/>
          <w:tab w:val="left" w:pos="2880"/>
          <w:tab w:val="left" w:pos="4320"/>
          <w:tab w:val="left" w:pos="5040"/>
          <w:tab w:val="left" w:pos="5760"/>
          <w:tab w:val="left" w:pos="6480"/>
          <w:tab w:val="left" w:pos="7200"/>
        </w:tabs>
        <w:autoSpaceDE/>
        <w:autoSpaceDN/>
        <w:adjustRightInd/>
        <w:jc w:val="center"/>
        <w:rPr>
          <w:szCs w:val="26"/>
          <w:lang w:bidi="en-US"/>
        </w:rPr>
      </w:pPr>
      <w:r w:rsidRPr="00F23CC9">
        <w:rPr>
          <w:b/>
          <w:szCs w:val="26"/>
          <w:lang w:bidi="en-US"/>
        </w:rPr>
        <w:t>THE PUBLIC UTILITIES COMMISSION OF OHIO</w:t>
      </w:r>
    </w:p>
    <w:p w:rsidR="0066783A" w:rsidRPr="00F23CC9" w:rsidRDefault="00AC0E06" w:rsidP="0066783A">
      <w:pPr>
        <w:widowControl/>
        <w:tabs>
          <w:tab w:val="left" w:pos="720"/>
          <w:tab w:val="left" w:pos="1440"/>
          <w:tab w:val="left" w:pos="2880"/>
          <w:tab w:val="left" w:pos="4320"/>
          <w:tab w:val="left" w:pos="5040"/>
          <w:tab w:val="left" w:pos="5760"/>
          <w:tab w:val="left" w:pos="6480"/>
          <w:tab w:val="left" w:pos="7200"/>
        </w:tabs>
        <w:autoSpaceDE/>
        <w:autoSpaceDN/>
        <w:adjustRightInd/>
        <w:spacing w:after="200" w:line="480" w:lineRule="auto"/>
        <w:jc w:val="center"/>
        <w:rPr>
          <w:szCs w:val="26"/>
          <w:lang w:bidi="en-US"/>
        </w:rPr>
      </w:pPr>
      <w:r>
        <w:rPr>
          <w:szCs w:val="26"/>
          <w:lang w:bidi="en-US"/>
        </w:rPr>
        <w:pict>
          <v:rect id="_x0000_i1026" style="width:468pt;height:1.5pt" o:hralign="center" o:hrstd="t" o:hrnoshade="t" o:hr="t" fillcolor="black" stroked="f"/>
        </w:pict>
      </w:r>
    </w:p>
    <w:p w:rsidR="0066783A" w:rsidRDefault="0066783A" w:rsidP="007437F1">
      <w:pPr>
        <w:jc w:val="center"/>
        <w:rPr>
          <w:szCs w:val="26"/>
        </w:rPr>
        <w:sectPr w:rsidR="0066783A" w:rsidSect="00544F35">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p w:rsidR="00211375" w:rsidRDefault="00AC3A4E">
      <w:pPr>
        <w:pStyle w:val="TOC1"/>
        <w:tabs>
          <w:tab w:val="right" w:leader="dot" w:pos="9350"/>
        </w:tabs>
        <w:rPr>
          <w:rFonts w:asciiTheme="minorHAnsi" w:eastAsiaTheme="minorEastAsia" w:hAnsiTheme="minorHAnsi" w:cstheme="minorBidi"/>
          <w:noProof/>
          <w:sz w:val="22"/>
          <w:szCs w:val="22"/>
        </w:rPr>
      </w:pPr>
      <w:r>
        <w:rPr>
          <w:szCs w:val="26"/>
        </w:rPr>
        <w:lastRenderedPageBreak/>
        <w:fldChar w:fldCharType="begin"/>
      </w:r>
      <w:r>
        <w:rPr>
          <w:szCs w:val="26"/>
        </w:rPr>
        <w:instrText xml:space="preserve"> TOC \o "1-3" \u </w:instrText>
      </w:r>
      <w:r>
        <w:rPr>
          <w:szCs w:val="26"/>
        </w:rPr>
        <w:fldChar w:fldCharType="separate"/>
      </w:r>
      <w:r w:rsidR="00211375" w:rsidRPr="00632B71">
        <w:rPr>
          <w:rFonts w:eastAsiaTheme="minorHAnsi"/>
          <w:noProof/>
        </w:rPr>
        <w:t>INTRODUCTION</w:t>
      </w:r>
      <w:r w:rsidR="00211375">
        <w:rPr>
          <w:noProof/>
        </w:rPr>
        <w:tab/>
      </w:r>
      <w:r w:rsidR="00211375">
        <w:rPr>
          <w:noProof/>
        </w:rPr>
        <w:fldChar w:fldCharType="begin"/>
      </w:r>
      <w:r w:rsidR="00211375">
        <w:rPr>
          <w:noProof/>
        </w:rPr>
        <w:instrText xml:space="preserve"> PAGEREF _Toc353368121 \h </w:instrText>
      </w:r>
      <w:r w:rsidR="00211375">
        <w:rPr>
          <w:noProof/>
        </w:rPr>
      </w:r>
      <w:r w:rsidR="00211375">
        <w:rPr>
          <w:noProof/>
        </w:rPr>
        <w:fldChar w:fldCharType="separate"/>
      </w:r>
      <w:r w:rsidR="00AC0E06">
        <w:rPr>
          <w:noProof/>
        </w:rPr>
        <w:t>1</w:t>
      </w:r>
      <w:r w:rsidR="00211375">
        <w:rPr>
          <w:noProof/>
        </w:rPr>
        <w:fldChar w:fldCharType="end"/>
      </w:r>
    </w:p>
    <w:p w:rsidR="00211375" w:rsidRDefault="00211375">
      <w:pPr>
        <w:pStyle w:val="TOC1"/>
        <w:tabs>
          <w:tab w:val="right" w:leader="dot" w:pos="9350"/>
        </w:tabs>
        <w:rPr>
          <w:rFonts w:asciiTheme="minorHAnsi" w:eastAsiaTheme="minorEastAsia" w:hAnsiTheme="minorHAnsi" w:cstheme="minorBidi"/>
          <w:noProof/>
          <w:sz w:val="22"/>
          <w:szCs w:val="22"/>
        </w:rPr>
      </w:pPr>
      <w:r w:rsidRPr="00632B71">
        <w:rPr>
          <w:rFonts w:eastAsiaTheme="minorHAnsi"/>
          <w:noProof/>
        </w:rPr>
        <w:t>SUMMARY OF LEGAL ARGUMENTS</w:t>
      </w:r>
      <w:r>
        <w:rPr>
          <w:noProof/>
        </w:rPr>
        <w:tab/>
      </w:r>
      <w:r>
        <w:rPr>
          <w:noProof/>
        </w:rPr>
        <w:fldChar w:fldCharType="begin"/>
      </w:r>
      <w:r>
        <w:rPr>
          <w:noProof/>
        </w:rPr>
        <w:instrText xml:space="preserve"> PAGEREF _Toc353368122 \h </w:instrText>
      </w:r>
      <w:r>
        <w:rPr>
          <w:noProof/>
        </w:rPr>
      </w:r>
      <w:r>
        <w:rPr>
          <w:noProof/>
        </w:rPr>
        <w:fldChar w:fldCharType="separate"/>
      </w:r>
      <w:r w:rsidR="00AC0E06">
        <w:rPr>
          <w:noProof/>
        </w:rPr>
        <w:t>2</w:t>
      </w:r>
      <w:r>
        <w:rPr>
          <w:noProof/>
        </w:rPr>
        <w:fldChar w:fldCharType="end"/>
      </w:r>
    </w:p>
    <w:p w:rsidR="00211375" w:rsidRDefault="00211375">
      <w:pPr>
        <w:pStyle w:val="TOC1"/>
        <w:tabs>
          <w:tab w:val="right" w:leader="dot" w:pos="9350"/>
        </w:tabs>
        <w:rPr>
          <w:rFonts w:asciiTheme="minorHAnsi" w:eastAsiaTheme="minorEastAsia" w:hAnsiTheme="minorHAnsi" w:cstheme="minorBidi"/>
          <w:noProof/>
          <w:sz w:val="22"/>
          <w:szCs w:val="22"/>
        </w:rPr>
      </w:pPr>
      <w:r>
        <w:rPr>
          <w:noProof/>
        </w:rPr>
        <w:t>DISCUSSION</w:t>
      </w:r>
      <w:r>
        <w:rPr>
          <w:noProof/>
        </w:rPr>
        <w:tab/>
      </w:r>
      <w:r>
        <w:rPr>
          <w:noProof/>
        </w:rPr>
        <w:fldChar w:fldCharType="begin"/>
      </w:r>
      <w:r>
        <w:rPr>
          <w:noProof/>
        </w:rPr>
        <w:instrText xml:space="preserve"> PAGEREF _Toc353368123 \h </w:instrText>
      </w:r>
      <w:r>
        <w:rPr>
          <w:noProof/>
        </w:rPr>
      </w:r>
      <w:r>
        <w:rPr>
          <w:noProof/>
        </w:rPr>
        <w:fldChar w:fldCharType="separate"/>
      </w:r>
      <w:r w:rsidR="00AC0E06">
        <w:rPr>
          <w:noProof/>
        </w:rPr>
        <w:t>3</w:t>
      </w:r>
      <w:r>
        <w:rPr>
          <w:noProof/>
        </w:rPr>
        <w:fldChar w:fldCharType="end"/>
      </w:r>
    </w:p>
    <w:p w:rsidR="00211375" w:rsidRDefault="00211375">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PJM’s Authority</w:t>
      </w:r>
      <w:r>
        <w:rPr>
          <w:noProof/>
        </w:rPr>
        <w:tab/>
      </w:r>
      <w:r>
        <w:rPr>
          <w:noProof/>
        </w:rPr>
        <w:fldChar w:fldCharType="begin"/>
      </w:r>
      <w:r>
        <w:rPr>
          <w:noProof/>
        </w:rPr>
        <w:instrText xml:space="preserve"> PAGEREF _Toc353368124 \h </w:instrText>
      </w:r>
      <w:r>
        <w:rPr>
          <w:noProof/>
        </w:rPr>
      </w:r>
      <w:r>
        <w:rPr>
          <w:noProof/>
        </w:rPr>
        <w:fldChar w:fldCharType="separate"/>
      </w:r>
      <w:r w:rsidR="00AC0E06">
        <w:rPr>
          <w:noProof/>
        </w:rPr>
        <w:t>3</w:t>
      </w:r>
      <w:r>
        <w:rPr>
          <w:noProof/>
        </w:rPr>
        <w:fldChar w:fldCharType="end"/>
      </w:r>
    </w:p>
    <w:p w:rsidR="00211375" w:rsidRDefault="00211375">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PJM’s Reporting and Verification Requirements</w:t>
      </w:r>
      <w:r>
        <w:rPr>
          <w:noProof/>
        </w:rPr>
        <w:tab/>
      </w:r>
      <w:r>
        <w:rPr>
          <w:noProof/>
        </w:rPr>
        <w:fldChar w:fldCharType="begin"/>
      </w:r>
      <w:r>
        <w:rPr>
          <w:noProof/>
        </w:rPr>
        <w:instrText xml:space="preserve"> PAGEREF _Toc353368125 \h </w:instrText>
      </w:r>
      <w:r>
        <w:rPr>
          <w:noProof/>
        </w:rPr>
      </w:r>
      <w:r>
        <w:rPr>
          <w:noProof/>
        </w:rPr>
        <w:fldChar w:fldCharType="separate"/>
      </w:r>
      <w:r w:rsidR="00AC0E06">
        <w:rPr>
          <w:noProof/>
        </w:rPr>
        <w:t>5</w:t>
      </w:r>
      <w:r>
        <w:rPr>
          <w:noProof/>
        </w:rPr>
        <w:fldChar w:fldCharType="end"/>
      </w:r>
    </w:p>
    <w:p w:rsidR="00211375" w:rsidRDefault="00211375">
      <w:pPr>
        <w:pStyle w:val="TOC2"/>
        <w:tabs>
          <w:tab w:val="left" w:pos="14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Ohio Renews its Call for a Comprehensive Demand Response Rulemaking Investigation for the PJM Region</w:t>
      </w:r>
      <w:bookmarkStart w:id="0" w:name="_GoBack"/>
      <w:bookmarkEnd w:id="0"/>
      <w:r>
        <w:rPr>
          <w:noProof/>
        </w:rPr>
        <w:tab/>
      </w:r>
      <w:r>
        <w:rPr>
          <w:noProof/>
        </w:rPr>
        <w:fldChar w:fldCharType="begin"/>
      </w:r>
      <w:r>
        <w:rPr>
          <w:noProof/>
        </w:rPr>
        <w:instrText xml:space="preserve"> PAGEREF _Toc353368126 \h </w:instrText>
      </w:r>
      <w:r>
        <w:rPr>
          <w:noProof/>
        </w:rPr>
      </w:r>
      <w:r>
        <w:rPr>
          <w:noProof/>
        </w:rPr>
        <w:fldChar w:fldCharType="separate"/>
      </w:r>
      <w:r w:rsidR="00AC0E06">
        <w:rPr>
          <w:noProof/>
        </w:rPr>
        <w:t>10</w:t>
      </w:r>
      <w:r>
        <w:rPr>
          <w:noProof/>
        </w:rPr>
        <w:fldChar w:fldCharType="end"/>
      </w:r>
    </w:p>
    <w:p w:rsidR="00211375" w:rsidRDefault="00211375">
      <w:pPr>
        <w:pStyle w:val="TOC1"/>
        <w:tabs>
          <w:tab w:val="right" w:leader="dot" w:pos="9350"/>
        </w:tabs>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_Toc353368127 \h </w:instrText>
      </w:r>
      <w:r>
        <w:rPr>
          <w:noProof/>
        </w:rPr>
      </w:r>
      <w:r>
        <w:rPr>
          <w:noProof/>
        </w:rPr>
        <w:fldChar w:fldCharType="separate"/>
      </w:r>
      <w:r w:rsidR="00AC0E06">
        <w:rPr>
          <w:noProof/>
        </w:rPr>
        <w:t>12</w:t>
      </w:r>
      <w:r>
        <w:rPr>
          <w:noProof/>
        </w:rPr>
        <w:fldChar w:fldCharType="end"/>
      </w:r>
    </w:p>
    <w:p w:rsidR="00211375" w:rsidRDefault="00211375">
      <w:pPr>
        <w:pStyle w:val="TOC1"/>
        <w:tabs>
          <w:tab w:val="right" w:leader="dot" w:pos="9350"/>
        </w:tabs>
        <w:rPr>
          <w:rFonts w:asciiTheme="minorHAnsi" w:eastAsiaTheme="minorEastAsia" w:hAnsiTheme="minorHAnsi" w:cstheme="minorBidi"/>
          <w:noProof/>
          <w:sz w:val="22"/>
          <w:szCs w:val="22"/>
        </w:rPr>
      </w:pPr>
      <w:r>
        <w:rPr>
          <w:noProof/>
        </w:rPr>
        <w:t>CERTIFICATE OF SERVICE</w:t>
      </w:r>
      <w:r>
        <w:rPr>
          <w:noProof/>
        </w:rPr>
        <w:tab/>
      </w:r>
      <w:r>
        <w:rPr>
          <w:noProof/>
        </w:rPr>
        <w:fldChar w:fldCharType="begin"/>
      </w:r>
      <w:r>
        <w:rPr>
          <w:noProof/>
        </w:rPr>
        <w:instrText xml:space="preserve"> PAGEREF _Toc353368128 \h </w:instrText>
      </w:r>
      <w:r>
        <w:rPr>
          <w:noProof/>
        </w:rPr>
      </w:r>
      <w:r>
        <w:rPr>
          <w:noProof/>
        </w:rPr>
        <w:fldChar w:fldCharType="separate"/>
      </w:r>
      <w:r w:rsidR="00AC0E06">
        <w:rPr>
          <w:noProof/>
        </w:rPr>
        <w:t>13</w:t>
      </w:r>
      <w:r>
        <w:rPr>
          <w:noProof/>
        </w:rPr>
        <w:fldChar w:fldCharType="end"/>
      </w:r>
    </w:p>
    <w:p w:rsidR="0066783A" w:rsidRDefault="00AC3A4E" w:rsidP="007437F1">
      <w:pPr>
        <w:jc w:val="center"/>
        <w:rPr>
          <w:szCs w:val="26"/>
        </w:rPr>
        <w:sectPr w:rsidR="0066783A" w:rsidSect="0066783A">
          <w:headerReference w:type="first" r:id="rId12"/>
          <w:footerReference w:type="first" r:id="rId13"/>
          <w:pgSz w:w="12240" w:h="15840"/>
          <w:pgMar w:top="1440" w:right="1440" w:bottom="1440" w:left="1440" w:header="720" w:footer="720" w:gutter="0"/>
          <w:pgNumType w:fmt="lowerRoman" w:start="1"/>
          <w:cols w:space="720"/>
          <w:titlePg/>
          <w:docGrid w:linePitch="360"/>
        </w:sectPr>
      </w:pPr>
      <w:r>
        <w:rPr>
          <w:szCs w:val="26"/>
        </w:rPr>
        <w:fldChar w:fldCharType="end"/>
      </w:r>
    </w:p>
    <w:p w:rsidR="007437F1" w:rsidRPr="00EB38FE" w:rsidRDefault="007437F1" w:rsidP="007437F1">
      <w:pPr>
        <w:jc w:val="center"/>
        <w:rPr>
          <w:b/>
          <w:szCs w:val="26"/>
        </w:rPr>
      </w:pPr>
      <w:r w:rsidRPr="00EB38FE">
        <w:rPr>
          <w:b/>
          <w:szCs w:val="26"/>
        </w:rPr>
        <w:lastRenderedPageBreak/>
        <w:t>UNITED STATES OF AMERICA</w:t>
      </w:r>
    </w:p>
    <w:p w:rsidR="007437F1" w:rsidRPr="00EB38FE" w:rsidRDefault="007437F1" w:rsidP="007437F1">
      <w:pPr>
        <w:jc w:val="center"/>
        <w:rPr>
          <w:b/>
          <w:szCs w:val="26"/>
        </w:rPr>
      </w:pPr>
      <w:r w:rsidRPr="00EB38FE">
        <w:rPr>
          <w:b/>
          <w:szCs w:val="26"/>
        </w:rPr>
        <w:t>FEDERAL ENERGY REGULATORY COMMISSION</w:t>
      </w:r>
    </w:p>
    <w:p w:rsidR="007437F1" w:rsidRPr="00EB38FE" w:rsidRDefault="007437F1" w:rsidP="007437F1">
      <w:pPr>
        <w:jc w:val="center"/>
        <w:rPr>
          <w:b/>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289"/>
        <w:gridCol w:w="4508"/>
      </w:tblGrid>
      <w:tr w:rsidR="00544F35" w:rsidTr="00544F35">
        <w:tc>
          <w:tcPr>
            <w:tcW w:w="4788" w:type="dxa"/>
          </w:tcPr>
          <w:p w:rsidR="00544F35" w:rsidRDefault="00544F35" w:rsidP="00544F35">
            <w:pPr>
              <w:pStyle w:val="Default"/>
              <w:rPr>
                <w:bCs/>
                <w:sz w:val="26"/>
                <w:szCs w:val="26"/>
              </w:rPr>
            </w:pPr>
            <w:r>
              <w:rPr>
                <w:bCs/>
                <w:sz w:val="26"/>
                <w:szCs w:val="26"/>
              </w:rPr>
              <w:t>Demand Response Coalition</w:t>
            </w:r>
          </w:p>
          <w:p w:rsidR="00544F35" w:rsidRDefault="00544F35" w:rsidP="007437F1">
            <w:pPr>
              <w:rPr>
                <w:szCs w:val="26"/>
              </w:rPr>
            </w:pPr>
          </w:p>
          <w:p w:rsidR="00544F35" w:rsidRDefault="00544F35" w:rsidP="00544F35">
            <w:pPr>
              <w:tabs>
                <w:tab w:val="left" w:pos="1440"/>
              </w:tabs>
              <w:rPr>
                <w:szCs w:val="26"/>
              </w:rPr>
            </w:pPr>
            <w:r>
              <w:rPr>
                <w:szCs w:val="26"/>
              </w:rPr>
              <w:tab/>
              <w:t>v.</w:t>
            </w:r>
          </w:p>
          <w:p w:rsidR="00544F35" w:rsidRDefault="00544F35" w:rsidP="00544F35">
            <w:pPr>
              <w:tabs>
                <w:tab w:val="left" w:pos="1440"/>
              </w:tabs>
              <w:rPr>
                <w:szCs w:val="26"/>
              </w:rPr>
            </w:pPr>
          </w:p>
          <w:p w:rsidR="00544F35" w:rsidRDefault="00544F35" w:rsidP="00544F35">
            <w:pPr>
              <w:tabs>
                <w:tab w:val="left" w:pos="1440"/>
              </w:tabs>
              <w:rPr>
                <w:szCs w:val="26"/>
              </w:rPr>
            </w:pPr>
            <w:r>
              <w:rPr>
                <w:bCs/>
                <w:szCs w:val="26"/>
              </w:rPr>
              <w:t xml:space="preserve">PJM Interconnection, L.L.C. </w:t>
            </w:r>
          </w:p>
        </w:tc>
        <w:tc>
          <w:tcPr>
            <w:tcW w:w="270" w:type="dxa"/>
          </w:tcPr>
          <w:p w:rsidR="00544F35" w:rsidRDefault="00544F35" w:rsidP="007437F1">
            <w:pPr>
              <w:rPr>
                <w:szCs w:val="26"/>
              </w:rPr>
            </w:pPr>
            <w:r>
              <w:rPr>
                <w:szCs w:val="26"/>
              </w:rPr>
              <w:t>:</w:t>
            </w:r>
          </w:p>
          <w:p w:rsidR="00544F35" w:rsidRDefault="00544F35" w:rsidP="007437F1">
            <w:pPr>
              <w:rPr>
                <w:szCs w:val="26"/>
              </w:rPr>
            </w:pPr>
            <w:r>
              <w:rPr>
                <w:szCs w:val="26"/>
              </w:rPr>
              <w:t>:</w:t>
            </w:r>
          </w:p>
          <w:p w:rsidR="00544F35" w:rsidRDefault="00544F35" w:rsidP="007437F1">
            <w:pPr>
              <w:rPr>
                <w:szCs w:val="26"/>
              </w:rPr>
            </w:pPr>
            <w:r>
              <w:rPr>
                <w:szCs w:val="26"/>
              </w:rPr>
              <w:t>:</w:t>
            </w:r>
          </w:p>
          <w:p w:rsidR="00544F35" w:rsidRDefault="00544F35" w:rsidP="007437F1">
            <w:pPr>
              <w:rPr>
                <w:szCs w:val="26"/>
              </w:rPr>
            </w:pPr>
            <w:r>
              <w:rPr>
                <w:szCs w:val="26"/>
              </w:rPr>
              <w:t>:</w:t>
            </w:r>
          </w:p>
          <w:p w:rsidR="00544F35" w:rsidRDefault="00544F35" w:rsidP="007437F1">
            <w:pPr>
              <w:rPr>
                <w:szCs w:val="26"/>
              </w:rPr>
            </w:pPr>
            <w:r>
              <w:rPr>
                <w:szCs w:val="26"/>
              </w:rPr>
              <w:t>:</w:t>
            </w:r>
          </w:p>
        </w:tc>
        <w:tc>
          <w:tcPr>
            <w:tcW w:w="4518" w:type="dxa"/>
          </w:tcPr>
          <w:p w:rsidR="00544F35" w:rsidRDefault="00544F35" w:rsidP="007437F1">
            <w:pPr>
              <w:rPr>
                <w:szCs w:val="26"/>
              </w:rPr>
            </w:pPr>
          </w:p>
          <w:p w:rsidR="00544F35" w:rsidRDefault="00544F35" w:rsidP="007437F1">
            <w:pPr>
              <w:rPr>
                <w:szCs w:val="26"/>
              </w:rPr>
            </w:pPr>
          </w:p>
          <w:p w:rsidR="00544F35" w:rsidRDefault="00544F35" w:rsidP="007437F1">
            <w:pPr>
              <w:rPr>
                <w:szCs w:val="26"/>
              </w:rPr>
            </w:pPr>
            <w:r>
              <w:rPr>
                <w:szCs w:val="26"/>
              </w:rPr>
              <w:t>Docket No. EL13-57-000</w:t>
            </w:r>
          </w:p>
        </w:tc>
      </w:tr>
    </w:tbl>
    <w:p w:rsidR="007437F1" w:rsidRPr="00691551" w:rsidRDefault="007437F1" w:rsidP="007437F1">
      <w:pPr>
        <w:rPr>
          <w:szCs w:val="26"/>
        </w:rPr>
      </w:pPr>
    </w:p>
    <w:p w:rsidR="007437F1" w:rsidRPr="00691551" w:rsidRDefault="007437F1" w:rsidP="007437F1">
      <w:pPr>
        <w:pStyle w:val="Default"/>
        <w:rPr>
          <w:sz w:val="26"/>
          <w:szCs w:val="26"/>
        </w:rPr>
      </w:pPr>
    </w:p>
    <w:p w:rsidR="00F23CC9" w:rsidRPr="00F23CC9" w:rsidRDefault="00AC0E06" w:rsidP="00F23CC9">
      <w:pPr>
        <w:widowControl/>
        <w:tabs>
          <w:tab w:val="left" w:pos="720"/>
          <w:tab w:val="left" w:pos="1440"/>
          <w:tab w:val="left" w:pos="2880"/>
          <w:tab w:val="left" w:pos="4320"/>
          <w:tab w:val="left" w:pos="5040"/>
          <w:tab w:val="left" w:pos="5760"/>
          <w:tab w:val="left" w:pos="6480"/>
          <w:tab w:val="left" w:pos="7200"/>
        </w:tabs>
        <w:autoSpaceDE/>
        <w:autoSpaceDN/>
        <w:adjustRightInd/>
        <w:spacing w:after="200"/>
        <w:jc w:val="center"/>
        <w:rPr>
          <w:szCs w:val="26"/>
          <w:lang w:bidi="en-US"/>
        </w:rPr>
      </w:pPr>
      <w:r>
        <w:rPr>
          <w:szCs w:val="26"/>
          <w:lang w:bidi="en-US"/>
        </w:rPr>
        <w:pict>
          <v:rect id="_x0000_i1027" style="width:468pt;height:1.5pt" o:hralign="center" o:hrstd="t" o:hrnoshade="t" o:hr="t" fillcolor="black" stroked="f"/>
        </w:pict>
      </w:r>
    </w:p>
    <w:p w:rsidR="00F23CC9" w:rsidRPr="00F23CC9" w:rsidRDefault="00F23CC9" w:rsidP="00F23CC9">
      <w:pPr>
        <w:widowControl/>
        <w:tabs>
          <w:tab w:val="left" w:pos="720"/>
          <w:tab w:val="left" w:pos="1440"/>
          <w:tab w:val="left" w:pos="2880"/>
          <w:tab w:val="left" w:pos="4320"/>
          <w:tab w:val="left" w:pos="5040"/>
          <w:tab w:val="left" w:pos="5760"/>
          <w:tab w:val="left" w:pos="6480"/>
          <w:tab w:val="left" w:pos="7200"/>
        </w:tabs>
        <w:autoSpaceDE/>
        <w:autoSpaceDN/>
        <w:adjustRightInd/>
        <w:jc w:val="center"/>
        <w:rPr>
          <w:b/>
          <w:sz w:val="36"/>
          <w:szCs w:val="36"/>
          <w:lang w:bidi="en-US"/>
        </w:rPr>
      </w:pPr>
      <w:r w:rsidRPr="00F23CC9">
        <w:rPr>
          <w:b/>
          <w:sz w:val="36"/>
          <w:szCs w:val="36"/>
          <w:lang w:bidi="en-US"/>
        </w:rPr>
        <w:t>COMMENTS</w:t>
      </w:r>
    </w:p>
    <w:p w:rsidR="00F23CC9" w:rsidRPr="00F23CC9" w:rsidRDefault="00F23CC9" w:rsidP="00F23CC9">
      <w:pPr>
        <w:widowControl/>
        <w:tabs>
          <w:tab w:val="left" w:pos="720"/>
          <w:tab w:val="left" w:pos="1440"/>
          <w:tab w:val="left" w:pos="2880"/>
          <w:tab w:val="left" w:pos="4320"/>
          <w:tab w:val="left" w:pos="5040"/>
          <w:tab w:val="left" w:pos="5760"/>
          <w:tab w:val="left" w:pos="6480"/>
          <w:tab w:val="left" w:pos="7200"/>
        </w:tabs>
        <w:autoSpaceDE/>
        <w:autoSpaceDN/>
        <w:adjustRightInd/>
        <w:jc w:val="center"/>
        <w:rPr>
          <w:b/>
          <w:szCs w:val="26"/>
          <w:lang w:bidi="en-US"/>
        </w:rPr>
      </w:pPr>
      <w:r w:rsidRPr="00F23CC9">
        <w:rPr>
          <w:b/>
          <w:szCs w:val="26"/>
          <w:lang w:bidi="en-US"/>
        </w:rPr>
        <w:t xml:space="preserve">SUBMITTED ON BEHALF OF </w:t>
      </w:r>
    </w:p>
    <w:p w:rsidR="00F23CC9" w:rsidRPr="00F23CC9" w:rsidRDefault="00F23CC9" w:rsidP="00F23CC9">
      <w:pPr>
        <w:widowControl/>
        <w:tabs>
          <w:tab w:val="left" w:pos="720"/>
          <w:tab w:val="left" w:pos="1440"/>
          <w:tab w:val="left" w:pos="2880"/>
          <w:tab w:val="left" w:pos="4320"/>
          <w:tab w:val="left" w:pos="5040"/>
          <w:tab w:val="left" w:pos="5760"/>
          <w:tab w:val="left" w:pos="6480"/>
          <w:tab w:val="left" w:pos="7200"/>
        </w:tabs>
        <w:autoSpaceDE/>
        <w:autoSpaceDN/>
        <w:adjustRightInd/>
        <w:jc w:val="center"/>
        <w:rPr>
          <w:szCs w:val="26"/>
          <w:lang w:bidi="en-US"/>
        </w:rPr>
      </w:pPr>
      <w:r w:rsidRPr="00F23CC9">
        <w:rPr>
          <w:b/>
          <w:szCs w:val="26"/>
          <w:lang w:bidi="en-US"/>
        </w:rPr>
        <w:t>THE PUBLIC UTILITIES COMMISSION OF OHIO</w:t>
      </w:r>
    </w:p>
    <w:p w:rsidR="00F23CC9" w:rsidRPr="00F23CC9" w:rsidRDefault="00AC0E06" w:rsidP="00F23CC9">
      <w:pPr>
        <w:widowControl/>
        <w:tabs>
          <w:tab w:val="left" w:pos="720"/>
          <w:tab w:val="left" w:pos="1440"/>
          <w:tab w:val="left" w:pos="2880"/>
          <w:tab w:val="left" w:pos="4320"/>
          <w:tab w:val="left" w:pos="5040"/>
          <w:tab w:val="left" w:pos="5760"/>
          <w:tab w:val="left" w:pos="6480"/>
          <w:tab w:val="left" w:pos="7200"/>
        </w:tabs>
        <w:autoSpaceDE/>
        <w:autoSpaceDN/>
        <w:adjustRightInd/>
        <w:spacing w:after="200" w:line="480" w:lineRule="auto"/>
        <w:jc w:val="center"/>
        <w:rPr>
          <w:szCs w:val="26"/>
          <w:lang w:bidi="en-US"/>
        </w:rPr>
      </w:pPr>
      <w:r>
        <w:rPr>
          <w:szCs w:val="26"/>
          <w:lang w:bidi="en-US"/>
        </w:rPr>
        <w:pict>
          <v:rect id="_x0000_i1028" style="width:468pt;height:1.5pt" o:hralign="center" o:hrstd="t" o:hrnoshade="t" o:hr="t" fillcolor="black" stroked="f"/>
        </w:pict>
      </w:r>
    </w:p>
    <w:p w:rsidR="00433858" w:rsidRPr="00433858" w:rsidRDefault="00433858" w:rsidP="00544F35">
      <w:pPr>
        <w:pStyle w:val="Heading1"/>
        <w:rPr>
          <w:rFonts w:eastAsiaTheme="minorHAnsi"/>
        </w:rPr>
      </w:pPr>
      <w:bookmarkStart w:id="1" w:name="_Toc353368121"/>
      <w:r w:rsidRPr="00433858">
        <w:rPr>
          <w:rFonts w:eastAsiaTheme="minorHAnsi"/>
        </w:rPr>
        <w:t>INTRODUCTION</w:t>
      </w:r>
      <w:bookmarkEnd w:id="1"/>
      <w:r w:rsidRPr="00433858">
        <w:rPr>
          <w:rFonts w:eastAsiaTheme="minorHAnsi"/>
        </w:rPr>
        <w:t xml:space="preserve"> </w:t>
      </w:r>
    </w:p>
    <w:p w:rsidR="00433858" w:rsidRDefault="00433858" w:rsidP="00544F35">
      <w:pPr>
        <w:pStyle w:val="Textstyle"/>
      </w:pPr>
      <w:r w:rsidRPr="00544F35">
        <w:tab/>
        <w:t>On April 3, 2013, pursuant to sections 206 and 306 of the Federal Power Act (“FPA”) and Rule 206 of the Rules of Practice and Procedure of the Federal Energy Regulatory Commission (“FERC”)</w:t>
      </w:r>
      <w:r w:rsidR="00186B94" w:rsidRPr="00186B94">
        <w:t xml:space="preserve"> </w:t>
      </w:r>
      <w:r w:rsidR="00186B94" w:rsidRPr="00544F35">
        <w:t>the Demand Response Coalition</w:t>
      </w:r>
      <w:r w:rsidR="00186B94">
        <w:rPr>
          <w:rStyle w:val="FootnoteReference"/>
        </w:rPr>
        <w:footnoteReference w:id="1"/>
      </w:r>
      <w:r w:rsidR="00186B94" w:rsidRPr="00544F35">
        <w:t xml:space="preserve"> (“Coalition”)</w:t>
      </w:r>
      <w:r w:rsidRPr="00544F35">
        <w:t xml:space="preserve"> filed a complaint against PJM Interconnection, L.L.C. (“PJM”), alleging that certain newly adopted provisions of PJM’s Manual 18 (“DR Plan Enhancements”) violate section 205 of the FPA and are therefore unenforceable</w:t>
      </w:r>
      <w:r w:rsidR="00544F35" w:rsidRPr="00544F35">
        <w:t xml:space="preserve">.  </w:t>
      </w:r>
      <w:r w:rsidRPr="00544F35">
        <w:t xml:space="preserve">Specifically, the Demand Response Coalition contends that new provisions are unjust and unreasonable because: </w:t>
      </w:r>
      <w:r w:rsidR="00186B94">
        <w:t xml:space="preserve">(1) </w:t>
      </w:r>
      <w:r w:rsidRPr="00544F35">
        <w:t>they sig</w:t>
      </w:r>
      <w:r w:rsidR="00B02456">
        <w:softHyphen/>
      </w:r>
      <w:r w:rsidRPr="00544F35">
        <w:t xml:space="preserve">nificantly affect jurisdictional rates, </w:t>
      </w:r>
      <w:r w:rsidR="00186B94">
        <w:t xml:space="preserve">terms and conditions of service; (2) </w:t>
      </w:r>
      <w:r w:rsidRPr="00544F35">
        <w:t>they have not been filed in accordance with the Commission’s Part 35 rules</w:t>
      </w:r>
      <w:r w:rsidR="00186B94">
        <w:t xml:space="preserve">, and (3) </w:t>
      </w:r>
      <w:r w:rsidRPr="00544F35">
        <w:t xml:space="preserve">the DR Plan </w:t>
      </w:r>
      <w:r w:rsidRPr="00544F35">
        <w:lastRenderedPageBreak/>
        <w:t>Enhancements unlawfully restrict demand resources’ eligibility to participate in Relia</w:t>
      </w:r>
      <w:r w:rsidR="00B02456">
        <w:softHyphen/>
      </w:r>
      <w:r w:rsidRPr="00544F35">
        <w:t xml:space="preserve">bility Pricing Model (“RPM”) </w:t>
      </w:r>
      <w:r w:rsidR="004D5159" w:rsidRPr="00544F35">
        <w:t>Base Residual A</w:t>
      </w:r>
      <w:r w:rsidRPr="00544F35">
        <w:t>uction</w:t>
      </w:r>
      <w:r w:rsidR="004D5159" w:rsidRPr="00544F35">
        <w:t xml:space="preserve"> (“BRA”)</w:t>
      </w:r>
      <w:r w:rsidRPr="00544F35">
        <w:t>.</w:t>
      </w:r>
    </w:p>
    <w:p w:rsidR="00186B94" w:rsidRPr="00433858" w:rsidRDefault="00186B94" w:rsidP="00186B94">
      <w:pPr>
        <w:pStyle w:val="Heading1"/>
        <w:rPr>
          <w:rFonts w:eastAsiaTheme="minorHAnsi"/>
        </w:rPr>
      </w:pPr>
      <w:bookmarkStart w:id="2" w:name="_Toc353368122"/>
      <w:r>
        <w:rPr>
          <w:rFonts w:eastAsiaTheme="minorHAnsi"/>
        </w:rPr>
        <w:t>SUMMARY OF LEGAL A</w:t>
      </w:r>
      <w:r w:rsidR="00BF3BE4">
        <w:rPr>
          <w:rFonts w:eastAsiaTheme="minorHAnsi"/>
        </w:rPr>
        <w:t>RGU</w:t>
      </w:r>
      <w:r>
        <w:rPr>
          <w:rFonts w:eastAsiaTheme="minorHAnsi"/>
        </w:rPr>
        <w:t>MENTS</w:t>
      </w:r>
      <w:bookmarkEnd w:id="2"/>
      <w:r>
        <w:rPr>
          <w:rFonts w:eastAsiaTheme="minorHAnsi"/>
        </w:rPr>
        <w:t xml:space="preserve"> </w:t>
      </w:r>
    </w:p>
    <w:p w:rsidR="00186B94" w:rsidRPr="00433858" w:rsidRDefault="00544F35" w:rsidP="00186B94">
      <w:pPr>
        <w:pStyle w:val="Textstyle"/>
      </w:pPr>
      <w:r>
        <w:tab/>
      </w:r>
      <w:r w:rsidR="00186B94" w:rsidRPr="00005B3D">
        <w:t>On April 5</w:t>
      </w:r>
      <w:r w:rsidR="00186B94" w:rsidRPr="00433858">
        <w:t>, 2013, the Public Utilities Commission of Ohio (“Ohio Commission</w:t>
      </w:r>
      <w:r w:rsidR="00186B94" w:rsidRPr="00005B3D">
        <w:t>” or “PUCO</w:t>
      </w:r>
      <w:r w:rsidR="00186B94" w:rsidRPr="00433858">
        <w:t>”) filed its motion to intervene in this docket and is consequently a party to this investigation.  Comments in this proceeding are due on or before April 1</w:t>
      </w:r>
      <w:r w:rsidR="00186B94">
        <w:t>5</w:t>
      </w:r>
      <w:r w:rsidR="00186B94" w:rsidRPr="00433858">
        <w:t>, 2013. The Ohio Commission hereby submits its comments responding to the Coalition’s request that FERC issue an order finding that the DR Plan Enhancements</w:t>
      </w:r>
      <w:r w:rsidR="00BF3BE4">
        <w:t xml:space="preserve"> violate</w:t>
      </w:r>
      <w:r w:rsidR="00186B94" w:rsidRPr="00433858">
        <w:t xml:space="preserve"> FPA Section 205 and are unenforceable. </w:t>
      </w:r>
    </w:p>
    <w:p w:rsidR="00433858" w:rsidRPr="00433858" w:rsidRDefault="00433858" w:rsidP="00186B94">
      <w:pPr>
        <w:pStyle w:val="Textstyle"/>
        <w:ind w:firstLine="720"/>
      </w:pPr>
      <w:r w:rsidRPr="00433858">
        <w:t>The Coalition argues that FERC should take decisive action to preclude new busi</w:t>
      </w:r>
      <w:r w:rsidR="00B02456">
        <w:softHyphen/>
      </w:r>
      <w:r w:rsidRPr="00433858">
        <w:t>ness practices adopted by PJM because they curb the growth of the demand response market in PJM</w:t>
      </w:r>
      <w:r w:rsidR="00544F35" w:rsidRPr="00433858">
        <w:t xml:space="preserve">.  </w:t>
      </w:r>
      <w:r w:rsidRPr="00433858">
        <w:t>Further, it contends that the new requirements will significantly restrict the ability of efficient, green demand response resources from participating in its RPM auctions. In addition, the Demand Response Coalition notes that PJM only afforded demand response supplie</w:t>
      </w:r>
      <w:r w:rsidR="00BF3BE4">
        <w:t>r</w:t>
      </w:r>
      <w:r w:rsidRPr="00433858">
        <w:t>s with sixteen business days to comply with the new require</w:t>
      </w:r>
      <w:r w:rsidR="00B02456">
        <w:softHyphen/>
      </w:r>
      <w:r w:rsidRPr="00433858">
        <w:t xml:space="preserve">ments if they wish to participate in the 2016/2017 BRA.  </w:t>
      </w:r>
    </w:p>
    <w:p w:rsidR="00433858" w:rsidRPr="00433858" w:rsidRDefault="00C430D3" w:rsidP="00544F35">
      <w:pPr>
        <w:pStyle w:val="Textstyle"/>
      </w:pPr>
      <w:r>
        <w:tab/>
      </w:r>
      <w:r w:rsidRPr="00005B3D">
        <w:t xml:space="preserve">Among other things, the Coalition’s complaint maintains that PJM has imposed several new requirements that will significantly restrict the ability of demand response resources from participating in </w:t>
      </w:r>
      <w:r w:rsidR="004D5159">
        <w:t xml:space="preserve">the </w:t>
      </w:r>
      <w:r w:rsidRPr="00005B3D">
        <w:t xml:space="preserve">RPM </w:t>
      </w:r>
      <w:r w:rsidR="004D5159">
        <w:t>BRA</w:t>
      </w:r>
      <w:r w:rsidR="00E30B82">
        <w:t xml:space="preserve"> </w:t>
      </w:r>
      <w:r w:rsidRPr="00005B3D">
        <w:t>via effectuation of PJM’s new rules that impose a “DR Sell Offer Plan</w:t>
      </w:r>
      <w:r w:rsidR="00EB38FE">
        <w:t xml:space="preserve">.”  </w:t>
      </w:r>
      <w:r w:rsidRPr="00005B3D">
        <w:t>The sell offer plan must be submitted and approved by PJM prior to the R</w:t>
      </w:r>
      <w:r w:rsidR="00E30B82">
        <w:t>PM BRA</w:t>
      </w:r>
      <w:r w:rsidRPr="00005B3D">
        <w:t xml:space="preserve">.  The Coalition’s complaint </w:t>
      </w:r>
      <w:r w:rsidR="00E30B82">
        <w:t>stat</w:t>
      </w:r>
      <w:r w:rsidR="00EB38FE">
        <w:t>e</w:t>
      </w:r>
      <w:r w:rsidR="00E30B82">
        <w:t xml:space="preserve">s </w:t>
      </w:r>
      <w:r w:rsidRPr="00005B3D">
        <w:t xml:space="preserve">that the DR Sell Offer plan </w:t>
      </w:r>
      <w:r w:rsidRPr="00005B3D">
        <w:lastRenderedPageBreak/>
        <w:t xml:space="preserve">requires submittal of a variety of voluminous and competitively sensitive data about a demand response supplier’s customers, and includes a customer “letter of support” requirement in certain cases, in which the customer must attest to being “likely to execute a contract” obligating them to provide demand response three or more years in the future.  The Coalition </w:t>
      </w:r>
      <w:r w:rsidR="00E30B82">
        <w:t>als</w:t>
      </w:r>
      <w:r w:rsidRPr="00005B3D">
        <w:t>o</w:t>
      </w:r>
      <w:r w:rsidR="00E30B82">
        <w:t xml:space="preserve"> notes </w:t>
      </w:r>
      <w:r w:rsidRPr="00005B3D">
        <w:t xml:space="preserve">that PJM’s Manual 18 </w:t>
      </w:r>
      <w:r w:rsidR="00E30B82">
        <w:t>revisions</w:t>
      </w:r>
      <w:r w:rsidRPr="00005B3D">
        <w:t xml:space="preserve"> require that</w:t>
      </w:r>
      <w:r w:rsidR="00E30B82">
        <w:t>,</w:t>
      </w:r>
      <w:r w:rsidR="00DC1C0C">
        <w:t xml:space="preserve"> </w:t>
      </w:r>
      <w:r w:rsidRPr="00005B3D">
        <w:t xml:space="preserve"> if the customer declines to provide such a letter or provides one to more than one demand response sup</w:t>
      </w:r>
      <w:r w:rsidR="00B02456">
        <w:softHyphen/>
      </w:r>
      <w:r w:rsidRPr="00005B3D">
        <w:t>plier, capacity cannot be counted at all and will be removed by PJM from each demand response supplier</w:t>
      </w:r>
      <w:r w:rsidR="00EB38FE">
        <w:t>’s</w:t>
      </w:r>
      <w:r w:rsidRPr="00005B3D">
        <w:t xml:space="preserve"> plans that include that customer.</w:t>
      </w:r>
      <w:r w:rsidR="00EB38FE">
        <w:t xml:space="preserve"> </w:t>
      </w:r>
      <w:r w:rsidRPr="00005B3D">
        <w:t xml:space="preserve"> The DR Sell Offer Plan also includes an “officer’s certification,” which requires that a</w:t>
      </w:r>
      <w:r w:rsidR="00E30B82">
        <w:t xml:space="preserve"> Curtailment Service Provider</w:t>
      </w:r>
      <w:r w:rsidRPr="00005B3D">
        <w:t xml:space="preserve"> </w:t>
      </w:r>
      <w:r w:rsidR="00E30B82">
        <w:t xml:space="preserve">(“CSP”) company </w:t>
      </w:r>
      <w:r w:rsidRPr="00005B3D">
        <w:t>officer attest to the reasonable expectation to physically</w:t>
      </w:r>
      <w:r w:rsidR="00E30B82">
        <w:t xml:space="preserve"> </w:t>
      </w:r>
      <w:r w:rsidRPr="00005B3D">
        <w:t>deliver all megawatts that clear the RPM Auction through Demand Resource registrations.</w:t>
      </w:r>
      <w:r w:rsidR="00E30B82">
        <w:t xml:space="preserve">  </w:t>
      </w:r>
      <w:r w:rsidRPr="00005B3D">
        <w:t>The DR Coalition’s complaint maintains that each of these DR Plan Enhancements is unreasona</w:t>
      </w:r>
      <w:r w:rsidR="00B02456">
        <w:softHyphen/>
      </w:r>
      <w:r w:rsidRPr="00005B3D">
        <w:t>ble and discriminatory</w:t>
      </w:r>
      <w:r w:rsidR="00433858" w:rsidRPr="00433858">
        <w:t xml:space="preserve"> because </w:t>
      </w:r>
      <w:r w:rsidR="00E30B82">
        <w:t xml:space="preserve">they </w:t>
      </w:r>
      <w:r w:rsidR="00433858" w:rsidRPr="00433858">
        <w:t>impose significantly burdensome obligations that will be difficult to satisfy.</w:t>
      </w:r>
      <w:r w:rsidR="00E30B82">
        <w:t xml:space="preserve">  </w:t>
      </w:r>
      <w:r w:rsidR="00433858" w:rsidRPr="00433858">
        <w:t>For the</w:t>
      </w:r>
      <w:r w:rsidR="00EB38FE">
        <w:t>se</w:t>
      </w:r>
      <w:r w:rsidR="00433858" w:rsidRPr="00433858">
        <w:t xml:space="preserve"> reasons</w:t>
      </w:r>
      <w:r w:rsidR="003D21B2">
        <w:t>,</w:t>
      </w:r>
      <w:r w:rsidR="00433858" w:rsidRPr="00433858">
        <w:t xml:space="preserve"> </w:t>
      </w:r>
      <w:r w:rsidR="00DC1C0C">
        <w:t xml:space="preserve">among others, </w:t>
      </w:r>
      <w:r w:rsidR="00433858" w:rsidRPr="00433858">
        <w:t xml:space="preserve">the Demand Response Coalition maintains that FERC should issue an order finding the DR Plan Enhancements violate FPA section 205 and are unenforceable.  </w:t>
      </w:r>
    </w:p>
    <w:p w:rsidR="007437F1" w:rsidRDefault="003C744B" w:rsidP="00544F35">
      <w:pPr>
        <w:pStyle w:val="Heading1"/>
      </w:pPr>
      <w:bookmarkStart w:id="3" w:name="_Toc353368123"/>
      <w:r>
        <w:t>DISCUSSION</w:t>
      </w:r>
      <w:bookmarkEnd w:id="3"/>
    </w:p>
    <w:p w:rsidR="008D0FED" w:rsidRPr="00A90C3D" w:rsidRDefault="008D0FED" w:rsidP="00544F35">
      <w:pPr>
        <w:pStyle w:val="Heading2"/>
      </w:pPr>
      <w:bookmarkStart w:id="4" w:name="_Toc353368124"/>
      <w:r w:rsidRPr="00A90C3D">
        <w:t>PJM</w:t>
      </w:r>
      <w:r w:rsidR="0015502C">
        <w:t>’s</w:t>
      </w:r>
      <w:r w:rsidRPr="00A90C3D">
        <w:t xml:space="preserve"> </w:t>
      </w:r>
      <w:r w:rsidR="0015502C">
        <w:t>Authority</w:t>
      </w:r>
      <w:bookmarkEnd w:id="4"/>
    </w:p>
    <w:p w:rsidR="00BC456C" w:rsidRPr="0015502C" w:rsidRDefault="00544F35" w:rsidP="00544F35">
      <w:pPr>
        <w:pStyle w:val="Textstyle"/>
      </w:pPr>
      <w:r>
        <w:tab/>
      </w:r>
      <w:r w:rsidR="0015502C" w:rsidRPr="0015502C">
        <w:t>PJM is authorized by its current Open Access Transmission Tariff (</w:t>
      </w:r>
      <w:r w:rsidR="00EB38FE">
        <w:t>“</w:t>
      </w:r>
      <w:proofErr w:type="spellStart"/>
      <w:r w:rsidR="0015502C" w:rsidRPr="0015502C">
        <w:t>OATT</w:t>
      </w:r>
      <w:proofErr w:type="spellEnd"/>
      <w:r w:rsidR="00EB38FE">
        <w:t>”</w:t>
      </w:r>
      <w:r w:rsidR="0015502C" w:rsidRPr="0015502C">
        <w:t>), Oper</w:t>
      </w:r>
      <w:r w:rsidR="00B02456">
        <w:softHyphen/>
      </w:r>
      <w:r w:rsidR="0015502C" w:rsidRPr="0015502C">
        <w:t>ating Agreement (</w:t>
      </w:r>
      <w:r w:rsidR="00EB38FE">
        <w:t>“</w:t>
      </w:r>
      <w:r w:rsidR="0015502C" w:rsidRPr="0015502C">
        <w:t>OA</w:t>
      </w:r>
      <w:r w:rsidR="00EB38FE">
        <w:t>”</w:t>
      </w:r>
      <w:r w:rsidR="0015502C" w:rsidRPr="0015502C">
        <w:t>) and Reliability Assurance Agreement (</w:t>
      </w:r>
      <w:r w:rsidR="00EB38FE">
        <w:t>“</w:t>
      </w:r>
      <w:r w:rsidR="0015502C" w:rsidRPr="0015502C">
        <w:t>RAA</w:t>
      </w:r>
      <w:r w:rsidR="00EB38FE">
        <w:t>”</w:t>
      </w:r>
      <w:r w:rsidR="0015502C" w:rsidRPr="0015502C">
        <w:t xml:space="preserve">) to ensure </w:t>
      </w:r>
      <w:r w:rsidR="0015502C" w:rsidRPr="0015502C">
        <w:lastRenderedPageBreak/>
        <w:t>“the safe and reliable operation of the PJM region.”</w:t>
      </w:r>
      <w:r w:rsidR="0015502C" w:rsidRPr="00544F35">
        <w:rPr>
          <w:rStyle w:val="FootnoteReference"/>
        </w:rPr>
        <w:footnoteReference w:id="2"/>
      </w:r>
      <w:r>
        <w:t xml:space="preserve"> </w:t>
      </w:r>
      <w:r w:rsidR="0015502C" w:rsidRPr="0015502C">
        <w:t xml:space="preserve"> To that end, PJM requires that mar</w:t>
      </w:r>
      <w:r w:rsidR="00B02456">
        <w:softHyphen/>
      </w:r>
      <w:r w:rsidR="0015502C" w:rsidRPr="0015502C">
        <w:t>ket participants agree to provide PJM not only all information specified in the governing tariffs and agreements but also “other information as the Office of Interconnection may reasonably require for the reliable and efficient operation of the PJM region.”</w:t>
      </w:r>
      <w:r w:rsidR="0015502C" w:rsidRPr="00544F35">
        <w:rPr>
          <w:rStyle w:val="FootnoteReference"/>
        </w:rPr>
        <w:footnoteReference w:id="3"/>
      </w:r>
      <w:r w:rsidR="0015502C" w:rsidRPr="00544F35">
        <w:rPr>
          <w:rStyle w:val="FootnoteReference"/>
        </w:rPr>
        <w:t xml:space="preserve"> </w:t>
      </w:r>
      <w:r w:rsidR="0015502C" w:rsidRPr="0015502C">
        <w:t xml:space="preserve"> </w:t>
      </w:r>
      <w:r>
        <w:t xml:space="preserve"> </w:t>
      </w:r>
      <w:r w:rsidR="0015502C" w:rsidRPr="0015502C">
        <w:t>Specifics regarding the required information and processes are found in PJM’s Manual 18 and are the subject of this complaint</w:t>
      </w:r>
      <w:r w:rsidRPr="0015502C">
        <w:t xml:space="preserve">.  </w:t>
      </w:r>
      <w:r w:rsidR="0015502C" w:rsidRPr="0015502C">
        <w:t>As stated by the Complainants, PJM uses its manuals to provide the actual administrative and operating procedures of PJM and are not filed at FERC.</w:t>
      </w:r>
      <w:r w:rsidR="0015502C" w:rsidRPr="00544F35">
        <w:rPr>
          <w:rStyle w:val="FootnoteReference"/>
        </w:rPr>
        <w:footnoteReference w:id="4"/>
      </w:r>
      <w:r w:rsidR="0015502C" w:rsidRPr="00544F35">
        <w:rPr>
          <w:rStyle w:val="FootnoteReference"/>
        </w:rPr>
        <w:t xml:space="preserve"> </w:t>
      </w:r>
      <w:r w:rsidR="0015502C" w:rsidRPr="0015502C">
        <w:t xml:space="preserve">  However, it is the FERC-approved tariffs and operating agreements that vest PJM with authority to operate its Reliability Pricing Model (</w:t>
      </w:r>
      <w:r w:rsidR="00EB38FE">
        <w:t>“</w:t>
      </w:r>
      <w:r w:rsidR="0015502C" w:rsidRPr="0015502C">
        <w:t>RPM</w:t>
      </w:r>
      <w:r w:rsidR="00EB38FE">
        <w:t>”</w:t>
      </w:r>
      <w:r w:rsidR="0015502C" w:rsidRPr="0015502C">
        <w:t>)</w:t>
      </w:r>
      <w:r w:rsidR="00EB38FE">
        <w:t>,</w:t>
      </w:r>
      <w:r w:rsidR="0015502C" w:rsidRPr="0015502C">
        <w:t xml:space="preserve"> specifying how Capacity Market Sellers including Demand Response Providers will participate in the RPM.  For example, Schedule 6 of the RAA provides the detailed criteria for Demand Resources and states that only the resources that qualify under those criteria may by offered in the RPM auctions.</w:t>
      </w:r>
      <w:r w:rsidR="001A5A16">
        <w:rPr>
          <w:rStyle w:val="FootnoteReference"/>
        </w:rPr>
        <w:footnoteReference w:id="5"/>
      </w:r>
      <w:r w:rsidR="001A5A16">
        <w:t xml:space="preserve">  </w:t>
      </w:r>
      <w:r w:rsidR="0015502C" w:rsidRPr="0015502C">
        <w:t xml:space="preserve">Furthermore, </w:t>
      </w:r>
      <w:r w:rsidR="007B221B">
        <w:t>the RAA</w:t>
      </w:r>
      <w:r w:rsidR="0015502C" w:rsidRPr="0015502C">
        <w:t xml:space="preserve"> defines a Demand Resource product as a commitment to provide a real reduction in physical load attached to the PJM system.</w:t>
      </w:r>
      <w:r w:rsidR="007B221B">
        <w:rPr>
          <w:rStyle w:val="FootnoteReference"/>
        </w:rPr>
        <w:footnoteReference w:id="6"/>
      </w:r>
      <w:r w:rsidR="0015502C" w:rsidRPr="0015502C">
        <w:t xml:space="preserve">  Thus, it is reasonable and consistent with current practice for PJM to update its </w:t>
      </w:r>
      <w:r w:rsidR="0015502C" w:rsidRPr="0015502C">
        <w:lastRenderedPageBreak/>
        <w:t>Manual 18 to adopt implementing procedures to prevent conduct that is inconsistent with the explicit requirements of its governing tariffs and agreements</w:t>
      </w:r>
      <w:r w:rsidR="00EB38FE">
        <w:t>.</w:t>
      </w:r>
    </w:p>
    <w:p w:rsidR="00B813D5" w:rsidRPr="00DC1C0C" w:rsidRDefault="00DC1C0C" w:rsidP="00544F35">
      <w:pPr>
        <w:pStyle w:val="Heading2"/>
      </w:pPr>
      <w:bookmarkStart w:id="5" w:name="_Toc353368125"/>
      <w:r w:rsidRPr="00DC1C0C">
        <w:t>PJM’s Reporting and Verification Requirements</w:t>
      </w:r>
      <w:bookmarkEnd w:id="5"/>
    </w:p>
    <w:p w:rsidR="00B813D5" w:rsidRPr="00005B3D" w:rsidRDefault="00DC1C0C" w:rsidP="00544F35">
      <w:pPr>
        <w:pStyle w:val="Textstyle"/>
      </w:pPr>
      <w:r>
        <w:tab/>
      </w:r>
      <w:r w:rsidR="009770C6" w:rsidRPr="00005B3D">
        <w:t xml:space="preserve">The Ohio Commission maintains that </w:t>
      </w:r>
      <w:r w:rsidR="00B813D5" w:rsidRPr="00005B3D">
        <w:t xml:space="preserve">FERC must dismiss as unreasonable the </w:t>
      </w:r>
      <w:r w:rsidR="009770C6" w:rsidRPr="00005B3D">
        <w:t>Coal</w:t>
      </w:r>
      <w:r w:rsidR="00B813D5" w:rsidRPr="00005B3D">
        <w:t>ition’s complaint.  PJM not only possesses the requisite authority to amend its relia</w:t>
      </w:r>
      <w:r w:rsidR="00B02456">
        <w:softHyphen/>
      </w:r>
      <w:r w:rsidR="00B813D5" w:rsidRPr="00005B3D">
        <w:t xml:space="preserve">bility pricing model’s parameters </w:t>
      </w:r>
      <w:r w:rsidR="00EB38FE">
        <w:t>th</w:t>
      </w:r>
      <w:r w:rsidR="003C744B" w:rsidRPr="00005B3D">
        <w:t xml:space="preserve">rough changes to its </w:t>
      </w:r>
      <w:r w:rsidR="003D21B2">
        <w:t>M</w:t>
      </w:r>
      <w:r w:rsidR="003C744B" w:rsidRPr="00005B3D">
        <w:t xml:space="preserve">anual </w:t>
      </w:r>
      <w:r w:rsidR="003D21B2">
        <w:t xml:space="preserve">18, </w:t>
      </w:r>
      <w:r w:rsidR="00B813D5" w:rsidRPr="00005B3D">
        <w:t xml:space="preserve">it has </w:t>
      </w:r>
      <w:r w:rsidR="003D21B2">
        <w:t xml:space="preserve">an </w:t>
      </w:r>
      <w:r w:rsidR="00B813D5" w:rsidRPr="00005B3D">
        <w:t>obligation make such changes to ensure that reliability standards are realized</w:t>
      </w:r>
      <w:r w:rsidR="00B03005" w:rsidRPr="00005B3D">
        <w:t>.  Th</w:t>
      </w:r>
      <w:r w:rsidR="00BF3BE4">
        <w:t>e issue</w:t>
      </w:r>
      <w:r w:rsidR="00B813D5" w:rsidRPr="00005B3D">
        <w:t xml:space="preserve"> </w:t>
      </w:r>
      <w:r w:rsidR="00186B94">
        <w:t>is simple, whether a</w:t>
      </w:r>
      <w:r w:rsidR="00B813D5" w:rsidRPr="00005B3D">
        <w:t xml:space="preserve"> </w:t>
      </w:r>
      <w:r w:rsidR="003D21B2">
        <w:t>DR provider</w:t>
      </w:r>
      <w:r w:rsidR="00186B94">
        <w:t xml:space="preserve"> should be afforded t</w:t>
      </w:r>
      <w:r w:rsidR="00BF3BE4">
        <w:t>he</w:t>
      </w:r>
      <w:r w:rsidR="00186B94">
        <w:t xml:space="preserve"> potential for unwarranted profits for unde</w:t>
      </w:r>
      <w:r w:rsidR="00B02456">
        <w:softHyphen/>
      </w:r>
      <w:r w:rsidR="00186B94">
        <w:t xml:space="preserve">liverable </w:t>
      </w:r>
      <w:r w:rsidR="00760529">
        <w:t xml:space="preserve">or </w:t>
      </w:r>
      <w:proofErr w:type="spellStart"/>
      <w:r w:rsidR="00760529">
        <w:t>overcounted</w:t>
      </w:r>
      <w:proofErr w:type="spellEnd"/>
      <w:r w:rsidR="00760529">
        <w:t xml:space="preserve"> DR</w:t>
      </w:r>
      <w:r w:rsidR="00BF3BE4">
        <w:t xml:space="preserve"> resources</w:t>
      </w:r>
      <w:r w:rsidR="003D21B2">
        <w:t xml:space="preserve"> </w:t>
      </w:r>
      <w:r w:rsidR="00760529">
        <w:t xml:space="preserve">to the detriment of PJM’s </w:t>
      </w:r>
      <w:r w:rsidR="00B02456">
        <w:t>obligation to</w:t>
      </w:r>
      <w:r w:rsidR="00760529">
        <w:t xml:space="preserve"> ensure </w:t>
      </w:r>
      <w:r w:rsidR="003D21B2">
        <w:t>reliability</w:t>
      </w:r>
      <w:r w:rsidR="00E3232C">
        <w:t xml:space="preserve">.  </w:t>
      </w:r>
      <w:r w:rsidR="00760529">
        <w:t>I</w:t>
      </w:r>
      <w:r w:rsidR="00B813D5" w:rsidRPr="00005B3D">
        <w:t>f reliability standards are not realized</w:t>
      </w:r>
      <w:r w:rsidR="00BE5582" w:rsidRPr="00005B3D">
        <w:t xml:space="preserve">, </w:t>
      </w:r>
      <w:r w:rsidR="00B813D5" w:rsidRPr="00005B3D">
        <w:t>the resulting consequences could be</w:t>
      </w:r>
      <w:r w:rsidR="00BE5582" w:rsidRPr="00005B3D">
        <w:t xml:space="preserve"> deleterious and </w:t>
      </w:r>
      <w:r w:rsidR="00E3232C">
        <w:t xml:space="preserve">potentially </w:t>
      </w:r>
      <w:r w:rsidR="00B813D5" w:rsidRPr="00005B3D">
        <w:t>catastrophic</w:t>
      </w:r>
      <w:r w:rsidR="00BE5582" w:rsidRPr="00005B3D">
        <w:t xml:space="preserve"> to the</w:t>
      </w:r>
      <w:r w:rsidR="00E3232C">
        <w:t xml:space="preserve"> PJM</w:t>
      </w:r>
      <w:r w:rsidR="00BE5582" w:rsidRPr="00005B3D">
        <w:t xml:space="preserve"> region. </w:t>
      </w:r>
      <w:r w:rsidR="00085406" w:rsidRPr="00005B3D">
        <w:t xml:space="preserve"> </w:t>
      </w:r>
      <w:r w:rsidR="00B03005" w:rsidRPr="00005B3D">
        <w:t xml:space="preserve">Consequently, </w:t>
      </w:r>
      <w:r w:rsidR="00EB38FE">
        <w:t>FERC has no</w:t>
      </w:r>
      <w:r w:rsidR="00B813D5" w:rsidRPr="00005B3D">
        <w:t xml:space="preserve"> course of action but to rule in favor of reliability</w:t>
      </w:r>
      <w:r w:rsidR="00E3232C">
        <w:t xml:space="preserve"> </w:t>
      </w:r>
      <w:r w:rsidR="00B813D5" w:rsidRPr="00005B3D">
        <w:t>and dismiss the instant complaint</w:t>
      </w:r>
      <w:r w:rsidR="009102F3">
        <w:t>.</w:t>
      </w:r>
    </w:p>
    <w:p w:rsidR="0051668A" w:rsidRPr="00005B3D" w:rsidRDefault="00C430D3" w:rsidP="00544F35">
      <w:pPr>
        <w:pStyle w:val="Textstyle"/>
      </w:pPr>
      <w:r>
        <w:tab/>
      </w:r>
      <w:r w:rsidR="00E3232C">
        <w:t xml:space="preserve">In addition, the Ohio Commission maintains that </w:t>
      </w:r>
      <w:r w:rsidR="0051668A" w:rsidRPr="00005B3D">
        <w:t>PJM must be afforded the discre</w:t>
      </w:r>
      <w:r w:rsidR="00B02456">
        <w:softHyphen/>
      </w:r>
      <w:r w:rsidR="0051668A" w:rsidRPr="00005B3D">
        <w:t xml:space="preserve">tion to amend its RPM parameters </w:t>
      </w:r>
      <w:r w:rsidR="00B03005" w:rsidRPr="00005B3D">
        <w:t xml:space="preserve">via amendments to its Manual 18 </w:t>
      </w:r>
      <w:r w:rsidR="0051668A" w:rsidRPr="00005B3D">
        <w:t xml:space="preserve">to address legitimate concerns regarding a </w:t>
      </w:r>
      <w:r w:rsidR="00B03005" w:rsidRPr="00005B3D">
        <w:t xml:space="preserve">the </w:t>
      </w:r>
      <w:r w:rsidR="0051668A" w:rsidRPr="00005B3D">
        <w:t xml:space="preserve">lack of reliable </w:t>
      </w:r>
      <w:r w:rsidR="004F54F5" w:rsidRPr="00005B3D">
        <w:t xml:space="preserve">information available for planned </w:t>
      </w:r>
      <w:r w:rsidR="00E3232C">
        <w:t xml:space="preserve">DR </w:t>
      </w:r>
      <w:r w:rsidR="004F54F5" w:rsidRPr="00005B3D">
        <w:t xml:space="preserve">resources cleared in the </w:t>
      </w:r>
      <w:r w:rsidR="00EB38FE">
        <w:t>auction</w:t>
      </w:r>
      <w:r w:rsidR="00E3232C">
        <w:t xml:space="preserve"> in the R</w:t>
      </w:r>
      <w:r w:rsidR="00DC1C0C">
        <w:t>PM</w:t>
      </w:r>
      <w:r w:rsidR="00544F35">
        <w:t xml:space="preserve">.  </w:t>
      </w:r>
      <w:r w:rsidR="00D86BC5" w:rsidRPr="00005B3D">
        <w:t>Because the level of DR market penetration has sig</w:t>
      </w:r>
      <w:r w:rsidR="00B02456">
        <w:softHyphen/>
      </w:r>
      <w:r w:rsidR="00D86BC5" w:rsidRPr="00005B3D">
        <w:t>nificantly increased</w:t>
      </w:r>
      <w:r w:rsidR="00D86BC5" w:rsidRPr="00D86BC5">
        <w:rPr>
          <w:vertAlign w:val="superscript"/>
        </w:rPr>
        <w:footnoteReference w:id="7"/>
      </w:r>
      <w:r w:rsidR="00D86BC5" w:rsidRPr="00005B3D">
        <w:t xml:space="preserve"> over the past several years, PJM must have the discretion to amend its policies, via the stakeholder process, to require the additional information necessary to ensure that all DR offered into the RPM is physically available and deliverable </w:t>
      </w:r>
      <w:r w:rsidR="00EB38FE">
        <w:t>to</w:t>
      </w:r>
      <w:r w:rsidR="00D86BC5" w:rsidRPr="00005B3D">
        <w:t xml:space="preserve"> that </w:t>
      </w:r>
      <w:r w:rsidR="00D86BC5" w:rsidRPr="00005B3D">
        <w:lastRenderedPageBreak/>
        <w:t xml:space="preserve">zone to maintain reliability standards.  PJM’s discretion in this regard is imperative.   </w:t>
      </w:r>
      <w:r w:rsidR="00531F13" w:rsidRPr="00005B3D">
        <w:t>That is, as DR penetration increases</w:t>
      </w:r>
      <w:r w:rsidR="00140804">
        <w:t>,</w:t>
      </w:r>
      <w:r w:rsidR="00531F13" w:rsidRPr="00005B3D">
        <w:t xml:space="preserve"> PJM must be afforded the latitude to require suffi</w:t>
      </w:r>
      <w:r w:rsidR="00B02456">
        <w:softHyphen/>
      </w:r>
      <w:r w:rsidR="00531F13" w:rsidRPr="00005B3D">
        <w:t>ci</w:t>
      </w:r>
      <w:r w:rsidR="00B03005" w:rsidRPr="00005B3D">
        <w:t>ent information</w:t>
      </w:r>
      <w:r w:rsidR="00DC1C0C">
        <w:t xml:space="preserve"> to ensure </w:t>
      </w:r>
      <w:r w:rsidR="00E3232C">
        <w:t xml:space="preserve">that </w:t>
      </w:r>
      <w:r w:rsidR="00DC1C0C">
        <w:t>reliability standards are realized</w:t>
      </w:r>
      <w:r w:rsidR="00B03005" w:rsidRPr="00005B3D">
        <w:t xml:space="preserve">.  </w:t>
      </w:r>
      <w:r w:rsidR="00E3232C">
        <w:t>T</w:t>
      </w:r>
      <w:r w:rsidR="00B03005" w:rsidRPr="00005B3D">
        <w:t>he Ohio Commission</w:t>
      </w:r>
      <w:r w:rsidR="00E3232C">
        <w:t xml:space="preserve">, therefore, </w:t>
      </w:r>
      <w:r w:rsidR="00B03005" w:rsidRPr="00005B3D">
        <w:t xml:space="preserve">maintains that PJM’s ongoing efforts to ensure reliability standards </w:t>
      </w:r>
      <w:r w:rsidR="00D86BC5">
        <w:t xml:space="preserve">must be supported and sanctioned by FERC.  </w:t>
      </w:r>
      <w:r w:rsidR="00B03005" w:rsidRPr="00005B3D">
        <w:t xml:space="preserve"> </w:t>
      </w:r>
    </w:p>
    <w:p w:rsidR="00D86BC5" w:rsidRDefault="00C430D3" w:rsidP="00544F35">
      <w:pPr>
        <w:pStyle w:val="Textstyle"/>
      </w:pPr>
      <w:r>
        <w:tab/>
      </w:r>
      <w:r w:rsidR="00531F13" w:rsidRPr="00005B3D">
        <w:t>In addition, to the extent necessary</w:t>
      </w:r>
      <w:r w:rsidR="00542DB1" w:rsidRPr="00005B3D">
        <w:t xml:space="preserve">, </w:t>
      </w:r>
      <w:r w:rsidR="00531F13" w:rsidRPr="00005B3D">
        <w:t xml:space="preserve">PJM must </w:t>
      </w:r>
      <w:r w:rsidR="00542DB1" w:rsidRPr="00005B3D">
        <w:t xml:space="preserve">possess </w:t>
      </w:r>
      <w:r w:rsidR="00531F13" w:rsidRPr="00005B3D">
        <w:t xml:space="preserve">the </w:t>
      </w:r>
      <w:r w:rsidR="00542DB1" w:rsidRPr="00005B3D">
        <w:t>cap</w:t>
      </w:r>
      <w:r w:rsidR="00531F13" w:rsidRPr="00005B3D">
        <w:t xml:space="preserve">ability to </w:t>
      </w:r>
      <w:r w:rsidR="00542DB1" w:rsidRPr="00005B3D">
        <w:t>require</w:t>
      </w:r>
      <w:r w:rsidR="000E3BB2">
        <w:t xml:space="preserve"> on a zonal basis</w:t>
      </w:r>
      <w:r w:rsidR="00542DB1" w:rsidRPr="00005B3D">
        <w:t xml:space="preserve"> </w:t>
      </w:r>
      <w:r w:rsidR="00D86BC5">
        <w:t xml:space="preserve">any necessary </w:t>
      </w:r>
      <w:r w:rsidR="00531F13" w:rsidRPr="00005B3D">
        <w:t xml:space="preserve">additional DR </w:t>
      </w:r>
      <w:r w:rsidR="000E3BB2">
        <w:t xml:space="preserve">reporting and verification </w:t>
      </w:r>
      <w:r w:rsidR="00531F13" w:rsidRPr="00005B3D">
        <w:t xml:space="preserve">data to ensure that the DR </w:t>
      </w:r>
      <w:r w:rsidR="000E3BB2">
        <w:t>offered</w:t>
      </w:r>
      <w:r w:rsidR="00531F13" w:rsidRPr="00005B3D">
        <w:t xml:space="preserve"> into the RPM is actually available and de</w:t>
      </w:r>
      <w:r w:rsidR="009A6DE0" w:rsidRPr="00005B3D">
        <w:t xml:space="preserve">liverable to that specific zone </w:t>
      </w:r>
      <w:r w:rsidR="00542DB1" w:rsidRPr="00005B3D">
        <w:t xml:space="preserve">to ensure against </w:t>
      </w:r>
      <w:r w:rsidR="009A6DE0" w:rsidRPr="00005B3D">
        <w:t>double</w:t>
      </w:r>
      <w:r w:rsidR="000E3BB2">
        <w:t xml:space="preserve"> or </w:t>
      </w:r>
      <w:r w:rsidR="00AC3A4E">
        <w:t>overcount</w:t>
      </w:r>
      <w:r w:rsidR="009A6DE0" w:rsidRPr="00005B3D">
        <w:t>ing of DR resources</w:t>
      </w:r>
      <w:r w:rsidR="00544F35" w:rsidRPr="00005B3D">
        <w:t>.</w:t>
      </w:r>
      <w:r w:rsidR="00CA28AE">
        <w:rPr>
          <w:rStyle w:val="FootnoteReference"/>
        </w:rPr>
        <w:footnoteReference w:id="8"/>
      </w:r>
      <w:r w:rsidR="00544F35">
        <w:t xml:space="preserve">  </w:t>
      </w:r>
      <w:r w:rsidR="000E3BB2">
        <w:t>F</w:t>
      </w:r>
      <w:r w:rsidR="009A6DE0" w:rsidRPr="00005B3D">
        <w:t>inally, clear and consistent DR reporting requirements</w:t>
      </w:r>
      <w:r w:rsidR="00542DB1" w:rsidRPr="00005B3D">
        <w:t xml:space="preserve"> and participant certifications </w:t>
      </w:r>
      <w:r w:rsidR="009A6DE0" w:rsidRPr="00005B3D">
        <w:t xml:space="preserve">are imperative to ensure that PJM can </w:t>
      </w:r>
      <w:r w:rsidR="000E3BB2">
        <w:t>evaluate</w:t>
      </w:r>
      <w:r w:rsidR="009A6DE0" w:rsidRPr="00005B3D">
        <w:t xml:space="preserve"> DR reporting numbers on an apples-to-apples basis</w:t>
      </w:r>
      <w:r w:rsidR="00542DB1" w:rsidRPr="00005B3D">
        <w:t xml:space="preserve"> to ensure that DR </w:t>
      </w:r>
      <w:r w:rsidR="00D86BC5">
        <w:t xml:space="preserve">offered into the BRA </w:t>
      </w:r>
      <w:r w:rsidR="00542DB1" w:rsidRPr="00005B3D">
        <w:t xml:space="preserve">is not being </w:t>
      </w:r>
      <w:r w:rsidR="00AC3A4E">
        <w:t>overcount</w:t>
      </w:r>
      <w:r w:rsidR="00542DB1" w:rsidRPr="00005B3D">
        <w:t xml:space="preserve">ed.  </w:t>
      </w:r>
      <w:r w:rsidR="00C76CAB" w:rsidRPr="00005B3D">
        <w:t xml:space="preserve">PJM must </w:t>
      </w:r>
      <w:r w:rsidR="00542DB1" w:rsidRPr="00005B3D">
        <w:t xml:space="preserve">have </w:t>
      </w:r>
      <w:r w:rsidR="00C76CAB" w:rsidRPr="00005B3D">
        <w:t xml:space="preserve">the discretion to ensure that DR plans are </w:t>
      </w:r>
      <w:r w:rsidR="00542DB1" w:rsidRPr="00005B3D">
        <w:t xml:space="preserve">workable as </w:t>
      </w:r>
      <w:r w:rsidR="000E3BB2">
        <w:t xml:space="preserve">supported by </w:t>
      </w:r>
      <w:r w:rsidR="00C76CAB" w:rsidRPr="00005B3D">
        <w:t xml:space="preserve">adequate </w:t>
      </w:r>
      <w:r w:rsidR="00043953" w:rsidRPr="00005B3D">
        <w:t xml:space="preserve">reporting necessary for </w:t>
      </w:r>
      <w:r w:rsidR="00C76CAB" w:rsidRPr="00005B3D">
        <w:t>reliability-based planning</w:t>
      </w:r>
      <w:r w:rsidR="00043953" w:rsidRPr="00005B3D">
        <w:t>.</w:t>
      </w:r>
      <w:r w:rsidR="001F077E" w:rsidRPr="00005B3D">
        <w:t xml:space="preserve">   </w:t>
      </w:r>
    </w:p>
    <w:p w:rsidR="006A0788" w:rsidRDefault="00D86BC5" w:rsidP="00544F35">
      <w:pPr>
        <w:pStyle w:val="Textstyle"/>
      </w:pPr>
      <w:r>
        <w:tab/>
        <w:t>Likewise, t</w:t>
      </w:r>
      <w:r w:rsidR="001F077E" w:rsidRPr="00005B3D">
        <w:t xml:space="preserve">he Ohio Commission maintains that is perfectly legitimate for PJM to require </w:t>
      </w:r>
      <w:r w:rsidR="000E3BB2">
        <w:t>a CSP’s company o</w:t>
      </w:r>
      <w:r w:rsidR="001F077E" w:rsidRPr="00005B3D">
        <w:t>fficer to sign an attestation that the MWs bid into the RPM BRA are physically deliverable to the zone in which they are to receive compensation.  Simple logic dictates that if a CSP is unable or unwilling to sign such an attestation</w:t>
      </w:r>
      <w:r w:rsidR="00F70D74">
        <w:t>,</w:t>
      </w:r>
      <w:r w:rsidR="001F077E" w:rsidRPr="00005B3D">
        <w:t xml:space="preserve"> it should not be offering</w:t>
      </w:r>
      <w:r w:rsidR="00BF3BE4">
        <w:t>,</w:t>
      </w:r>
      <w:r w:rsidR="00760529">
        <w:t xml:space="preserve"> nor should PJM be bound to accept</w:t>
      </w:r>
      <w:r w:rsidR="00BF3BE4">
        <w:t>,</w:t>
      </w:r>
      <w:r w:rsidR="00760529">
        <w:t xml:space="preserve"> </w:t>
      </w:r>
      <w:r w:rsidR="001F077E" w:rsidRPr="00005B3D">
        <w:t xml:space="preserve">that </w:t>
      </w:r>
      <w:r w:rsidR="00F70D74">
        <w:t>quantity</w:t>
      </w:r>
      <w:r w:rsidR="00F70D74" w:rsidRPr="00005B3D">
        <w:t xml:space="preserve"> </w:t>
      </w:r>
      <w:r w:rsidR="001F077E" w:rsidRPr="00005B3D">
        <w:t>of DR into the BRA</w:t>
      </w:r>
      <w:r w:rsidR="00F70D74">
        <w:t xml:space="preserve"> for that particular zone</w:t>
      </w:r>
      <w:r w:rsidR="001F077E" w:rsidRPr="00005B3D">
        <w:t>.</w:t>
      </w:r>
      <w:r w:rsidR="00B75D69" w:rsidRPr="00005B3D">
        <w:t xml:space="preserve"> Before one agrees to sell something, it seems axiomatic that </w:t>
      </w:r>
      <w:r w:rsidR="00B75D69" w:rsidRPr="00005B3D">
        <w:lastRenderedPageBreak/>
        <w:t xml:space="preserve">one should </w:t>
      </w:r>
      <w:r w:rsidR="006A0788">
        <w:t xml:space="preserve">own or control and be capable to deliver that service or product.  </w:t>
      </w:r>
      <w:r w:rsidR="00B75D69" w:rsidRPr="00005B3D">
        <w:t xml:space="preserve">The PJM requirement is nothing more than this.  If one cannot attest to owning the </w:t>
      </w:r>
      <w:r w:rsidR="00F70D74">
        <w:t>item</w:t>
      </w:r>
      <w:r w:rsidR="00B75D69" w:rsidRPr="00005B3D">
        <w:t xml:space="preserve"> that one is offering, an observer could certainly be excused for questioning the reality of the offer.  The greater</w:t>
      </w:r>
      <w:r w:rsidR="00EA4092">
        <w:t xml:space="preserve"> goal of this enterprise is to en</w:t>
      </w:r>
      <w:r w:rsidR="00B75D69" w:rsidRPr="00005B3D">
        <w:t>sure the reliability of the grid.  This is not a mere financial game.  The capacity market cannot be a casino with bets made on credit.  If the demand response that clears the market does not appear when needed and con</w:t>
      </w:r>
      <w:r w:rsidR="00B02456">
        <w:softHyphen/>
      </w:r>
      <w:r w:rsidR="00B75D69" w:rsidRPr="00005B3D">
        <w:t>tracted for, the light</w:t>
      </w:r>
      <w:r w:rsidR="00F70D74">
        <w:t>s</w:t>
      </w:r>
      <w:r w:rsidR="00B75D69" w:rsidRPr="00005B3D">
        <w:t xml:space="preserve"> </w:t>
      </w:r>
      <w:r w:rsidR="006A0788">
        <w:t xml:space="preserve">may </w:t>
      </w:r>
      <w:r w:rsidR="00B75D69" w:rsidRPr="00005B3D">
        <w:t xml:space="preserve">go out.  This is the stark reality.  </w:t>
      </w:r>
    </w:p>
    <w:p w:rsidR="00B75D69" w:rsidRPr="00005B3D" w:rsidRDefault="00B75D69" w:rsidP="006A0788">
      <w:pPr>
        <w:pStyle w:val="Textstyle"/>
        <w:ind w:firstLine="720"/>
      </w:pPr>
      <w:r w:rsidRPr="00005B3D">
        <w:t xml:space="preserve">It is imperative that the demand response that is bid into the market be every bit as real as the generating plants that are also bid.  Just as one could not </w:t>
      </w:r>
      <w:r w:rsidR="00F70D74">
        <w:t xml:space="preserve">offer </w:t>
      </w:r>
      <w:r w:rsidRPr="00005B3D">
        <w:t xml:space="preserve">generating capacity into the </w:t>
      </w:r>
      <w:r w:rsidR="00F70D74">
        <w:t>BRA</w:t>
      </w:r>
      <w:r w:rsidRPr="00005B3D">
        <w:t xml:space="preserve"> when one does not have generating capacity, one should not be able to </w:t>
      </w:r>
      <w:r w:rsidR="00F70D74">
        <w:t>offer</w:t>
      </w:r>
      <w:r w:rsidRPr="00005B3D">
        <w:t xml:space="preserve"> </w:t>
      </w:r>
      <w:r w:rsidR="00F70D74">
        <w:t xml:space="preserve">DR </w:t>
      </w:r>
      <w:r w:rsidRPr="00005B3D">
        <w:t xml:space="preserve">without the assurance that the </w:t>
      </w:r>
      <w:r w:rsidR="00F70D74">
        <w:t>DR</w:t>
      </w:r>
      <w:r w:rsidRPr="00005B3D">
        <w:t xml:space="preserve"> is real.  The PJM requirements are steps along the road to providing this necessary assurance.  The demand response</w:t>
      </w:r>
      <w:r w:rsidR="00EA4092">
        <w:t xml:space="preserve"> offered into the BRA must be as tangible </w:t>
      </w:r>
      <w:r w:rsidRPr="00005B3D">
        <w:t>as the dollars that customers are paying for it.</w:t>
      </w:r>
    </w:p>
    <w:p w:rsidR="004F54F5" w:rsidRPr="00005B3D" w:rsidRDefault="00EA4092" w:rsidP="00544F35">
      <w:pPr>
        <w:pStyle w:val="Textstyle"/>
      </w:pPr>
      <w:r>
        <w:tab/>
      </w:r>
      <w:r w:rsidR="006A0788">
        <w:t>T</w:t>
      </w:r>
      <w:r w:rsidR="00043953" w:rsidRPr="00005B3D">
        <w:t xml:space="preserve">he Ohio Commission </w:t>
      </w:r>
      <w:r w:rsidR="006A0788">
        <w:t xml:space="preserve">further </w:t>
      </w:r>
      <w:r w:rsidR="00F70D74">
        <w:t xml:space="preserve">questions </w:t>
      </w:r>
      <w:r w:rsidR="00043953" w:rsidRPr="00005B3D">
        <w:t xml:space="preserve">the </w:t>
      </w:r>
      <w:r w:rsidR="00FA179A" w:rsidRPr="00005B3D">
        <w:t>Coalition’s position that PJM’s new requirements are unduly discriminatory and preferential as compare</w:t>
      </w:r>
      <w:r w:rsidR="001F077E" w:rsidRPr="00005B3D">
        <w:t>d</w:t>
      </w:r>
      <w:r w:rsidR="00FA179A" w:rsidRPr="00005B3D">
        <w:t xml:space="preserve"> to other capacity resources.  As opposed to generation </w:t>
      </w:r>
      <w:r w:rsidR="00E0661C">
        <w:t xml:space="preserve">and energy efficiency </w:t>
      </w:r>
      <w:r w:rsidR="00FA179A" w:rsidRPr="00005B3D">
        <w:t>capacity resources</w:t>
      </w:r>
      <w:r w:rsidR="001F077E" w:rsidRPr="00005B3D">
        <w:t xml:space="preserve"> </w:t>
      </w:r>
      <w:r w:rsidR="00A07D43">
        <w:t xml:space="preserve">whose </w:t>
      </w:r>
      <w:r w:rsidR="001F077E" w:rsidRPr="00005B3D">
        <w:t>location</w:t>
      </w:r>
      <w:r w:rsidR="00E0661C">
        <w:t>s</w:t>
      </w:r>
      <w:r w:rsidR="00FA179A" w:rsidRPr="00005B3D">
        <w:t xml:space="preserve"> and available </w:t>
      </w:r>
      <w:proofErr w:type="spellStart"/>
      <w:r w:rsidR="00FA179A" w:rsidRPr="00005B3D">
        <w:t>MWs</w:t>
      </w:r>
      <w:proofErr w:type="spellEnd"/>
      <w:r w:rsidR="00FA179A" w:rsidRPr="00005B3D">
        <w:t xml:space="preserve"> </w:t>
      </w:r>
      <w:r w:rsidR="00E0661C">
        <w:t xml:space="preserve">offered </w:t>
      </w:r>
      <w:r w:rsidR="00FA179A" w:rsidRPr="00005B3D">
        <w:t xml:space="preserve">into the RPM can be readily verified, DR </w:t>
      </w:r>
      <w:r w:rsidR="00E0661C">
        <w:t xml:space="preserve">offered </w:t>
      </w:r>
      <w:r w:rsidR="00FA179A" w:rsidRPr="00005B3D">
        <w:t xml:space="preserve">into the RPM </w:t>
      </w:r>
      <w:r w:rsidR="00E0661C">
        <w:t xml:space="preserve">auctions </w:t>
      </w:r>
      <w:r w:rsidR="00FA179A" w:rsidRPr="00005B3D">
        <w:t xml:space="preserve">cannot.  </w:t>
      </w:r>
      <w:r w:rsidR="00751C66" w:rsidRPr="00005B3D">
        <w:t xml:space="preserve">The newly </w:t>
      </w:r>
      <w:r w:rsidR="00A07D43">
        <w:t xml:space="preserve">adopted </w:t>
      </w:r>
      <w:r w:rsidR="00E0661C">
        <w:t>M</w:t>
      </w:r>
      <w:r w:rsidR="00A07D43">
        <w:t xml:space="preserve">anual 18 </w:t>
      </w:r>
      <w:r w:rsidR="00751C66" w:rsidRPr="00005B3D">
        <w:t xml:space="preserve">reporting </w:t>
      </w:r>
      <w:r w:rsidR="00B35CE1" w:rsidRPr="00005B3D">
        <w:t>r</w:t>
      </w:r>
      <w:r w:rsidR="00751C66" w:rsidRPr="00005B3D">
        <w:t>equirement</w:t>
      </w:r>
      <w:r w:rsidR="00C233B0" w:rsidRPr="00005B3D">
        <w:t>s</w:t>
      </w:r>
      <w:r w:rsidR="00751C66" w:rsidRPr="00005B3D">
        <w:t xml:space="preserve"> simply attempt to place </w:t>
      </w:r>
      <w:r w:rsidR="00C233B0" w:rsidRPr="00005B3D">
        <w:t xml:space="preserve">DR </w:t>
      </w:r>
      <w:r w:rsidR="00751C66" w:rsidRPr="00005B3D">
        <w:t xml:space="preserve">capacity resources on a </w:t>
      </w:r>
      <w:r w:rsidR="00C233B0" w:rsidRPr="00005B3D">
        <w:t>comparable</w:t>
      </w:r>
      <w:r w:rsidR="00751C66" w:rsidRPr="00005B3D">
        <w:t xml:space="preserve"> playing field</w:t>
      </w:r>
      <w:r w:rsidR="00C233B0" w:rsidRPr="00005B3D">
        <w:t xml:space="preserve"> with other </w:t>
      </w:r>
      <w:r w:rsidR="00A07D43">
        <w:t xml:space="preserve">capacity </w:t>
      </w:r>
      <w:r w:rsidR="00C233B0" w:rsidRPr="00005B3D">
        <w:t xml:space="preserve">resources that are </w:t>
      </w:r>
      <w:r w:rsidR="00E0661C">
        <w:t xml:space="preserve">more readily </w:t>
      </w:r>
      <w:r w:rsidR="00A07D43">
        <w:t xml:space="preserve">accounted for and </w:t>
      </w:r>
      <w:r w:rsidR="00C233B0" w:rsidRPr="00005B3D">
        <w:t>verified</w:t>
      </w:r>
      <w:r w:rsidR="00751C66" w:rsidRPr="00005B3D">
        <w:t xml:space="preserve">.  </w:t>
      </w:r>
    </w:p>
    <w:p w:rsidR="006C53BC" w:rsidRPr="00005B3D" w:rsidRDefault="00C430D3" w:rsidP="00544F35">
      <w:pPr>
        <w:pStyle w:val="Textstyle"/>
      </w:pPr>
      <w:r>
        <w:tab/>
      </w:r>
      <w:r w:rsidR="006C53BC" w:rsidRPr="00005B3D">
        <w:t>The Ohio Commission’s position regarding DR measurement and verification is supported by the PJM</w:t>
      </w:r>
      <w:r w:rsidR="00E0661C">
        <w:t>’s</w:t>
      </w:r>
      <w:r w:rsidR="006C53BC" w:rsidRPr="00005B3D">
        <w:t xml:space="preserve"> </w:t>
      </w:r>
      <w:r w:rsidR="00E0661C">
        <w:t>I</w:t>
      </w:r>
      <w:r w:rsidR="006C53BC" w:rsidRPr="00005B3D">
        <w:t xml:space="preserve">ndependent </w:t>
      </w:r>
      <w:r w:rsidR="00E0661C">
        <w:t>M</w:t>
      </w:r>
      <w:r w:rsidR="006C53BC" w:rsidRPr="00005B3D">
        <w:t xml:space="preserve">arket </w:t>
      </w:r>
      <w:r w:rsidR="00E0661C">
        <w:t>M</w:t>
      </w:r>
      <w:r w:rsidR="006C53BC" w:rsidRPr="00005B3D">
        <w:t>onitor</w:t>
      </w:r>
      <w:r w:rsidR="00E0661C">
        <w:t xml:space="preserve"> (“IMM”)</w:t>
      </w:r>
      <w:r w:rsidR="006C53BC" w:rsidRPr="00005B3D">
        <w:t xml:space="preserve">.  Specifically, the </w:t>
      </w:r>
      <w:r w:rsidR="00E0661C">
        <w:t>IMM’s</w:t>
      </w:r>
      <w:r w:rsidR="006C53BC" w:rsidRPr="00005B3D">
        <w:t xml:space="preserve"> </w:t>
      </w:r>
      <w:r w:rsidR="006C53BC" w:rsidRPr="00005B3D">
        <w:lastRenderedPageBreak/>
        <w:t>2012 State of the Market Report reflects that substantial improvement in measurement and verification methods must be implemented in order to ensure the credibility of PJM</w:t>
      </w:r>
      <w:r w:rsidR="00E0661C">
        <w:t>’s</w:t>
      </w:r>
      <w:r w:rsidR="006C53BC" w:rsidRPr="00005B3D">
        <w:t xml:space="preserve"> demand-side programs. </w:t>
      </w:r>
      <w:r w:rsidR="0034470D" w:rsidRPr="00005B3D">
        <w:t xml:space="preserve"> </w:t>
      </w:r>
      <w:r w:rsidR="00140804">
        <w:t>T</w:t>
      </w:r>
      <w:r w:rsidR="0034470D" w:rsidRPr="00005B3D">
        <w:t xml:space="preserve">he </w:t>
      </w:r>
      <w:r w:rsidR="00C233B0" w:rsidRPr="00005B3D">
        <w:t xml:space="preserve">IMM’s </w:t>
      </w:r>
      <w:r w:rsidR="0034470D" w:rsidRPr="00005B3D">
        <w:t>report reflects that t</w:t>
      </w:r>
      <w:r w:rsidR="006C53BC" w:rsidRPr="00005B3D">
        <w:t>he goal should be to treat the measurement of demand-side resources like the measurement of any other resource in the wholesale power market, including generation and load, that is paid by other participants or makes payments to other participants.</w:t>
      </w:r>
      <w:r w:rsidR="0034470D" w:rsidRPr="00005B3D">
        <w:t xml:space="preserve">  </w:t>
      </w:r>
      <w:r w:rsidR="00E0661C">
        <w:t xml:space="preserve">In addition, the </w:t>
      </w:r>
      <w:r w:rsidR="001F077E" w:rsidRPr="00005B3D">
        <w:t>IMM’s</w:t>
      </w:r>
      <w:r w:rsidR="00E0661C">
        <w:t xml:space="preserve"> report reflects </w:t>
      </w:r>
      <w:r w:rsidR="001F077E" w:rsidRPr="00005B3D">
        <w:t xml:space="preserve">that </w:t>
      </w:r>
      <w:r w:rsidR="0034470D" w:rsidRPr="00005B3D">
        <w:t xml:space="preserve">there is a need for robust measurement and verification techniques to ensure that </w:t>
      </w:r>
      <w:r w:rsidR="00E0661C">
        <w:t xml:space="preserve">demand-side </w:t>
      </w:r>
      <w:r w:rsidR="00C233B0" w:rsidRPr="00005B3D">
        <w:t xml:space="preserve">programs are resulting in the </w:t>
      </w:r>
      <w:r w:rsidR="0034470D" w:rsidRPr="00005B3D">
        <w:t xml:space="preserve">desired behavior. </w:t>
      </w:r>
    </w:p>
    <w:p w:rsidR="009532E2" w:rsidRPr="00005B3D" w:rsidRDefault="00131878" w:rsidP="00544F35">
      <w:pPr>
        <w:pStyle w:val="Textstyle"/>
      </w:pPr>
      <w:r>
        <w:tab/>
      </w:r>
      <w:r w:rsidR="006A0788">
        <w:t>What is more, t</w:t>
      </w:r>
      <w:r>
        <w:t xml:space="preserve">he Ohio Commission </w:t>
      </w:r>
      <w:r w:rsidR="006A0788">
        <w:t xml:space="preserve">also </w:t>
      </w:r>
      <w:r>
        <w:t xml:space="preserve">observes that the </w:t>
      </w:r>
      <w:r w:rsidRPr="00005B3D">
        <w:t xml:space="preserve">IMM’s </w:t>
      </w:r>
      <w:r>
        <w:t>December 11, 2012 report</w:t>
      </w:r>
      <w:r w:rsidR="007B5D55">
        <w:rPr>
          <w:rStyle w:val="FootnoteReference"/>
        </w:rPr>
        <w:footnoteReference w:id="9"/>
      </w:r>
      <w:r>
        <w:t xml:space="preserve"> </w:t>
      </w:r>
      <w:r w:rsidRPr="00005B3D">
        <w:t>entitled “Analysis of Replacement Capacity for RPM Commitments:  June 1, 2007 to June 1, 2012</w:t>
      </w:r>
      <w:r>
        <w:t>” (</w:t>
      </w:r>
      <w:r w:rsidR="00EB38FE">
        <w:t>“</w:t>
      </w:r>
      <w:r>
        <w:t xml:space="preserve">December 11, 2012 Report”) recommends that an additional </w:t>
      </w:r>
      <w:r w:rsidR="009532E2" w:rsidRPr="00005B3D">
        <w:t>rule requiring that DR providers demonstrate that they are actually in the business of providing DR resources would be an appropriate part of any package of rule changes</w:t>
      </w:r>
      <w:r>
        <w:t xml:space="preserve">.  The December 11, 2012 Report </w:t>
      </w:r>
      <w:r w:rsidR="009532E2" w:rsidRPr="00005B3D">
        <w:t>maintains that evidence shows that some DR providers, including CSPs and individual customers, do regularly purchase replacement capacity for a substantial portion of their RPM commitments for DR at a significant discount to the initial sale price.</w:t>
      </w:r>
      <w:r w:rsidR="009074AA">
        <w:rPr>
          <w:rStyle w:val="FootnoteReference"/>
        </w:rPr>
        <w:footnoteReference w:id="10"/>
      </w:r>
      <w:r w:rsidR="009532E2" w:rsidRPr="00005B3D">
        <w:t xml:space="preserve"> </w:t>
      </w:r>
      <w:r w:rsidR="00544F35">
        <w:t xml:space="preserve"> </w:t>
      </w:r>
      <w:r w:rsidR="00C233B0" w:rsidRPr="00005B3D">
        <w:t xml:space="preserve">Consistent with the IMM’s </w:t>
      </w:r>
      <w:r w:rsidR="007B5D55">
        <w:t>observations</w:t>
      </w:r>
      <w:r w:rsidR="00C233B0" w:rsidRPr="00005B3D">
        <w:t>, t</w:t>
      </w:r>
      <w:r w:rsidR="009532E2" w:rsidRPr="00005B3D">
        <w:t xml:space="preserve">he Ohio Commission </w:t>
      </w:r>
      <w:r w:rsidR="005D0106" w:rsidRPr="00005B3D">
        <w:t>main</w:t>
      </w:r>
      <w:r w:rsidR="00B02456">
        <w:softHyphen/>
      </w:r>
      <w:r w:rsidR="005D0106" w:rsidRPr="00005B3D">
        <w:t xml:space="preserve">tains that </w:t>
      </w:r>
      <w:r w:rsidR="007B5D55">
        <w:t xml:space="preserve">it is perfectly reasonable for </w:t>
      </w:r>
      <w:r w:rsidR="009532E2" w:rsidRPr="00005B3D">
        <w:t xml:space="preserve">PJM’s DR providers </w:t>
      </w:r>
      <w:r w:rsidR="007B5D55">
        <w:t>to</w:t>
      </w:r>
      <w:r w:rsidR="009532E2" w:rsidRPr="00005B3D">
        <w:t xml:space="preserve"> demonstrate that </w:t>
      </w:r>
      <w:r w:rsidR="007B5D55">
        <w:t xml:space="preserve">the DR offered into the BRA is </w:t>
      </w:r>
      <w:r w:rsidR="009532E2" w:rsidRPr="00005B3D">
        <w:t>physical</w:t>
      </w:r>
      <w:r w:rsidR="007B5D55">
        <w:t>ly deliverable to that particular zone</w:t>
      </w:r>
      <w:r w:rsidR="00544F35">
        <w:t>.</w:t>
      </w:r>
      <w:r w:rsidR="00544F35" w:rsidRPr="00005B3D">
        <w:t xml:space="preserve">  </w:t>
      </w:r>
      <w:r w:rsidR="00610084">
        <w:t>E</w:t>
      </w:r>
      <w:r w:rsidR="009532E2" w:rsidRPr="00005B3D">
        <w:t xml:space="preserve">very effort </w:t>
      </w:r>
      <w:r w:rsidR="00B75D69" w:rsidRPr="00005B3D">
        <w:t xml:space="preserve">must </w:t>
      </w:r>
      <w:r w:rsidR="00B75D69" w:rsidRPr="00005B3D">
        <w:lastRenderedPageBreak/>
        <w:t xml:space="preserve">be taken </w:t>
      </w:r>
      <w:r w:rsidR="009532E2" w:rsidRPr="00005B3D">
        <w:t>via enhancement</w:t>
      </w:r>
      <w:r w:rsidR="00B75D69" w:rsidRPr="00005B3D">
        <w:t>s</w:t>
      </w:r>
      <w:r w:rsidR="009532E2" w:rsidRPr="00005B3D">
        <w:t xml:space="preserve"> to PJM’s Manual 18 to ensure a physical DR</w:t>
      </w:r>
      <w:r w:rsidR="007B5D55">
        <w:t xml:space="preserve"> product</w:t>
      </w:r>
      <w:r w:rsidR="009532E2" w:rsidRPr="00005B3D">
        <w:t xml:space="preserve">, as opposed to a financial product, is being furnished by the </w:t>
      </w:r>
      <w:r w:rsidR="007B5D55">
        <w:t>CSP</w:t>
      </w:r>
      <w:r w:rsidR="009532E2" w:rsidRPr="00005B3D">
        <w:t xml:space="preserve">.  The Ohio </w:t>
      </w:r>
      <w:r w:rsidR="007B5D55">
        <w:t xml:space="preserve">Commission </w:t>
      </w:r>
      <w:r w:rsidR="00610084">
        <w:t xml:space="preserve">also </w:t>
      </w:r>
      <w:r w:rsidR="007B221B">
        <w:t>notes</w:t>
      </w:r>
      <w:r w:rsidR="00610084">
        <w:t xml:space="preserve"> </w:t>
      </w:r>
      <w:r w:rsidR="007B5D55">
        <w:t xml:space="preserve">the IMM’s December 11, 2012 Report’s </w:t>
      </w:r>
      <w:r w:rsidR="009532E2" w:rsidRPr="00005B3D">
        <w:t>conclusions that the risks to the mar</w:t>
      </w:r>
      <w:r w:rsidR="00B02456">
        <w:softHyphen/>
      </w:r>
      <w:r w:rsidR="009532E2" w:rsidRPr="00005B3D">
        <w:t>kets associated with the sale of DR without any supporting information on the plausibility of the underlying assets include the risk that multiple CSPs could be assuming that they will win the same customers and the risk that sellers are taking speculative positions with a low probability of fulfilling them.</w:t>
      </w:r>
      <w:r w:rsidR="009074AA">
        <w:rPr>
          <w:rStyle w:val="FootnoteReference"/>
        </w:rPr>
        <w:footnoteReference w:id="11"/>
      </w:r>
      <w:r w:rsidR="009532E2" w:rsidRPr="00005B3D">
        <w:t xml:space="preserve"> </w:t>
      </w:r>
      <w:r w:rsidR="00544F35">
        <w:t xml:space="preserve"> </w:t>
      </w:r>
      <w:r w:rsidR="00610084">
        <w:t>The IMM observes that t</w:t>
      </w:r>
      <w:r w:rsidR="009532E2" w:rsidRPr="00005B3D">
        <w:t>he result in both cases is that the system is less reliable than it might otherwise be because</w:t>
      </w:r>
      <w:r w:rsidR="007B221B">
        <w:t xml:space="preserve">:  (1) </w:t>
      </w:r>
      <w:r w:rsidR="009532E2" w:rsidRPr="00005B3D">
        <w:t xml:space="preserve">the full amount of DR that cleared the RPM Auction is not actually available, </w:t>
      </w:r>
      <w:r w:rsidR="007B221B">
        <w:t xml:space="preserve">(2) </w:t>
      </w:r>
      <w:r w:rsidR="009532E2" w:rsidRPr="00005B3D">
        <w:t xml:space="preserve">the price to other capacity resources has been suppressed by the sale of the speculative DR, </w:t>
      </w:r>
      <w:r w:rsidR="00DD083E">
        <w:t xml:space="preserve">(3) </w:t>
      </w:r>
      <w:r w:rsidR="009532E2" w:rsidRPr="00005B3D">
        <w:t xml:space="preserve">new entry of other capacity resources could have been forestalled by the sale of speculative DR, and </w:t>
      </w:r>
      <w:r w:rsidR="00DD083E">
        <w:t xml:space="preserve">(4) </w:t>
      </w:r>
      <w:r w:rsidR="009532E2" w:rsidRPr="00005B3D">
        <w:t>there may not be adequate replacement resources available with short notice prior to the delivery year.</w:t>
      </w:r>
      <w:r w:rsidR="00EB38FE">
        <w:rPr>
          <w:rStyle w:val="FootnoteReference"/>
        </w:rPr>
        <w:footnoteReference w:id="12"/>
      </w:r>
      <w:r w:rsidR="009532E2" w:rsidRPr="00005B3D">
        <w:t xml:space="preserve"> </w:t>
      </w:r>
      <w:r w:rsidR="00544F35">
        <w:t xml:space="preserve"> </w:t>
      </w:r>
      <w:r w:rsidR="00EC57E2">
        <w:t>The Ohio Commission observes that, with these matters in mind, the CSP’s practice of buying themselves out of DR obligations via virtual transactions (</w:t>
      </w:r>
      <w:r w:rsidR="00EC57E2" w:rsidRPr="00544F35">
        <w:rPr>
          <w:i/>
        </w:rPr>
        <w:t>i.e.</w:t>
      </w:r>
      <w:r w:rsidR="00EC57E2">
        <w:t>, DR buy-backs) makes it more difficult to plan for transmission expansions.</w:t>
      </w:r>
      <w:r w:rsidR="00CA28AE">
        <w:t xml:space="preserve">  For example, if DR offers in the RPM auction from a specific location and the CSP purchases genera</w:t>
      </w:r>
      <w:r w:rsidR="00B02456">
        <w:softHyphen/>
      </w:r>
      <w:r w:rsidR="00CA28AE">
        <w:t>tion from another remote location to buy its way out of the DR obligation, transmission planners will be constantly attempting to find transmission planning solutions for a mov</w:t>
      </w:r>
      <w:r w:rsidR="00B02456">
        <w:softHyphen/>
      </w:r>
      <w:r w:rsidR="00CA28AE">
        <w:t xml:space="preserve">ing target.  </w:t>
      </w:r>
    </w:p>
    <w:p w:rsidR="00A90C3D" w:rsidRDefault="00B57F16" w:rsidP="00544F35">
      <w:pPr>
        <w:pStyle w:val="Heading2"/>
      </w:pPr>
      <w:bookmarkStart w:id="6" w:name="_Toc353368126"/>
      <w:r>
        <w:lastRenderedPageBreak/>
        <w:t>Ohio Renew</w:t>
      </w:r>
      <w:r w:rsidR="00DD083E">
        <w:t xml:space="preserve">s its </w:t>
      </w:r>
      <w:r>
        <w:t xml:space="preserve">Call for </w:t>
      </w:r>
      <w:r w:rsidR="00B75D69">
        <w:t xml:space="preserve">a Comprehensive </w:t>
      </w:r>
      <w:r>
        <w:t xml:space="preserve">Demand Response </w:t>
      </w:r>
      <w:r w:rsidR="003A6DC2">
        <w:t>Rulemaking</w:t>
      </w:r>
      <w:r w:rsidR="00B75D69">
        <w:t xml:space="preserve"> Investigation</w:t>
      </w:r>
      <w:r w:rsidR="003A6DC2">
        <w:t xml:space="preserve"> for the PJM Region</w:t>
      </w:r>
      <w:bookmarkEnd w:id="6"/>
    </w:p>
    <w:p w:rsidR="00B57F16" w:rsidRPr="00005B3D" w:rsidRDefault="00EC57E2" w:rsidP="00544F35">
      <w:pPr>
        <w:pStyle w:val="Textstyle"/>
      </w:pPr>
      <w:r>
        <w:tab/>
      </w:r>
      <w:r w:rsidR="00B57F16" w:rsidRPr="00005B3D">
        <w:t xml:space="preserve">As noted in </w:t>
      </w:r>
      <w:r>
        <w:t xml:space="preserve">the Ohio Commission’s </w:t>
      </w:r>
      <w:r w:rsidR="00B57F16" w:rsidRPr="00005B3D">
        <w:t>previous comments</w:t>
      </w:r>
      <w:r>
        <w:rPr>
          <w:rStyle w:val="FootnoteReference"/>
        </w:rPr>
        <w:footnoteReference w:id="13"/>
      </w:r>
      <w:r w:rsidR="00B57F16" w:rsidRPr="00005B3D">
        <w:t xml:space="preserve"> to FERC concerning PJM’s DR programs, t</w:t>
      </w:r>
      <w:r w:rsidR="00757F24" w:rsidRPr="00005B3D">
        <w:t>he Ohio Commission maintains that the unlimited Annual DR product has an important and valuable role in ensuring reliability via its role in the RPM BRA as an ele</w:t>
      </w:r>
      <w:r w:rsidR="00757F24" w:rsidRPr="00005B3D">
        <w:softHyphen/>
        <w:t>ment in the capacity resource mix, as does generation and energy effi</w:t>
      </w:r>
      <w:r w:rsidR="00B02456">
        <w:softHyphen/>
      </w:r>
      <w:r w:rsidR="00757F24" w:rsidRPr="00005B3D">
        <w:t xml:space="preserve">ciency.  The Ohio Commission is concerned, however, that </w:t>
      </w:r>
      <w:r w:rsidR="00AC3A4E">
        <w:t>other DR product</w:t>
      </w:r>
      <w:r w:rsidR="00B57F16" w:rsidRPr="00005B3D">
        <w:t xml:space="preserve">s are </w:t>
      </w:r>
      <w:r w:rsidR="00757F24" w:rsidRPr="00005B3D">
        <w:t>con</w:t>
      </w:r>
      <w:r w:rsidR="00B02456">
        <w:softHyphen/>
      </w:r>
      <w:r w:rsidR="00757F24" w:rsidRPr="00005B3D">
        <w:t xml:space="preserve">tributing to DR oversaturation to the overall detriment of reliability because these resources have fewer obligations to deliver, as compared to the actual generation and the unlimited Annual DR product.  </w:t>
      </w:r>
    </w:p>
    <w:p w:rsidR="009E40FC" w:rsidRPr="00BF3BE4" w:rsidRDefault="00757F24" w:rsidP="00BF3BE4">
      <w:pPr>
        <w:pStyle w:val="Textstyle"/>
      </w:pPr>
      <w:r w:rsidRPr="00005B3D">
        <w:tab/>
        <w:t>The Ohio Commission</w:t>
      </w:r>
      <w:r w:rsidR="000F7C02">
        <w:t xml:space="preserve">, therefore, </w:t>
      </w:r>
      <w:r w:rsidR="00B57F16" w:rsidRPr="00005B3D">
        <w:t xml:space="preserve">renews its previous recommendation to FERC </w:t>
      </w:r>
      <w:r w:rsidRPr="00005B3D">
        <w:t>that</w:t>
      </w:r>
      <w:r w:rsidR="00B57F16" w:rsidRPr="00005B3D">
        <w:t>,</w:t>
      </w:r>
      <w:r w:rsidRPr="00005B3D">
        <w:t xml:space="preserve"> in the near future, </w:t>
      </w:r>
      <w:r w:rsidR="00B57F16" w:rsidRPr="00005B3D">
        <w:t xml:space="preserve">FERC </w:t>
      </w:r>
      <w:r w:rsidRPr="00005B3D">
        <w:t>initiate a rulemaking investigation to review whether it should significantly reduce or begin the phase out of the availability of all reduced DR capacity resources (</w:t>
      </w:r>
      <w:r w:rsidRPr="000F7C02">
        <w:rPr>
          <w:i/>
        </w:rPr>
        <w:t>i.e.,</w:t>
      </w:r>
      <w:r w:rsidRPr="00005B3D">
        <w:t xml:space="preserve"> the Limited and Extended Summer DR products).  That is, FERC should review whether all capacity products participating in the BRA should ultimately be subject to the same availability requirements as generation, in that they must be </w:t>
      </w:r>
      <w:r w:rsidR="000F7C02">
        <w:t>physi</w:t>
      </w:r>
      <w:r w:rsidR="00B02456">
        <w:softHyphen/>
      </w:r>
      <w:r w:rsidR="000F7C02">
        <w:t>cally available and</w:t>
      </w:r>
      <w:r w:rsidRPr="00005B3D">
        <w:t xml:space="preserve"> respond on par with generation.  FERC’s investigation also should work to ensure that penalties for nonperformance are uniform for both DR and generation and such penalties are suffi</w:t>
      </w:r>
      <w:r w:rsidRPr="00005B3D">
        <w:softHyphen/>
        <w:t>ciently stringent to ensure that all capacity resources meet their respective obli</w:t>
      </w:r>
      <w:r w:rsidRPr="00005B3D">
        <w:softHyphen/>
        <w:t xml:space="preserve">gations for delivery.  Moreover, the Ohio Commission maintains that this proposed investigation be expanded to determine whether:  (1) the DR buy-back </w:t>
      </w:r>
      <w:r w:rsidRPr="00005B3D">
        <w:lastRenderedPageBreak/>
        <w:t>rules should be strengthened to ensure against abuse or the situation where DR participa</w:t>
      </w:r>
      <w:r w:rsidR="00B02456">
        <w:softHyphen/>
      </w:r>
      <w:r w:rsidRPr="00005B3D">
        <w:t xml:space="preserve">tion in the RPM BRA </w:t>
      </w:r>
      <w:r w:rsidR="00824D15">
        <w:t xml:space="preserve">is becoming more a </w:t>
      </w:r>
      <w:r w:rsidRPr="00005B3D">
        <w:t xml:space="preserve">monetary </w:t>
      </w:r>
      <w:r w:rsidR="00824D15">
        <w:t>transaction though the proliferation of financial trades</w:t>
      </w:r>
      <w:r w:rsidRPr="00005B3D">
        <w:t>; and (2) whether credit requirements for finan</w:t>
      </w:r>
      <w:r w:rsidRPr="00005B3D">
        <w:softHyphen/>
        <w:t xml:space="preserve">cial-only DR participants are significantly adequate to cover commitments in the event of a default.  The Ohio Commission recommends that any such decision in this proposed investigation be issued in time for PJM to include the new requirements in PJM’s 2017-2018 auction parameters. </w:t>
      </w:r>
      <w:r w:rsidR="003A6DC2" w:rsidRPr="00005B3D">
        <w:t>Such an investigation could also invite public input on what additional reporting and veri</w:t>
      </w:r>
      <w:r w:rsidR="00B02456">
        <w:softHyphen/>
      </w:r>
      <w:r w:rsidR="003A6DC2" w:rsidRPr="00005B3D">
        <w:t>fication requirements are necessary to ensure DR offered into the BRA are physically deliverable and available to the zone</w:t>
      </w:r>
      <w:r w:rsidR="008D0FED" w:rsidRPr="00005B3D">
        <w:t xml:space="preserve"> to which the product is offered</w:t>
      </w:r>
      <w:r w:rsidR="003A6DC2" w:rsidRPr="00005B3D">
        <w:t xml:space="preserve">.  </w:t>
      </w:r>
      <w:bookmarkStart w:id="7" w:name="_Toc339369252"/>
      <w:r w:rsidR="00BE559F" w:rsidRPr="00005B3D">
        <w:t>T</w:t>
      </w:r>
      <w:r w:rsidR="008D0FED" w:rsidRPr="00005B3D">
        <w:t xml:space="preserve">he proposed investigation </w:t>
      </w:r>
      <w:r w:rsidRPr="00005B3D">
        <w:t xml:space="preserve">should </w:t>
      </w:r>
      <w:r w:rsidR="008D0FED" w:rsidRPr="00005B3D">
        <w:t xml:space="preserve">inquire as to whether PJM should be </w:t>
      </w:r>
      <w:r w:rsidRPr="00005B3D">
        <w:t>require</w:t>
      </w:r>
      <w:r w:rsidR="008D0FED" w:rsidRPr="00005B3D">
        <w:t xml:space="preserve">d </w:t>
      </w:r>
      <w:r w:rsidRPr="00005B3D">
        <w:t>to confirm via audits that DR</w:t>
      </w:r>
      <w:r w:rsidR="008D0FED" w:rsidRPr="00005B3D">
        <w:t xml:space="preserve"> quantities are physically available and </w:t>
      </w:r>
      <w:r w:rsidRPr="00005B3D">
        <w:t xml:space="preserve">actually deliverable to the LDA to which it has committed.  </w:t>
      </w:r>
      <w:r w:rsidR="008D0FED" w:rsidRPr="00005B3D">
        <w:t>Such proposed audits w</w:t>
      </w:r>
      <w:r w:rsidR="00BF3BE4">
        <w:t>ould</w:t>
      </w:r>
      <w:r w:rsidR="008D0FED" w:rsidRPr="00005B3D">
        <w:t xml:space="preserve"> ensure that re</w:t>
      </w:r>
      <w:r w:rsidR="002A0313" w:rsidRPr="00005B3D">
        <w:t>liability object</w:t>
      </w:r>
      <w:r w:rsidR="00BF3BE4">
        <w:t>ive</w:t>
      </w:r>
      <w:r w:rsidR="002A0313" w:rsidRPr="00005B3D">
        <w:t>s continue to be realized.  Finally, the Ohio Commission maintains that FERC should invite com</w:t>
      </w:r>
      <w:r w:rsidR="00B02456">
        <w:softHyphen/>
      </w:r>
      <w:r w:rsidR="002A0313" w:rsidRPr="00005B3D">
        <w:t xml:space="preserve">ments on the </w:t>
      </w:r>
      <w:r w:rsidR="00BE559F" w:rsidRPr="00005B3D">
        <w:t xml:space="preserve">proposed DR rule </w:t>
      </w:r>
      <w:r w:rsidR="00005B3D">
        <w:t>modifications listed in the</w:t>
      </w:r>
      <w:r w:rsidR="00BE559F" w:rsidRPr="00005B3D">
        <w:t xml:space="preserve"> </w:t>
      </w:r>
      <w:r w:rsidR="00005B3D" w:rsidRPr="00005B3D">
        <w:t>IMM’s</w:t>
      </w:r>
      <w:r w:rsidR="00BE559F" w:rsidRPr="00005B3D">
        <w:t xml:space="preserve"> </w:t>
      </w:r>
      <w:bookmarkEnd w:id="7"/>
      <w:r w:rsidR="00005B3D">
        <w:t xml:space="preserve">December 11, 2012 </w:t>
      </w:r>
      <w:r w:rsidR="006911DF">
        <w:t>report</w:t>
      </w:r>
      <w:r w:rsidR="006911DF">
        <w:rPr>
          <w:rStyle w:val="FootnoteReference"/>
        </w:rPr>
        <w:footnoteReference w:id="14"/>
      </w:r>
      <w:r w:rsidR="006911DF">
        <w:t xml:space="preserve"> </w:t>
      </w:r>
      <w:r w:rsidR="00BE559F" w:rsidRPr="00005B3D">
        <w:t xml:space="preserve">entitled “Analysis of Replacement Capacity for RPM Commitments:  June 1, 2007 to June 1, 2012,” </w:t>
      </w:r>
      <w:r w:rsidR="00005B3D">
        <w:t>In this report the IMM recommended to FERC that,</w:t>
      </w:r>
      <w:r w:rsidR="00BE559F" w:rsidRPr="00005B3D">
        <w:t xml:space="preserve"> as a starting point, the following new DR parameters</w:t>
      </w:r>
      <w:r w:rsidR="00005B3D">
        <w:t xml:space="preserve"> and issues be addressed</w:t>
      </w:r>
      <w:r w:rsidR="00BE559F" w:rsidRPr="00005B3D">
        <w:t>:</w:t>
      </w:r>
    </w:p>
    <w:p w:rsidR="00BE559F" w:rsidRPr="00544F35" w:rsidRDefault="00BE559F" w:rsidP="00BE559F">
      <w:pPr>
        <w:pStyle w:val="ListParagraph"/>
        <w:numPr>
          <w:ilvl w:val="0"/>
          <w:numId w:val="1"/>
        </w:numPr>
        <w:autoSpaceDE w:val="0"/>
        <w:autoSpaceDN w:val="0"/>
        <w:adjustRightInd w:val="0"/>
        <w:spacing w:after="240" w:line="240" w:lineRule="auto"/>
        <w:ind w:left="2520" w:right="720" w:hanging="720"/>
        <w:contextualSpacing w:val="0"/>
        <w:rPr>
          <w:rFonts w:ascii="Times New Roman" w:eastAsia="Times New Roman" w:hAnsi="Times New Roman" w:cs="Times New Roman"/>
          <w:sz w:val="26"/>
          <w:szCs w:val="26"/>
        </w:rPr>
      </w:pPr>
      <w:r w:rsidRPr="00544F35">
        <w:rPr>
          <w:rFonts w:ascii="Times New Roman" w:eastAsia="Times New Roman" w:hAnsi="Times New Roman" w:cs="Times New Roman"/>
          <w:sz w:val="26"/>
          <w:szCs w:val="26"/>
        </w:rPr>
        <w:t>Develop rules for planned DR that requires specification of actual sites above a MW threshold, and specification of the nature of sites on which offers are based.</w:t>
      </w:r>
    </w:p>
    <w:p w:rsidR="00BE559F" w:rsidRPr="00544F35" w:rsidRDefault="00BE559F" w:rsidP="00BE559F">
      <w:pPr>
        <w:pStyle w:val="ListParagraph"/>
        <w:numPr>
          <w:ilvl w:val="0"/>
          <w:numId w:val="1"/>
        </w:numPr>
        <w:autoSpaceDE w:val="0"/>
        <w:autoSpaceDN w:val="0"/>
        <w:adjustRightInd w:val="0"/>
        <w:spacing w:after="240" w:line="240" w:lineRule="auto"/>
        <w:ind w:left="2520" w:right="720" w:hanging="720"/>
        <w:contextualSpacing w:val="0"/>
        <w:rPr>
          <w:rFonts w:ascii="Times New Roman" w:eastAsia="Times New Roman" w:hAnsi="Times New Roman" w:cs="Times New Roman"/>
          <w:sz w:val="26"/>
          <w:szCs w:val="26"/>
        </w:rPr>
      </w:pPr>
      <w:r w:rsidRPr="00544F35">
        <w:rPr>
          <w:rFonts w:ascii="Times New Roman" w:eastAsia="Times New Roman" w:hAnsi="Times New Roman" w:cs="Times New Roman"/>
          <w:sz w:val="26"/>
          <w:szCs w:val="26"/>
        </w:rPr>
        <w:lastRenderedPageBreak/>
        <w:t>Require DR providers to maintain detailed business plans supporting offered levels of DR and provide them to the IMM and PJM upon Request.</w:t>
      </w:r>
    </w:p>
    <w:p w:rsidR="00BE559F" w:rsidRPr="00544F35" w:rsidRDefault="00BE559F" w:rsidP="00BE559F">
      <w:pPr>
        <w:pStyle w:val="ListParagraph"/>
        <w:numPr>
          <w:ilvl w:val="0"/>
          <w:numId w:val="1"/>
        </w:numPr>
        <w:autoSpaceDE w:val="0"/>
        <w:autoSpaceDN w:val="0"/>
        <w:adjustRightInd w:val="0"/>
        <w:spacing w:after="240" w:line="240" w:lineRule="auto"/>
        <w:ind w:left="2520" w:right="720" w:hanging="720"/>
        <w:contextualSpacing w:val="0"/>
        <w:rPr>
          <w:rFonts w:ascii="Times New Roman" w:eastAsia="Times New Roman" w:hAnsi="Times New Roman" w:cs="Times New Roman"/>
          <w:sz w:val="26"/>
          <w:szCs w:val="26"/>
        </w:rPr>
      </w:pPr>
      <w:r w:rsidRPr="00544F35">
        <w:rPr>
          <w:rFonts w:ascii="Times New Roman" w:eastAsia="Times New Roman" w:hAnsi="Times New Roman" w:cs="Times New Roman"/>
          <w:sz w:val="26"/>
          <w:szCs w:val="26"/>
        </w:rPr>
        <w:t>Require DR providers to provide evidence of an intent and capability to provide physical resources.</w:t>
      </w:r>
    </w:p>
    <w:p w:rsidR="00BE559F" w:rsidRPr="00544F35" w:rsidRDefault="00BE559F" w:rsidP="00BE559F">
      <w:pPr>
        <w:pStyle w:val="ListParagraph"/>
        <w:numPr>
          <w:ilvl w:val="0"/>
          <w:numId w:val="1"/>
        </w:numPr>
        <w:autoSpaceDE w:val="0"/>
        <w:autoSpaceDN w:val="0"/>
        <w:adjustRightInd w:val="0"/>
        <w:spacing w:after="240" w:line="240" w:lineRule="auto"/>
        <w:ind w:left="2520" w:right="720" w:hanging="720"/>
        <w:contextualSpacing w:val="0"/>
        <w:rPr>
          <w:rFonts w:ascii="Times New Roman" w:eastAsia="Times New Roman" w:hAnsi="Times New Roman" w:cs="Times New Roman"/>
          <w:sz w:val="26"/>
          <w:szCs w:val="26"/>
        </w:rPr>
      </w:pPr>
      <w:r w:rsidRPr="00544F35">
        <w:rPr>
          <w:rFonts w:ascii="Times New Roman" w:eastAsia="Times New Roman" w:hAnsi="Times New Roman" w:cs="Times New Roman"/>
          <w:sz w:val="26"/>
          <w:szCs w:val="26"/>
        </w:rPr>
        <w:t>Consider a cap on planned DR by LDA at a percentage of MW at existing registered sites.  The level of the cap could be based on the current DR share of capacity in an LDA and the history of replacement capacity transactions.</w:t>
      </w:r>
    </w:p>
    <w:p w:rsidR="00BE559F" w:rsidRPr="00544F35" w:rsidRDefault="00BE559F" w:rsidP="00BE559F">
      <w:pPr>
        <w:pStyle w:val="ListParagraph"/>
        <w:numPr>
          <w:ilvl w:val="0"/>
          <w:numId w:val="1"/>
        </w:numPr>
        <w:autoSpaceDE w:val="0"/>
        <w:autoSpaceDN w:val="0"/>
        <w:adjustRightInd w:val="0"/>
        <w:spacing w:after="240" w:line="240" w:lineRule="auto"/>
        <w:ind w:left="2520" w:right="720" w:hanging="720"/>
        <w:contextualSpacing w:val="0"/>
        <w:rPr>
          <w:rFonts w:ascii="Times New Roman" w:eastAsia="Times New Roman" w:hAnsi="Times New Roman" w:cs="Times New Roman"/>
          <w:sz w:val="26"/>
          <w:szCs w:val="26"/>
        </w:rPr>
      </w:pPr>
      <w:r w:rsidRPr="00544F35">
        <w:rPr>
          <w:rFonts w:ascii="Times New Roman" w:eastAsia="Times New Roman" w:hAnsi="Times New Roman" w:cs="Times New Roman"/>
          <w:sz w:val="26"/>
          <w:szCs w:val="26"/>
        </w:rPr>
        <w:t>Reserve all Limited and Extended Summer DR sales to the Third Incremental Auction.</w:t>
      </w:r>
    </w:p>
    <w:p w:rsidR="006911DF" w:rsidRPr="006911DF" w:rsidRDefault="006911DF" w:rsidP="00544F35">
      <w:pPr>
        <w:pStyle w:val="Heading1"/>
      </w:pPr>
      <w:bookmarkStart w:id="8" w:name="_Toc343860518"/>
      <w:bookmarkStart w:id="9" w:name="_Toc353368127"/>
      <w:r w:rsidRPr="006911DF">
        <w:t>CONCLUSION</w:t>
      </w:r>
      <w:bookmarkEnd w:id="8"/>
      <w:bookmarkEnd w:id="9"/>
    </w:p>
    <w:p w:rsidR="006911DF" w:rsidRPr="006911DF" w:rsidRDefault="00544F35" w:rsidP="00544F35">
      <w:pPr>
        <w:pStyle w:val="Textstyle"/>
      </w:pPr>
      <w:r>
        <w:tab/>
      </w:r>
      <w:r w:rsidR="006911DF" w:rsidRPr="006911DF">
        <w:t>The Ohio Commission thanks FERC for the opportunity to provide com</w:t>
      </w:r>
      <w:r w:rsidR="006911DF" w:rsidRPr="006911DF">
        <w:softHyphen/>
        <w:t xml:space="preserve">ments on </w:t>
      </w:r>
      <w:r w:rsidR="006911DF">
        <w:t>Coa</w:t>
      </w:r>
      <w:r>
        <w:t>lition’s section 206 complaint.</w:t>
      </w:r>
    </w:p>
    <w:p w:rsidR="006911DF" w:rsidRPr="006911DF" w:rsidRDefault="006911DF" w:rsidP="006911DF">
      <w:pPr>
        <w:widowControl/>
        <w:autoSpaceDE/>
        <w:autoSpaceDN/>
        <w:adjustRightInd/>
        <w:ind w:left="4320"/>
      </w:pPr>
      <w:r w:rsidRPr="006911DF">
        <w:t>Respectfully submitted,</w:t>
      </w:r>
    </w:p>
    <w:p w:rsidR="006911DF" w:rsidRPr="006911DF" w:rsidRDefault="006911DF" w:rsidP="006911DF">
      <w:pPr>
        <w:widowControl/>
        <w:autoSpaceDE/>
        <w:autoSpaceDN/>
        <w:adjustRightInd/>
        <w:ind w:left="4320"/>
        <w:rPr>
          <w:szCs w:val="26"/>
        </w:rPr>
      </w:pPr>
    </w:p>
    <w:p w:rsidR="006911DF" w:rsidRPr="006911DF" w:rsidRDefault="00B02456" w:rsidP="006911DF">
      <w:pPr>
        <w:widowControl/>
        <w:tabs>
          <w:tab w:val="left" w:pos="9360"/>
        </w:tabs>
        <w:autoSpaceDE/>
        <w:autoSpaceDN/>
        <w:adjustRightInd/>
        <w:ind w:left="4320"/>
        <w:rPr>
          <w:i/>
          <w:szCs w:val="26"/>
          <w:u w:val="single"/>
        </w:rPr>
      </w:pPr>
      <w:r>
        <w:rPr>
          <w:i/>
          <w:szCs w:val="26"/>
          <w:u w:val="single"/>
        </w:rPr>
        <w:t>/s/ Thomas W. McNamee</w:t>
      </w:r>
      <w:r w:rsidR="006911DF" w:rsidRPr="006911DF">
        <w:rPr>
          <w:i/>
          <w:szCs w:val="26"/>
          <w:u w:val="single"/>
        </w:rPr>
        <w:tab/>
      </w:r>
    </w:p>
    <w:p w:rsidR="006911DF" w:rsidRPr="006911DF" w:rsidRDefault="006911DF" w:rsidP="006911DF">
      <w:pPr>
        <w:widowControl/>
        <w:autoSpaceDE/>
        <w:autoSpaceDN/>
        <w:adjustRightInd/>
        <w:ind w:left="4320"/>
        <w:rPr>
          <w:rFonts w:eastAsia="Calibri"/>
          <w:b/>
          <w:szCs w:val="26"/>
        </w:rPr>
      </w:pPr>
      <w:r w:rsidRPr="006911DF">
        <w:rPr>
          <w:rFonts w:eastAsia="Calibri"/>
          <w:b/>
          <w:szCs w:val="26"/>
        </w:rPr>
        <w:t>Thomas W. McNamee</w:t>
      </w:r>
    </w:p>
    <w:p w:rsidR="006911DF" w:rsidRPr="006911DF" w:rsidRDefault="006911DF" w:rsidP="006911DF">
      <w:pPr>
        <w:widowControl/>
        <w:autoSpaceDE/>
        <w:autoSpaceDN/>
        <w:adjustRightInd/>
        <w:ind w:left="4320"/>
        <w:rPr>
          <w:rFonts w:eastAsia="Calibri"/>
          <w:szCs w:val="26"/>
        </w:rPr>
      </w:pPr>
      <w:r w:rsidRPr="006911DF">
        <w:rPr>
          <w:rFonts w:eastAsia="Calibri"/>
          <w:szCs w:val="26"/>
        </w:rPr>
        <w:t>Public Utilities Section</w:t>
      </w:r>
    </w:p>
    <w:p w:rsidR="006911DF" w:rsidRPr="006911DF" w:rsidRDefault="006911DF" w:rsidP="006911DF">
      <w:pPr>
        <w:widowControl/>
        <w:autoSpaceDE/>
        <w:autoSpaceDN/>
        <w:adjustRightInd/>
        <w:ind w:left="4320"/>
        <w:rPr>
          <w:rFonts w:eastAsia="Calibri"/>
          <w:szCs w:val="26"/>
        </w:rPr>
      </w:pPr>
      <w:r w:rsidRPr="006911DF">
        <w:rPr>
          <w:rFonts w:eastAsia="Calibri"/>
          <w:szCs w:val="26"/>
        </w:rPr>
        <w:t>180 East Broad Street</w:t>
      </w:r>
    </w:p>
    <w:p w:rsidR="006911DF" w:rsidRPr="006911DF" w:rsidRDefault="006911DF" w:rsidP="006911DF">
      <w:pPr>
        <w:widowControl/>
        <w:autoSpaceDE/>
        <w:autoSpaceDN/>
        <w:adjustRightInd/>
        <w:ind w:left="4320"/>
        <w:rPr>
          <w:rFonts w:eastAsia="Calibri"/>
          <w:szCs w:val="26"/>
        </w:rPr>
      </w:pPr>
      <w:r w:rsidRPr="006911DF">
        <w:rPr>
          <w:rFonts w:eastAsia="Calibri"/>
          <w:szCs w:val="26"/>
        </w:rPr>
        <w:t>Columbus, OH 43215-3793</w:t>
      </w:r>
    </w:p>
    <w:p w:rsidR="006911DF" w:rsidRPr="006911DF" w:rsidRDefault="006911DF" w:rsidP="006911DF">
      <w:pPr>
        <w:widowControl/>
        <w:autoSpaceDE/>
        <w:autoSpaceDN/>
        <w:adjustRightInd/>
        <w:ind w:left="4320"/>
        <w:rPr>
          <w:rFonts w:eastAsia="Calibri"/>
          <w:szCs w:val="26"/>
        </w:rPr>
      </w:pPr>
      <w:r w:rsidRPr="006911DF">
        <w:rPr>
          <w:rFonts w:eastAsia="Calibri"/>
          <w:szCs w:val="26"/>
        </w:rPr>
        <w:t>614.466.4396 (telephone)</w:t>
      </w:r>
    </w:p>
    <w:p w:rsidR="006911DF" w:rsidRPr="006911DF" w:rsidRDefault="006911DF" w:rsidP="006911DF">
      <w:pPr>
        <w:widowControl/>
        <w:autoSpaceDE/>
        <w:autoSpaceDN/>
        <w:adjustRightInd/>
        <w:ind w:left="4320"/>
        <w:rPr>
          <w:rFonts w:eastAsia="Calibri"/>
          <w:szCs w:val="26"/>
        </w:rPr>
      </w:pPr>
      <w:r w:rsidRPr="006911DF">
        <w:rPr>
          <w:rFonts w:eastAsia="Calibri"/>
          <w:szCs w:val="26"/>
        </w:rPr>
        <w:t>614.644.8764 (fax)</w:t>
      </w:r>
    </w:p>
    <w:p w:rsidR="006911DF" w:rsidRPr="006911DF" w:rsidRDefault="00AC0E06" w:rsidP="006911DF">
      <w:pPr>
        <w:widowControl/>
        <w:autoSpaceDE/>
        <w:autoSpaceDN/>
        <w:adjustRightInd/>
        <w:ind w:left="4320"/>
        <w:rPr>
          <w:rFonts w:eastAsia="Calibri"/>
          <w:szCs w:val="26"/>
        </w:rPr>
      </w:pPr>
      <w:hyperlink r:id="rId14" w:history="1">
        <w:r w:rsidR="006911DF" w:rsidRPr="006911DF">
          <w:rPr>
            <w:rFonts w:eastAsia="Calibri"/>
            <w:color w:val="0000FF"/>
            <w:szCs w:val="26"/>
            <w:u w:val="single"/>
          </w:rPr>
          <w:t>thomas.mcnamee@puc.state.oh.us</w:t>
        </w:r>
      </w:hyperlink>
    </w:p>
    <w:p w:rsidR="006911DF" w:rsidRPr="006911DF" w:rsidRDefault="006911DF" w:rsidP="006911DF">
      <w:pPr>
        <w:widowControl/>
        <w:autoSpaceDE/>
        <w:autoSpaceDN/>
        <w:adjustRightInd/>
        <w:ind w:left="4320"/>
        <w:rPr>
          <w:rFonts w:eastAsia="Calibri"/>
          <w:szCs w:val="26"/>
        </w:rPr>
      </w:pPr>
    </w:p>
    <w:p w:rsidR="006911DF" w:rsidRPr="006911DF" w:rsidRDefault="006911DF" w:rsidP="006911DF">
      <w:pPr>
        <w:widowControl/>
        <w:autoSpaceDE/>
        <w:autoSpaceDN/>
        <w:adjustRightInd/>
        <w:ind w:left="4320"/>
        <w:rPr>
          <w:rFonts w:eastAsia="Calibri"/>
          <w:b/>
          <w:szCs w:val="26"/>
        </w:rPr>
      </w:pPr>
      <w:r w:rsidRPr="006911DF">
        <w:rPr>
          <w:rFonts w:eastAsia="Calibri"/>
          <w:b/>
          <w:szCs w:val="26"/>
        </w:rPr>
        <w:t xml:space="preserve">On behalf of </w:t>
      </w:r>
    </w:p>
    <w:p w:rsidR="006911DF" w:rsidRPr="006911DF" w:rsidRDefault="006911DF" w:rsidP="006911DF">
      <w:pPr>
        <w:widowControl/>
        <w:autoSpaceDE/>
        <w:autoSpaceDN/>
        <w:adjustRightInd/>
        <w:ind w:left="4320"/>
        <w:rPr>
          <w:b/>
        </w:rPr>
      </w:pPr>
      <w:r w:rsidRPr="006911DF">
        <w:rPr>
          <w:rFonts w:eastAsia="Calibri"/>
          <w:b/>
          <w:szCs w:val="26"/>
        </w:rPr>
        <w:t>The Public Utilities Commission of Ohio</w:t>
      </w:r>
      <w:bookmarkStart w:id="10" w:name="_Toc339369253"/>
    </w:p>
    <w:p w:rsidR="00B02456" w:rsidRDefault="00B02456" w:rsidP="00544F35">
      <w:pPr>
        <w:pStyle w:val="Heading1"/>
      </w:pPr>
      <w:bookmarkStart w:id="11" w:name="_Toc343860519"/>
      <w:r>
        <w:br w:type="page"/>
      </w:r>
    </w:p>
    <w:p w:rsidR="006911DF" w:rsidRPr="006911DF" w:rsidRDefault="006911DF" w:rsidP="00544F35">
      <w:pPr>
        <w:pStyle w:val="Heading1"/>
      </w:pPr>
      <w:bookmarkStart w:id="12" w:name="_Toc353368128"/>
      <w:r w:rsidRPr="006911DF">
        <w:lastRenderedPageBreak/>
        <w:t>CERTIFICATE OF SERVICE</w:t>
      </w:r>
      <w:bookmarkEnd w:id="10"/>
      <w:bookmarkEnd w:id="11"/>
      <w:bookmarkEnd w:id="12"/>
    </w:p>
    <w:p w:rsidR="006911DF" w:rsidRPr="006911DF" w:rsidRDefault="006911DF" w:rsidP="00544F35">
      <w:pPr>
        <w:pStyle w:val="Textstyle"/>
      </w:pPr>
      <w:r w:rsidRPr="006911DF">
        <w:tab/>
        <w:t>I hereby certify that the foregoing have been served in accordance with 18 C.F.R. Sec. 385.2010 upon each person designated on the official service list compiled by the Secretary in this proceeding.</w:t>
      </w:r>
    </w:p>
    <w:p w:rsidR="006911DF" w:rsidRPr="006911DF" w:rsidRDefault="00B02456" w:rsidP="006911DF">
      <w:pPr>
        <w:widowControl/>
        <w:tabs>
          <w:tab w:val="left" w:pos="9360"/>
        </w:tabs>
        <w:autoSpaceDE/>
        <w:autoSpaceDN/>
        <w:adjustRightInd/>
        <w:ind w:left="4320"/>
        <w:rPr>
          <w:i/>
          <w:szCs w:val="26"/>
          <w:u w:val="single"/>
        </w:rPr>
      </w:pPr>
      <w:r>
        <w:rPr>
          <w:i/>
          <w:szCs w:val="26"/>
          <w:u w:val="single"/>
        </w:rPr>
        <w:t>/s/ Thomas W. McNamee</w:t>
      </w:r>
      <w:r w:rsidR="006911DF" w:rsidRPr="006911DF">
        <w:rPr>
          <w:i/>
          <w:szCs w:val="26"/>
          <w:u w:val="single"/>
        </w:rPr>
        <w:tab/>
      </w:r>
    </w:p>
    <w:p w:rsidR="006911DF" w:rsidRPr="006911DF" w:rsidRDefault="006911DF" w:rsidP="006911DF">
      <w:pPr>
        <w:widowControl/>
        <w:autoSpaceDE/>
        <w:autoSpaceDN/>
        <w:adjustRightInd/>
        <w:ind w:left="4320"/>
        <w:rPr>
          <w:rFonts w:eastAsia="Calibri"/>
          <w:b/>
          <w:szCs w:val="26"/>
        </w:rPr>
      </w:pPr>
      <w:r w:rsidRPr="006911DF">
        <w:rPr>
          <w:rFonts w:eastAsia="Calibri"/>
          <w:b/>
          <w:szCs w:val="26"/>
        </w:rPr>
        <w:t>Thomas W. McNamee</w:t>
      </w:r>
    </w:p>
    <w:p w:rsidR="006911DF" w:rsidRPr="006911DF" w:rsidRDefault="006911DF" w:rsidP="006911DF">
      <w:pPr>
        <w:widowControl/>
        <w:autoSpaceDE/>
        <w:autoSpaceDN/>
        <w:adjustRightInd/>
        <w:ind w:left="4320"/>
        <w:rPr>
          <w:rFonts w:eastAsia="Calibri"/>
          <w:b/>
          <w:szCs w:val="26"/>
        </w:rPr>
      </w:pPr>
    </w:p>
    <w:p w:rsidR="006911DF" w:rsidRPr="006911DF" w:rsidRDefault="006911DF" w:rsidP="006911DF">
      <w:pPr>
        <w:widowControl/>
        <w:autoSpaceDE/>
        <w:autoSpaceDN/>
        <w:adjustRightInd/>
        <w:ind w:left="4320"/>
        <w:rPr>
          <w:rFonts w:eastAsia="Calibri"/>
          <w:b/>
          <w:szCs w:val="26"/>
        </w:rPr>
      </w:pPr>
    </w:p>
    <w:p w:rsidR="006911DF" w:rsidRPr="006911DF" w:rsidRDefault="006911DF" w:rsidP="006911DF">
      <w:pPr>
        <w:widowControl/>
        <w:autoSpaceDE/>
        <w:autoSpaceDN/>
        <w:adjustRightInd/>
        <w:ind w:left="4320"/>
        <w:rPr>
          <w:rFonts w:eastAsia="Calibri"/>
          <w:b/>
          <w:szCs w:val="26"/>
        </w:rPr>
      </w:pPr>
    </w:p>
    <w:p w:rsidR="006911DF" w:rsidRPr="006911DF" w:rsidRDefault="006911DF" w:rsidP="006911DF">
      <w:pPr>
        <w:widowControl/>
        <w:autoSpaceDE/>
        <w:autoSpaceDN/>
        <w:adjustRightInd/>
        <w:ind w:left="4320"/>
        <w:rPr>
          <w:rFonts w:eastAsia="Calibri"/>
          <w:b/>
          <w:szCs w:val="26"/>
        </w:rPr>
      </w:pPr>
    </w:p>
    <w:p w:rsidR="006911DF" w:rsidRPr="006911DF" w:rsidRDefault="006911DF" w:rsidP="006911DF">
      <w:pPr>
        <w:widowControl/>
        <w:autoSpaceDE/>
        <w:autoSpaceDN/>
        <w:adjustRightInd/>
        <w:spacing w:after="200" w:line="276" w:lineRule="auto"/>
        <w:rPr>
          <w:rFonts w:eastAsiaTheme="minorHAnsi"/>
          <w:szCs w:val="26"/>
        </w:rPr>
      </w:pPr>
      <w:r w:rsidRPr="006911DF">
        <w:rPr>
          <w:rFonts w:eastAsiaTheme="minorHAnsi"/>
          <w:szCs w:val="26"/>
        </w:rPr>
        <w:t xml:space="preserve">Dated at Columbus, Ohio this </w:t>
      </w:r>
      <w:r>
        <w:rPr>
          <w:rFonts w:eastAsiaTheme="minorHAnsi"/>
          <w:szCs w:val="26"/>
        </w:rPr>
        <w:t>April</w:t>
      </w:r>
      <w:r w:rsidR="0015502C">
        <w:rPr>
          <w:rFonts w:eastAsiaTheme="minorHAnsi"/>
          <w:szCs w:val="26"/>
        </w:rPr>
        <w:t xml:space="preserve"> </w:t>
      </w:r>
      <w:r w:rsidR="00B02456">
        <w:rPr>
          <w:rFonts w:eastAsiaTheme="minorHAnsi"/>
          <w:szCs w:val="26"/>
        </w:rPr>
        <w:t>11</w:t>
      </w:r>
      <w:r>
        <w:rPr>
          <w:rFonts w:eastAsiaTheme="minorHAnsi"/>
          <w:szCs w:val="26"/>
        </w:rPr>
        <w:t>, 2015</w:t>
      </w:r>
      <w:r w:rsidRPr="006911DF">
        <w:rPr>
          <w:rFonts w:eastAsiaTheme="minorHAnsi"/>
          <w:szCs w:val="26"/>
        </w:rPr>
        <w:t>.</w:t>
      </w:r>
    </w:p>
    <w:sectPr w:rsidR="006911DF" w:rsidRPr="006911DF" w:rsidSect="00EB38FE">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068" w:rsidRDefault="005D1068" w:rsidP="00757F24">
      <w:r>
        <w:separator/>
      </w:r>
    </w:p>
  </w:endnote>
  <w:endnote w:type="continuationSeparator" w:id="0">
    <w:p w:rsidR="005D1068" w:rsidRDefault="005D1068" w:rsidP="0075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283564629"/>
      <w:docPartObj>
        <w:docPartGallery w:val="Page Numbers (Bottom of Page)"/>
        <w:docPartUnique/>
      </w:docPartObj>
    </w:sdtPr>
    <w:sdtEndPr>
      <w:rPr>
        <w:noProof/>
      </w:rPr>
    </w:sdtEndPr>
    <w:sdtContent>
      <w:p w:rsidR="00404F1E" w:rsidRPr="00544F35" w:rsidRDefault="00404F1E" w:rsidP="00544F35">
        <w:pPr>
          <w:pStyle w:val="Footer"/>
          <w:jc w:val="center"/>
          <w:rPr>
            <w:sz w:val="24"/>
          </w:rPr>
        </w:pPr>
        <w:r w:rsidRPr="00544F35">
          <w:rPr>
            <w:sz w:val="24"/>
          </w:rPr>
          <w:fldChar w:fldCharType="begin"/>
        </w:r>
        <w:r w:rsidRPr="00544F35">
          <w:rPr>
            <w:sz w:val="24"/>
          </w:rPr>
          <w:instrText xml:space="preserve"> PAGE   \* MERGEFORMAT </w:instrText>
        </w:r>
        <w:r w:rsidRPr="00544F35">
          <w:rPr>
            <w:sz w:val="24"/>
          </w:rPr>
          <w:fldChar w:fldCharType="separate"/>
        </w:r>
        <w:r w:rsidR="00EB38FE">
          <w:rPr>
            <w:noProof/>
            <w:sz w:val="24"/>
          </w:rPr>
          <w:t>3</w:t>
        </w:r>
        <w:r w:rsidRPr="00544F35">
          <w:rPr>
            <w:noProof/>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3A" w:rsidRDefault="0066783A">
    <w:pPr>
      <w:pStyle w:val="Footer"/>
    </w:pPr>
    <w:r>
      <w:t xml:space="preserve">April </w:t>
    </w:r>
    <w:r w:rsidR="00B02456">
      <w:t>11</w:t>
    </w:r>
    <w:r>
      <w:t>,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805079"/>
      <w:docPartObj>
        <w:docPartGallery w:val="Page Numbers (Bottom of Page)"/>
        <w:docPartUnique/>
      </w:docPartObj>
    </w:sdtPr>
    <w:sdtEndPr>
      <w:rPr>
        <w:noProof/>
      </w:rPr>
    </w:sdtEndPr>
    <w:sdtContent>
      <w:p w:rsidR="0066783A" w:rsidRPr="0066783A" w:rsidRDefault="0066783A" w:rsidP="0066783A">
        <w:pPr>
          <w:pStyle w:val="Footer"/>
          <w:jc w:val="center"/>
        </w:pPr>
        <w:r>
          <w:fldChar w:fldCharType="begin"/>
        </w:r>
        <w:r>
          <w:instrText xml:space="preserve"> PAGE   \* MERGEFORMAT </w:instrText>
        </w:r>
        <w:r>
          <w:fldChar w:fldCharType="separate"/>
        </w:r>
        <w:r w:rsidR="00AC0E06">
          <w:rPr>
            <w:noProof/>
          </w:rPr>
          <w:t>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244344978"/>
      <w:docPartObj>
        <w:docPartGallery w:val="Page Numbers (Bottom of Page)"/>
        <w:docPartUnique/>
      </w:docPartObj>
    </w:sdtPr>
    <w:sdtEndPr>
      <w:rPr>
        <w:noProof/>
      </w:rPr>
    </w:sdtEndPr>
    <w:sdtContent>
      <w:p w:rsidR="00EB38FE" w:rsidRPr="00544F35" w:rsidRDefault="00EB38FE" w:rsidP="00544F35">
        <w:pPr>
          <w:pStyle w:val="Footer"/>
          <w:jc w:val="center"/>
          <w:rPr>
            <w:sz w:val="24"/>
          </w:rPr>
        </w:pPr>
        <w:r w:rsidRPr="00544F35">
          <w:rPr>
            <w:sz w:val="24"/>
          </w:rPr>
          <w:fldChar w:fldCharType="begin"/>
        </w:r>
        <w:r w:rsidRPr="00544F35">
          <w:rPr>
            <w:sz w:val="24"/>
          </w:rPr>
          <w:instrText xml:space="preserve"> PAGE   \* MERGEFORMAT </w:instrText>
        </w:r>
        <w:r w:rsidRPr="00544F35">
          <w:rPr>
            <w:sz w:val="24"/>
          </w:rPr>
          <w:fldChar w:fldCharType="separate"/>
        </w:r>
        <w:r w:rsidR="00AC0E06">
          <w:rPr>
            <w:noProof/>
            <w:sz w:val="24"/>
          </w:rPr>
          <w:t>13</w:t>
        </w:r>
        <w:r w:rsidRPr="00544F35">
          <w:rPr>
            <w:noProof/>
            <w:sz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3A" w:rsidRPr="00EB38FE" w:rsidRDefault="0066783A" w:rsidP="00EB3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068" w:rsidRDefault="005D1068" w:rsidP="00757F24">
      <w:r>
        <w:separator/>
      </w:r>
    </w:p>
  </w:footnote>
  <w:footnote w:type="continuationSeparator" w:id="0">
    <w:p w:rsidR="005D1068" w:rsidRDefault="005D1068" w:rsidP="00757F24">
      <w:r>
        <w:continuationSeparator/>
      </w:r>
    </w:p>
  </w:footnote>
  <w:footnote w:id="1">
    <w:p w:rsidR="00186B94" w:rsidRDefault="00186B94" w:rsidP="00186B94">
      <w:pPr>
        <w:pStyle w:val="FootnoteText"/>
      </w:pPr>
      <w:r>
        <w:rPr>
          <w:rStyle w:val="FootnoteReference"/>
        </w:rPr>
        <w:footnoteRef/>
      </w:r>
      <w:r>
        <w:t xml:space="preserve"> </w:t>
      </w:r>
      <w:r>
        <w:tab/>
      </w:r>
      <w:r>
        <w:tab/>
        <w:t>The Demand Response Coalition includes Converge, Inc., Viridity Energy and Energy Curtailment Specialists (“ECS”).</w:t>
      </w:r>
    </w:p>
  </w:footnote>
  <w:footnote w:id="2">
    <w:p w:rsidR="0015502C" w:rsidRPr="00544F35" w:rsidRDefault="0015502C" w:rsidP="0015502C">
      <w:pPr>
        <w:pStyle w:val="FootnoteText"/>
      </w:pPr>
      <w:r>
        <w:rPr>
          <w:rStyle w:val="FootnoteReference"/>
        </w:rPr>
        <w:footnoteRef/>
      </w:r>
      <w:r>
        <w:t xml:space="preserve"> </w:t>
      </w:r>
      <w:r w:rsidR="00544F35">
        <w:tab/>
      </w:r>
      <w:r w:rsidR="00544F35" w:rsidRPr="00544F35">
        <w:tab/>
      </w:r>
      <w:r w:rsidRPr="00544F35">
        <w:t xml:space="preserve">PJM OA section 7.7(i). </w:t>
      </w:r>
    </w:p>
  </w:footnote>
  <w:footnote w:id="3">
    <w:p w:rsidR="0015502C" w:rsidRDefault="0015502C" w:rsidP="0015502C">
      <w:pPr>
        <w:pStyle w:val="FootnoteText"/>
      </w:pPr>
      <w:r>
        <w:rPr>
          <w:rStyle w:val="FootnoteReference"/>
        </w:rPr>
        <w:footnoteRef/>
      </w:r>
      <w:r>
        <w:t xml:space="preserve"> </w:t>
      </w:r>
      <w:r w:rsidR="00544F35">
        <w:tab/>
      </w:r>
      <w:r w:rsidR="00544F35">
        <w:tab/>
      </w:r>
      <w:r w:rsidR="00B02456">
        <w:rPr>
          <w:i/>
        </w:rPr>
        <w:t>Id</w:t>
      </w:r>
      <w:r w:rsidR="00B02456">
        <w:t xml:space="preserve">. </w:t>
      </w:r>
      <w:r w:rsidR="00AC3A4E" w:rsidRPr="00544F35">
        <w:t xml:space="preserve"> </w:t>
      </w:r>
      <w:r w:rsidR="00BF3BE4">
        <w:t>at</w:t>
      </w:r>
      <w:r>
        <w:t xml:space="preserve"> Schedule 1, section 1.7.4(d).</w:t>
      </w:r>
    </w:p>
  </w:footnote>
  <w:footnote w:id="4">
    <w:p w:rsidR="0015502C" w:rsidRDefault="0015502C" w:rsidP="0015502C">
      <w:pPr>
        <w:pStyle w:val="FootnoteText"/>
      </w:pPr>
      <w:r>
        <w:rPr>
          <w:rStyle w:val="FootnoteReference"/>
        </w:rPr>
        <w:footnoteRef/>
      </w:r>
      <w:r>
        <w:t xml:space="preserve"> </w:t>
      </w:r>
      <w:r w:rsidR="00544F35">
        <w:tab/>
      </w:r>
      <w:r w:rsidR="00544F35">
        <w:tab/>
      </w:r>
      <w:r>
        <w:t>Complaint at 10.</w:t>
      </w:r>
    </w:p>
  </w:footnote>
  <w:footnote w:id="5">
    <w:p w:rsidR="007B221B" w:rsidRPr="00B02456" w:rsidRDefault="001A5A16" w:rsidP="001A5A16">
      <w:pPr>
        <w:ind w:left="720" w:hanging="720"/>
        <w:rPr>
          <w:sz w:val="20"/>
          <w:szCs w:val="20"/>
        </w:rPr>
      </w:pPr>
      <w:r>
        <w:rPr>
          <w:rStyle w:val="FootnoteReference"/>
        </w:rPr>
        <w:footnoteRef/>
      </w:r>
      <w:r>
        <w:t xml:space="preserve"> </w:t>
      </w:r>
      <w:r>
        <w:tab/>
      </w:r>
      <w:r>
        <w:tab/>
      </w:r>
      <w:r w:rsidRPr="001A5A16">
        <w:rPr>
          <w:sz w:val="20"/>
          <w:szCs w:val="20"/>
        </w:rPr>
        <w:t>PJM RAA at Schedule 6, Section</w:t>
      </w:r>
      <w:r w:rsidR="007B221B">
        <w:rPr>
          <w:sz w:val="20"/>
          <w:szCs w:val="20"/>
        </w:rPr>
        <w:t xml:space="preserve"> A. Available o</w:t>
      </w:r>
      <w:r>
        <w:rPr>
          <w:sz w:val="20"/>
          <w:szCs w:val="20"/>
        </w:rPr>
        <w:t xml:space="preserve">nline: </w:t>
      </w:r>
      <w:hyperlink r:id="rId1" w:history="1">
        <w:r w:rsidR="00B02456" w:rsidRPr="006570FA">
          <w:rPr>
            <w:rStyle w:val="Hyperlink"/>
            <w:sz w:val="20"/>
            <w:szCs w:val="20"/>
          </w:rPr>
          <w:t>http://www.pjm.com/~/media/documents/ agreements/raa.ashx</w:t>
        </w:r>
      </w:hyperlink>
      <w:r w:rsidR="007B221B">
        <w:rPr>
          <w:sz w:val="20"/>
          <w:szCs w:val="20"/>
        </w:rPr>
        <w:t>, April 9, 2013</w:t>
      </w:r>
      <w:r w:rsidR="00B02456">
        <w:rPr>
          <w:sz w:val="20"/>
          <w:szCs w:val="20"/>
        </w:rPr>
        <w:t>.</w:t>
      </w:r>
    </w:p>
  </w:footnote>
  <w:footnote w:id="6">
    <w:p w:rsidR="007B221B" w:rsidRDefault="007B221B">
      <w:pPr>
        <w:pStyle w:val="FootnoteText"/>
      </w:pPr>
      <w:r>
        <w:rPr>
          <w:rStyle w:val="FootnoteReference"/>
        </w:rPr>
        <w:footnoteRef/>
      </w:r>
      <w:r>
        <w:t xml:space="preserve"> </w:t>
      </w:r>
      <w:r>
        <w:tab/>
      </w:r>
      <w:r>
        <w:tab/>
      </w:r>
      <w:r w:rsidRPr="007B221B">
        <w:rPr>
          <w:i/>
        </w:rPr>
        <w:t>Id</w:t>
      </w:r>
      <w:r>
        <w:t>.</w:t>
      </w:r>
      <w:r w:rsidR="006D1072">
        <w:t xml:space="preserve"> at Section 1.13.</w:t>
      </w:r>
    </w:p>
  </w:footnote>
  <w:footnote w:id="7">
    <w:p w:rsidR="00D86BC5" w:rsidRDefault="00D86BC5" w:rsidP="00D86BC5">
      <w:pPr>
        <w:pStyle w:val="FootnoteText"/>
      </w:pPr>
      <w:r>
        <w:rPr>
          <w:rStyle w:val="FootnoteReference"/>
        </w:rPr>
        <w:footnoteRef/>
      </w:r>
      <w:r>
        <w:t xml:space="preserve"> </w:t>
      </w:r>
      <w:r w:rsidR="00544F35">
        <w:tab/>
      </w:r>
      <w:r w:rsidR="00544F35">
        <w:tab/>
      </w:r>
      <w:r>
        <w:t>For example, the PJM Independent Market Monitor’s 2012 State of the Market Report reflects that in the 2007/2008 delivery year 127.6 MW (UCAP) DR cleared the RPM auction.  962.9 MW (</w:t>
      </w:r>
      <w:proofErr w:type="spellStart"/>
      <w:r>
        <w:t>UCAP</w:t>
      </w:r>
      <w:proofErr w:type="spellEnd"/>
      <w:r>
        <w:t xml:space="preserve">) </w:t>
      </w:r>
      <w:r w:rsidR="00B02456">
        <w:t>of DR</w:t>
      </w:r>
      <w:r>
        <w:t xml:space="preserve"> </w:t>
      </w:r>
      <w:r w:rsidR="000E3BB2">
        <w:t xml:space="preserve">in </w:t>
      </w:r>
      <w:r>
        <w:t>cleared</w:t>
      </w:r>
      <w:r w:rsidR="000E3BB2">
        <w:t xml:space="preserve"> </w:t>
      </w:r>
      <w:r>
        <w:t xml:space="preserve">the 2010/2011 delivery year.  In the 2015/2016 delivery year, PJM’s data reflect that 14,832 MWs (UCAP) cleared the RPM. </w:t>
      </w:r>
    </w:p>
  </w:footnote>
  <w:footnote w:id="8">
    <w:p w:rsidR="00CA28AE" w:rsidRDefault="00CA28AE">
      <w:pPr>
        <w:pStyle w:val="FootnoteText"/>
      </w:pPr>
      <w:r>
        <w:rPr>
          <w:rStyle w:val="FootnoteReference"/>
        </w:rPr>
        <w:footnoteRef/>
      </w:r>
      <w:r>
        <w:t xml:space="preserve"> </w:t>
      </w:r>
      <w:r w:rsidR="001A5A16">
        <w:tab/>
      </w:r>
      <w:r w:rsidR="001A5A16">
        <w:tab/>
      </w:r>
      <w:r>
        <w:t>PJM R</w:t>
      </w:r>
      <w:r w:rsidR="001A5A16">
        <w:t xml:space="preserve">eliability </w:t>
      </w:r>
      <w:r>
        <w:t>A</w:t>
      </w:r>
      <w:r w:rsidR="001A5A16">
        <w:t xml:space="preserve">ssurance </w:t>
      </w:r>
      <w:r>
        <w:t>A</w:t>
      </w:r>
      <w:r w:rsidR="001A5A16">
        <w:t>greement</w:t>
      </w:r>
      <w:r>
        <w:t>, Schedule 6, Section A</w:t>
      </w:r>
      <w:r w:rsidR="001A5A16">
        <w:t>, and Operating Agreement, Schedule 1 section 1.7.4(d).</w:t>
      </w:r>
    </w:p>
  </w:footnote>
  <w:footnote w:id="9">
    <w:p w:rsidR="007B5D55" w:rsidRDefault="007B5D55">
      <w:pPr>
        <w:pStyle w:val="FootnoteText"/>
      </w:pPr>
      <w:r>
        <w:rPr>
          <w:rStyle w:val="FootnoteReference"/>
        </w:rPr>
        <w:footnoteRef/>
      </w:r>
      <w:r>
        <w:t xml:space="preserve"> </w:t>
      </w:r>
      <w:r w:rsidR="00544F35">
        <w:tab/>
      </w:r>
      <w:r w:rsidR="00544F35">
        <w:tab/>
      </w:r>
      <w:r w:rsidR="009074AA">
        <w:t>“Analysis of Replacement Capacity for RPM Commitments:  June 1, 2007 to June 1 2012,</w:t>
      </w:r>
      <w:r w:rsidR="00B02456">
        <w:t>” The</w:t>
      </w:r>
      <w:r w:rsidR="009074AA">
        <w:t xml:space="preserve"> Independent Market Monitor for PJM, December 11, 2012, at Page 30.</w:t>
      </w:r>
    </w:p>
  </w:footnote>
  <w:footnote w:id="10">
    <w:p w:rsidR="009074AA" w:rsidRDefault="009074AA">
      <w:pPr>
        <w:pStyle w:val="FootnoteText"/>
      </w:pPr>
      <w:r>
        <w:rPr>
          <w:rStyle w:val="FootnoteReference"/>
        </w:rPr>
        <w:footnoteRef/>
      </w:r>
      <w:r>
        <w:t xml:space="preserve"> </w:t>
      </w:r>
      <w:r w:rsidR="00544F35">
        <w:tab/>
      </w:r>
      <w:r w:rsidR="00544F35">
        <w:tab/>
      </w:r>
      <w:r w:rsidRPr="009074AA">
        <w:rPr>
          <w:i/>
        </w:rPr>
        <w:t>Id.</w:t>
      </w:r>
    </w:p>
  </w:footnote>
  <w:footnote w:id="11">
    <w:p w:rsidR="009074AA" w:rsidRDefault="009074AA">
      <w:pPr>
        <w:pStyle w:val="FootnoteText"/>
      </w:pPr>
      <w:r>
        <w:rPr>
          <w:rStyle w:val="FootnoteReference"/>
        </w:rPr>
        <w:footnoteRef/>
      </w:r>
      <w:r>
        <w:t xml:space="preserve"> </w:t>
      </w:r>
      <w:r w:rsidR="00544F35">
        <w:tab/>
      </w:r>
      <w:r w:rsidR="00544F35">
        <w:tab/>
      </w:r>
      <w:r w:rsidR="00EB38FE">
        <w:t>“Analysis of Replacement Capacity for RPM Commitments:  June 1, 2007 to June 1 2012,</w:t>
      </w:r>
      <w:r w:rsidR="00B02456">
        <w:t>” The</w:t>
      </w:r>
      <w:r w:rsidR="00EB38FE">
        <w:t xml:space="preserve"> Independent Market Monitor for PJM, December 11, 2012, at page 31</w:t>
      </w:r>
      <w:r>
        <w:t>.</w:t>
      </w:r>
    </w:p>
  </w:footnote>
  <w:footnote w:id="12">
    <w:p w:rsidR="00EB38FE" w:rsidRDefault="00EB38FE" w:rsidP="00EB38FE">
      <w:pPr>
        <w:pStyle w:val="FootnoteText"/>
      </w:pPr>
      <w:r>
        <w:rPr>
          <w:rStyle w:val="FootnoteReference"/>
        </w:rPr>
        <w:footnoteRef/>
      </w:r>
      <w:r>
        <w:t xml:space="preserve"> </w:t>
      </w:r>
      <w:r>
        <w:tab/>
      </w:r>
      <w:r>
        <w:tab/>
      </w:r>
      <w:r w:rsidRPr="009074AA">
        <w:rPr>
          <w:i/>
        </w:rPr>
        <w:t>Id.</w:t>
      </w:r>
    </w:p>
  </w:footnote>
  <w:footnote w:id="13">
    <w:p w:rsidR="00EC57E2" w:rsidRDefault="00EC57E2">
      <w:pPr>
        <w:pStyle w:val="FootnoteText"/>
      </w:pPr>
      <w:r>
        <w:rPr>
          <w:rStyle w:val="FootnoteReference"/>
        </w:rPr>
        <w:footnoteRef/>
      </w:r>
      <w:r>
        <w:t xml:space="preserve"> </w:t>
      </w:r>
      <w:r w:rsidR="00544F35">
        <w:tab/>
      </w:r>
      <w:r w:rsidR="00544F35">
        <w:tab/>
      </w:r>
      <w:r w:rsidR="000F7C02">
        <w:t>PJM Interconnection, L.L.C., Docket No. ER13-486, December 21, 2012.</w:t>
      </w:r>
    </w:p>
  </w:footnote>
  <w:footnote w:id="14">
    <w:p w:rsidR="006911DF" w:rsidRDefault="006911DF" w:rsidP="006911DF">
      <w:pPr>
        <w:pStyle w:val="FootnoteText"/>
      </w:pPr>
      <w:r>
        <w:rPr>
          <w:rStyle w:val="FootnoteReference"/>
        </w:rPr>
        <w:footnoteRef/>
      </w:r>
      <w:r>
        <w:t xml:space="preserve"> </w:t>
      </w:r>
      <w:r w:rsidR="00544F35">
        <w:tab/>
      </w:r>
      <w:r w:rsidR="00544F35">
        <w:tab/>
      </w:r>
      <w:r>
        <w:t xml:space="preserve">“Analysis of Replacement Capacity for RPM Commitments:  June 1, 2007 to June 1 2012,”  The Independent Market Monitor for PJM, December 11, 2012, at Pages 31 </w:t>
      </w:r>
      <w:r w:rsidR="00B02456">
        <w:t>and 32</w:t>
      </w:r>
      <w:r>
        <w:t>.</w:t>
      </w:r>
    </w:p>
    <w:p w:rsidR="006911DF" w:rsidRDefault="006911D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35" w:rsidRPr="00544F35" w:rsidRDefault="00544F35" w:rsidP="00544F35">
    <w:pPr>
      <w:pStyle w:val="Header"/>
      <w:jc w:val="center"/>
      <w:rPr>
        <w:b/>
        <w:color w:val="FF0000"/>
        <w:sz w:val="16"/>
        <w:szCs w:val="16"/>
      </w:rPr>
    </w:pPr>
    <w:r w:rsidRPr="00544F35">
      <w:rPr>
        <w:b/>
        <w:color w:val="FF0000"/>
        <w:sz w:val="16"/>
        <w:szCs w:val="16"/>
      </w:rPr>
      <w:t xml:space="preserve">DRAFT - </w:t>
    </w:r>
    <w:r w:rsidRPr="00544F35">
      <w:rPr>
        <w:b/>
        <w:color w:val="FF0000"/>
        <w:sz w:val="16"/>
        <w:szCs w:val="16"/>
      </w:rPr>
      <w:fldChar w:fldCharType="begin"/>
    </w:r>
    <w:r w:rsidRPr="00544F35">
      <w:rPr>
        <w:b/>
        <w:color w:val="FF0000"/>
        <w:sz w:val="16"/>
        <w:szCs w:val="16"/>
      </w:rPr>
      <w:instrText xml:space="preserve"> DATE \@ "M/d/yyyy h:mm am/pm" </w:instrText>
    </w:r>
    <w:r w:rsidRPr="00544F35">
      <w:rPr>
        <w:b/>
        <w:color w:val="FF0000"/>
        <w:sz w:val="16"/>
        <w:szCs w:val="16"/>
      </w:rPr>
      <w:fldChar w:fldCharType="separate"/>
    </w:r>
    <w:r w:rsidR="00AC0E06">
      <w:rPr>
        <w:b/>
        <w:noProof/>
        <w:color w:val="FF0000"/>
        <w:sz w:val="16"/>
        <w:szCs w:val="16"/>
      </w:rPr>
      <w:t>4/10/2013 2:40 PM</w:t>
    </w:r>
    <w:r w:rsidRPr="00544F35">
      <w:rPr>
        <w:b/>
        <w:color w:val="FF0000"/>
        <w:sz w:val="16"/>
        <w:szCs w:val="16"/>
      </w:rPr>
      <w:fldChar w:fldCharType="end"/>
    </w:r>
  </w:p>
  <w:p w:rsidR="00544F35" w:rsidRPr="00544F35" w:rsidRDefault="00544F35" w:rsidP="00544F35">
    <w:pPr>
      <w:pStyle w:val="Header"/>
      <w:jc w:val="center"/>
      <w:rPr>
        <w:b/>
        <w:color w:val="FF0000"/>
        <w:sz w:val="16"/>
        <w:szCs w:val="16"/>
      </w:rPr>
    </w:pPr>
    <w:r w:rsidRPr="00544F35">
      <w:rPr>
        <w:b/>
        <w:color w:val="FF0000"/>
        <w:sz w:val="16"/>
        <w:szCs w:val="16"/>
      </w:rPr>
      <w:fldChar w:fldCharType="begin"/>
    </w:r>
    <w:r w:rsidRPr="00544F35">
      <w:rPr>
        <w:b/>
        <w:color w:val="FF0000"/>
        <w:sz w:val="16"/>
        <w:szCs w:val="16"/>
      </w:rPr>
      <w:instrText xml:space="preserve"> FILENAME  \* Lower \p  \* MERGEFORMAT </w:instrText>
    </w:r>
    <w:r w:rsidRPr="00544F35">
      <w:rPr>
        <w:b/>
        <w:color w:val="FF0000"/>
        <w:sz w:val="16"/>
        <w:szCs w:val="16"/>
      </w:rPr>
      <w:fldChar w:fldCharType="separate"/>
    </w:r>
    <w:r w:rsidR="00AC0E06">
      <w:rPr>
        <w:b/>
        <w:noProof/>
        <w:color w:val="FF0000"/>
        <w:sz w:val="16"/>
        <w:szCs w:val="16"/>
      </w:rPr>
      <w:t>\\puc\shares\departments\attorney general\attorneys\mcnamee\ferc\el13-57\comments 041113.docx</w:t>
    </w:r>
    <w:r w:rsidRPr="00544F35">
      <w:rPr>
        <w:b/>
        <w:noProof/>
        <w:color w:val="FF0000"/>
        <w:sz w:val="16"/>
        <w:szCs w:val="16"/>
      </w:rPr>
      <w:fldChar w:fldCharType="end"/>
    </w:r>
    <w:r w:rsidRPr="00544F35">
      <w:rPr>
        <w:b/>
        <w:color w:val="FF0000"/>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FE" w:rsidRDefault="00EB38FE" w:rsidP="00544F35">
    <w:pPr>
      <w:pStyle w:val="Header"/>
      <w:jc w:val="center"/>
      <w:rPr>
        <w:b/>
        <w:sz w:val="28"/>
        <w:szCs w:val="28"/>
      </w:rPr>
    </w:pPr>
    <w:r>
      <w:rPr>
        <w:b/>
        <w:sz w:val="28"/>
        <w:szCs w:val="28"/>
      </w:rPr>
      <w:t>TABLE OF CONTENTS</w:t>
    </w:r>
  </w:p>
  <w:p w:rsidR="00EB38FE" w:rsidRDefault="00EB38FE" w:rsidP="00EB38FE">
    <w:pPr>
      <w:pStyle w:val="Header"/>
      <w:jc w:val="right"/>
      <w:rPr>
        <w:b/>
        <w:sz w:val="28"/>
        <w:szCs w:val="28"/>
      </w:rPr>
    </w:pPr>
    <w:r>
      <w:rPr>
        <w:b/>
        <w:sz w:val="28"/>
        <w:szCs w:val="28"/>
      </w:rPr>
      <w:t>Page</w:t>
    </w:r>
  </w:p>
  <w:p w:rsidR="00EB38FE" w:rsidRPr="00EB38FE" w:rsidRDefault="00EB38FE" w:rsidP="00EB38FE">
    <w:pPr>
      <w:pStyle w:val="Header"/>
      <w:jc w:val="right"/>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FE" w:rsidRPr="00B02456" w:rsidRDefault="00EB38FE" w:rsidP="00B024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FE" w:rsidRPr="00B02456" w:rsidRDefault="00EB38FE" w:rsidP="00B02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F6D19"/>
    <w:multiLevelType w:val="hybridMultilevel"/>
    <w:tmpl w:val="B43264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586F6D84"/>
    <w:multiLevelType w:val="hybridMultilevel"/>
    <w:tmpl w:val="490487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2691436"/>
    <w:multiLevelType w:val="hybridMultilevel"/>
    <w:tmpl w:val="12A82C84"/>
    <w:lvl w:ilvl="0" w:tplc="F924A11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F1"/>
    <w:rsid w:val="00005B3D"/>
    <w:rsid w:val="0003263E"/>
    <w:rsid w:val="00043953"/>
    <w:rsid w:val="00085406"/>
    <w:rsid w:val="000A624C"/>
    <w:rsid w:val="000E3BB2"/>
    <w:rsid w:val="000F7C02"/>
    <w:rsid w:val="00131878"/>
    <w:rsid w:val="00140804"/>
    <w:rsid w:val="001410E9"/>
    <w:rsid w:val="0015502C"/>
    <w:rsid w:val="00186B94"/>
    <w:rsid w:val="001A5A16"/>
    <w:rsid w:val="001F077E"/>
    <w:rsid w:val="00211375"/>
    <w:rsid w:val="00263047"/>
    <w:rsid w:val="0029000D"/>
    <w:rsid w:val="0029066E"/>
    <w:rsid w:val="002A0313"/>
    <w:rsid w:val="00327A60"/>
    <w:rsid w:val="0034470D"/>
    <w:rsid w:val="003A430E"/>
    <w:rsid w:val="003A435B"/>
    <w:rsid w:val="003A6DC2"/>
    <w:rsid w:val="003C744B"/>
    <w:rsid w:val="003C7A3B"/>
    <w:rsid w:val="003D21B2"/>
    <w:rsid w:val="00404F1E"/>
    <w:rsid w:val="00410AB6"/>
    <w:rsid w:val="0042562C"/>
    <w:rsid w:val="004316A5"/>
    <w:rsid w:val="00433858"/>
    <w:rsid w:val="00481540"/>
    <w:rsid w:val="004D5159"/>
    <w:rsid w:val="004F54F5"/>
    <w:rsid w:val="0051668A"/>
    <w:rsid w:val="00531F13"/>
    <w:rsid w:val="00542DB1"/>
    <w:rsid w:val="00544F35"/>
    <w:rsid w:val="00565D0E"/>
    <w:rsid w:val="005D0106"/>
    <w:rsid w:val="005D1068"/>
    <w:rsid w:val="00610084"/>
    <w:rsid w:val="0064372E"/>
    <w:rsid w:val="0066783A"/>
    <w:rsid w:val="00681790"/>
    <w:rsid w:val="006911DF"/>
    <w:rsid w:val="006A0788"/>
    <w:rsid w:val="006C53BC"/>
    <w:rsid w:val="006C5714"/>
    <w:rsid w:val="006D1072"/>
    <w:rsid w:val="006E611D"/>
    <w:rsid w:val="006E664E"/>
    <w:rsid w:val="00704402"/>
    <w:rsid w:val="007437F1"/>
    <w:rsid w:val="00751C66"/>
    <w:rsid w:val="00757F24"/>
    <w:rsid w:val="00760529"/>
    <w:rsid w:val="007B221B"/>
    <w:rsid w:val="007B5D55"/>
    <w:rsid w:val="007E6132"/>
    <w:rsid w:val="00824D15"/>
    <w:rsid w:val="008A76B9"/>
    <w:rsid w:val="008D0FED"/>
    <w:rsid w:val="008F464A"/>
    <w:rsid w:val="009074AA"/>
    <w:rsid w:val="009102F3"/>
    <w:rsid w:val="009532E2"/>
    <w:rsid w:val="009770C6"/>
    <w:rsid w:val="009A6DE0"/>
    <w:rsid w:val="009E40FC"/>
    <w:rsid w:val="00A07D43"/>
    <w:rsid w:val="00A565F5"/>
    <w:rsid w:val="00A62663"/>
    <w:rsid w:val="00A90C3D"/>
    <w:rsid w:val="00AC0E06"/>
    <w:rsid w:val="00AC3A4E"/>
    <w:rsid w:val="00B02456"/>
    <w:rsid w:val="00B03005"/>
    <w:rsid w:val="00B35CE1"/>
    <w:rsid w:val="00B57F16"/>
    <w:rsid w:val="00B73548"/>
    <w:rsid w:val="00B75D69"/>
    <w:rsid w:val="00B813D5"/>
    <w:rsid w:val="00BC456C"/>
    <w:rsid w:val="00BE5582"/>
    <w:rsid w:val="00BE559F"/>
    <w:rsid w:val="00BF3BE4"/>
    <w:rsid w:val="00C233B0"/>
    <w:rsid w:val="00C41338"/>
    <w:rsid w:val="00C430D3"/>
    <w:rsid w:val="00C76CAB"/>
    <w:rsid w:val="00C93D82"/>
    <w:rsid w:val="00CA28AE"/>
    <w:rsid w:val="00D235FF"/>
    <w:rsid w:val="00D23E44"/>
    <w:rsid w:val="00D85D19"/>
    <w:rsid w:val="00D86BC5"/>
    <w:rsid w:val="00DC1C0C"/>
    <w:rsid w:val="00DD083E"/>
    <w:rsid w:val="00E03B10"/>
    <w:rsid w:val="00E0661C"/>
    <w:rsid w:val="00E30B82"/>
    <w:rsid w:val="00E3232C"/>
    <w:rsid w:val="00E97B63"/>
    <w:rsid w:val="00EA4092"/>
    <w:rsid w:val="00EA79DF"/>
    <w:rsid w:val="00EB38FE"/>
    <w:rsid w:val="00EC57E2"/>
    <w:rsid w:val="00F173F1"/>
    <w:rsid w:val="00F23CC9"/>
    <w:rsid w:val="00F441DE"/>
    <w:rsid w:val="00F66521"/>
    <w:rsid w:val="00F70D74"/>
    <w:rsid w:val="00FA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F1"/>
    <w:pPr>
      <w:widowControl w:val="0"/>
      <w:autoSpaceDE w:val="0"/>
      <w:autoSpaceDN w:val="0"/>
      <w:adjustRightInd w:val="0"/>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autoRedefine/>
    <w:uiPriority w:val="9"/>
    <w:qFormat/>
    <w:rsid w:val="00544F35"/>
    <w:pPr>
      <w:keepNext/>
      <w:keepLines/>
      <w:spacing w:before="360" w:after="240"/>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EB38FE"/>
    <w:pPr>
      <w:keepNext/>
      <w:keepLines/>
      <w:numPr>
        <w:numId w:val="3"/>
      </w:numPr>
      <w:spacing w:before="360" w:after="240"/>
      <w:ind w:right="720" w:hanging="72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7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autoRedefine/>
    <w:uiPriority w:val="99"/>
    <w:semiHidden/>
    <w:unhideWhenUsed/>
    <w:rsid w:val="00544F35"/>
    <w:pPr>
      <w:spacing w:before="240" w:after="240"/>
      <w:ind w:left="720" w:hanging="720"/>
    </w:pPr>
    <w:rPr>
      <w:sz w:val="20"/>
      <w:szCs w:val="20"/>
    </w:rPr>
  </w:style>
  <w:style w:type="character" w:customStyle="1" w:styleId="FootnoteTextChar">
    <w:name w:val="Footnote Text Char"/>
    <w:basedOn w:val="DefaultParagraphFont"/>
    <w:link w:val="FootnoteText"/>
    <w:uiPriority w:val="99"/>
    <w:semiHidden/>
    <w:rsid w:val="00544F35"/>
    <w:rPr>
      <w:rFonts w:ascii="Times New Roman" w:eastAsia="Times New Roman" w:hAnsi="Times New Roman" w:cs="Times New Roman"/>
      <w:sz w:val="20"/>
      <w:szCs w:val="20"/>
    </w:rPr>
  </w:style>
  <w:style w:type="character" w:styleId="FootnoteReference">
    <w:name w:val="footnote reference"/>
    <w:aliases w:val="Style 30"/>
    <w:basedOn w:val="DefaultParagraphFont"/>
    <w:uiPriority w:val="99"/>
    <w:unhideWhenUsed/>
    <w:rsid w:val="00544F35"/>
    <w:rPr>
      <w:sz w:val="24"/>
      <w:vertAlign w:val="superscript"/>
    </w:rPr>
  </w:style>
  <w:style w:type="paragraph" w:styleId="ListParagraph">
    <w:name w:val="List Paragraph"/>
    <w:basedOn w:val="Normal"/>
    <w:uiPriority w:val="34"/>
    <w:qFormat/>
    <w:rsid w:val="00757F2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4372E"/>
    <w:rPr>
      <w:rFonts w:ascii="Tahoma" w:hAnsi="Tahoma" w:cs="Tahoma"/>
      <w:sz w:val="16"/>
      <w:szCs w:val="16"/>
    </w:rPr>
  </w:style>
  <w:style w:type="character" w:customStyle="1" w:styleId="BalloonTextChar">
    <w:name w:val="Balloon Text Char"/>
    <w:basedOn w:val="DefaultParagraphFont"/>
    <w:link w:val="BalloonText"/>
    <w:uiPriority w:val="99"/>
    <w:semiHidden/>
    <w:rsid w:val="0064372E"/>
    <w:rPr>
      <w:rFonts w:ascii="Tahoma" w:eastAsia="Times New Roman" w:hAnsi="Tahoma" w:cs="Tahoma"/>
      <w:sz w:val="16"/>
      <w:szCs w:val="16"/>
    </w:rPr>
  </w:style>
  <w:style w:type="paragraph" w:styleId="Header">
    <w:name w:val="header"/>
    <w:basedOn w:val="Normal"/>
    <w:link w:val="HeaderChar"/>
    <w:uiPriority w:val="99"/>
    <w:unhideWhenUsed/>
    <w:rsid w:val="00404F1E"/>
    <w:pPr>
      <w:tabs>
        <w:tab w:val="center" w:pos="4680"/>
        <w:tab w:val="right" w:pos="9360"/>
      </w:tabs>
    </w:pPr>
  </w:style>
  <w:style w:type="character" w:customStyle="1" w:styleId="HeaderChar">
    <w:name w:val="Header Char"/>
    <w:basedOn w:val="DefaultParagraphFont"/>
    <w:link w:val="Header"/>
    <w:uiPriority w:val="99"/>
    <w:rsid w:val="00404F1E"/>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404F1E"/>
    <w:pPr>
      <w:tabs>
        <w:tab w:val="center" w:pos="4680"/>
        <w:tab w:val="right" w:pos="9360"/>
      </w:tabs>
    </w:pPr>
  </w:style>
  <w:style w:type="character" w:customStyle="1" w:styleId="FooterChar">
    <w:name w:val="Footer Char"/>
    <w:basedOn w:val="DefaultParagraphFont"/>
    <w:link w:val="Footer"/>
    <w:uiPriority w:val="99"/>
    <w:rsid w:val="00404F1E"/>
    <w:rPr>
      <w:rFonts w:ascii="Times New Roman" w:eastAsia="Times New Roman" w:hAnsi="Times New Roman" w:cs="Times New Roman"/>
      <w:sz w:val="26"/>
      <w:szCs w:val="24"/>
    </w:rPr>
  </w:style>
  <w:style w:type="table" w:styleId="TableGrid">
    <w:name w:val="Table Grid"/>
    <w:basedOn w:val="TableNormal"/>
    <w:uiPriority w:val="59"/>
    <w:rsid w:val="0054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44F35"/>
    <w:rPr>
      <w:rFonts w:ascii="Times New Roman" w:eastAsiaTheme="majorEastAsia" w:hAnsi="Times New Roman" w:cstheme="majorBidi"/>
      <w:b/>
      <w:bCs/>
      <w:sz w:val="28"/>
      <w:szCs w:val="28"/>
    </w:rPr>
  </w:style>
  <w:style w:type="paragraph" w:customStyle="1" w:styleId="Textstyle">
    <w:name w:val="Text style"/>
    <w:basedOn w:val="Normal"/>
    <w:autoRedefine/>
    <w:rsid w:val="00544F35"/>
    <w:pPr>
      <w:widowControl/>
      <w:autoSpaceDE/>
      <w:autoSpaceDN/>
      <w:adjustRightInd/>
      <w:spacing w:line="480" w:lineRule="auto"/>
    </w:pPr>
    <w:rPr>
      <w:rFonts w:eastAsiaTheme="minorHAnsi" w:cstheme="minorBidi"/>
      <w:szCs w:val="26"/>
    </w:rPr>
  </w:style>
  <w:style w:type="character" w:customStyle="1" w:styleId="Heading2Char">
    <w:name w:val="Heading 2 Char"/>
    <w:basedOn w:val="DefaultParagraphFont"/>
    <w:link w:val="Heading2"/>
    <w:uiPriority w:val="9"/>
    <w:rsid w:val="00EB38FE"/>
    <w:rPr>
      <w:rFonts w:ascii="Times New Roman" w:eastAsiaTheme="majorEastAsia" w:hAnsi="Times New Roman" w:cstheme="majorBidi"/>
      <w:b/>
      <w:bCs/>
      <w:sz w:val="28"/>
      <w:szCs w:val="26"/>
    </w:rPr>
  </w:style>
  <w:style w:type="paragraph" w:styleId="TOC1">
    <w:name w:val="toc 1"/>
    <w:basedOn w:val="Normal"/>
    <w:next w:val="Normal"/>
    <w:autoRedefine/>
    <w:uiPriority w:val="39"/>
    <w:unhideWhenUsed/>
    <w:rsid w:val="00AC3A4E"/>
    <w:pPr>
      <w:spacing w:before="240" w:after="240"/>
      <w:ind w:left="720" w:right="1440" w:hanging="720"/>
    </w:pPr>
  </w:style>
  <w:style w:type="paragraph" w:styleId="TOC2">
    <w:name w:val="toc 2"/>
    <w:basedOn w:val="Normal"/>
    <w:next w:val="Normal"/>
    <w:autoRedefine/>
    <w:uiPriority w:val="39"/>
    <w:unhideWhenUsed/>
    <w:rsid w:val="00AC3A4E"/>
    <w:pPr>
      <w:tabs>
        <w:tab w:val="right" w:leader="dot" w:pos="9350"/>
      </w:tabs>
      <w:spacing w:before="240" w:after="240"/>
      <w:ind w:left="1440" w:right="1440" w:hanging="720"/>
    </w:pPr>
  </w:style>
  <w:style w:type="character" w:styleId="Hyperlink">
    <w:name w:val="Hyperlink"/>
    <w:basedOn w:val="DefaultParagraphFont"/>
    <w:uiPriority w:val="99"/>
    <w:unhideWhenUsed/>
    <w:rsid w:val="001A5A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F1"/>
    <w:pPr>
      <w:widowControl w:val="0"/>
      <w:autoSpaceDE w:val="0"/>
      <w:autoSpaceDN w:val="0"/>
      <w:adjustRightInd w:val="0"/>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autoRedefine/>
    <w:uiPriority w:val="9"/>
    <w:qFormat/>
    <w:rsid w:val="00544F35"/>
    <w:pPr>
      <w:keepNext/>
      <w:keepLines/>
      <w:spacing w:before="360" w:after="240"/>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EB38FE"/>
    <w:pPr>
      <w:keepNext/>
      <w:keepLines/>
      <w:numPr>
        <w:numId w:val="3"/>
      </w:numPr>
      <w:spacing w:before="360" w:after="240"/>
      <w:ind w:right="720" w:hanging="72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7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autoRedefine/>
    <w:uiPriority w:val="99"/>
    <w:semiHidden/>
    <w:unhideWhenUsed/>
    <w:rsid w:val="00544F35"/>
    <w:pPr>
      <w:spacing w:before="240" w:after="240"/>
      <w:ind w:left="720" w:hanging="720"/>
    </w:pPr>
    <w:rPr>
      <w:sz w:val="20"/>
      <w:szCs w:val="20"/>
    </w:rPr>
  </w:style>
  <w:style w:type="character" w:customStyle="1" w:styleId="FootnoteTextChar">
    <w:name w:val="Footnote Text Char"/>
    <w:basedOn w:val="DefaultParagraphFont"/>
    <w:link w:val="FootnoteText"/>
    <w:uiPriority w:val="99"/>
    <w:semiHidden/>
    <w:rsid w:val="00544F35"/>
    <w:rPr>
      <w:rFonts w:ascii="Times New Roman" w:eastAsia="Times New Roman" w:hAnsi="Times New Roman" w:cs="Times New Roman"/>
      <w:sz w:val="20"/>
      <w:szCs w:val="20"/>
    </w:rPr>
  </w:style>
  <w:style w:type="character" w:styleId="FootnoteReference">
    <w:name w:val="footnote reference"/>
    <w:aliases w:val="Style 30"/>
    <w:basedOn w:val="DefaultParagraphFont"/>
    <w:uiPriority w:val="99"/>
    <w:unhideWhenUsed/>
    <w:rsid w:val="00544F35"/>
    <w:rPr>
      <w:sz w:val="24"/>
      <w:vertAlign w:val="superscript"/>
    </w:rPr>
  </w:style>
  <w:style w:type="paragraph" w:styleId="ListParagraph">
    <w:name w:val="List Paragraph"/>
    <w:basedOn w:val="Normal"/>
    <w:uiPriority w:val="34"/>
    <w:qFormat/>
    <w:rsid w:val="00757F2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4372E"/>
    <w:rPr>
      <w:rFonts w:ascii="Tahoma" w:hAnsi="Tahoma" w:cs="Tahoma"/>
      <w:sz w:val="16"/>
      <w:szCs w:val="16"/>
    </w:rPr>
  </w:style>
  <w:style w:type="character" w:customStyle="1" w:styleId="BalloonTextChar">
    <w:name w:val="Balloon Text Char"/>
    <w:basedOn w:val="DefaultParagraphFont"/>
    <w:link w:val="BalloonText"/>
    <w:uiPriority w:val="99"/>
    <w:semiHidden/>
    <w:rsid w:val="0064372E"/>
    <w:rPr>
      <w:rFonts w:ascii="Tahoma" w:eastAsia="Times New Roman" w:hAnsi="Tahoma" w:cs="Tahoma"/>
      <w:sz w:val="16"/>
      <w:szCs w:val="16"/>
    </w:rPr>
  </w:style>
  <w:style w:type="paragraph" w:styleId="Header">
    <w:name w:val="header"/>
    <w:basedOn w:val="Normal"/>
    <w:link w:val="HeaderChar"/>
    <w:uiPriority w:val="99"/>
    <w:unhideWhenUsed/>
    <w:rsid w:val="00404F1E"/>
    <w:pPr>
      <w:tabs>
        <w:tab w:val="center" w:pos="4680"/>
        <w:tab w:val="right" w:pos="9360"/>
      </w:tabs>
    </w:pPr>
  </w:style>
  <w:style w:type="character" w:customStyle="1" w:styleId="HeaderChar">
    <w:name w:val="Header Char"/>
    <w:basedOn w:val="DefaultParagraphFont"/>
    <w:link w:val="Header"/>
    <w:uiPriority w:val="99"/>
    <w:rsid w:val="00404F1E"/>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404F1E"/>
    <w:pPr>
      <w:tabs>
        <w:tab w:val="center" w:pos="4680"/>
        <w:tab w:val="right" w:pos="9360"/>
      </w:tabs>
    </w:pPr>
  </w:style>
  <w:style w:type="character" w:customStyle="1" w:styleId="FooterChar">
    <w:name w:val="Footer Char"/>
    <w:basedOn w:val="DefaultParagraphFont"/>
    <w:link w:val="Footer"/>
    <w:uiPriority w:val="99"/>
    <w:rsid w:val="00404F1E"/>
    <w:rPr>
      <w:rFonts w:ascii="Times New Roman" w:eastAsia="Times New Roman" w:hAnsi="Times New Roman" w:cs="Times New Roman"/>
      <w:sz w:val="26"/>
      <w:szCs w:val="24"/>
    </w:rPr>
  </w:style>
  <w:style w:type="table" w:styleId="TableGrid">
    <w:name w:val="Table Grid"/>
    <w:basedOn w:val="TableNormal"/>
    <w:uiPriority w:val="59"/>
    <w:rsid w:val="0054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44F35"/>
    <w:rPr>
      <w:rFonts w:ascii="Times New Roman" w:eastAsiaTheme="majorEastAsia" w:hAnsi="Times New Roman" w:cstheme="majorBidi"/>
      <w:b/>
      <w:bCs/>
      <w:sz w:val="28"/>
      <w:szCs w:val="28"/>
    </w:rPr>
  </w:style>
  <w:style w:type="paragraph" w:customStyle="1" w:styleId="Textstyle">
    <w:name w:val="Text style"/>
    <w:basedOn w:val="Normal"/>
    <w:autoRedefine/>
    <w:rsid w:val="00544F35"/>
    <w:pPr>
      <w:widowControl/>
      <w:autoSpaceDE/>
      <w:autoSpaceDN/>
      <w:adjustRightInd/>
      <w:spacing w:line="480" w:lineRule="auto"/>
    </w:pPr>
    <w:rPr>
      <w:rFonts w:eastAsiaTheme="minorHAnsi" w:cstheme="minorBidi"/>
      <w:szCs w:val="26"/>
    </w:rPr>
  </w:style>
  <w:style w:type="character" w:customStyle="1" w:styleId="Heading2Char">
    <w:name w:val="Heading 2 Char"/>
    <w:basedOn w:val="DefaultParagraphFont"/>
    <w:link w:val="Heading2"/>
    <w:uiPriority w:val="9"/>
    <w:rsid w:val="00EB38FE"/>
    <w:rPr>
      <w:rFonts w:ascii="Times New Roman" w:eastAsiaTheme="majorEastAsia" w:hAnsi="Times New Roman" w:cstheme="majorBidi"/>
      <w:b/>
      <w:bCs/>
      <w:sz w:val="28"/>
      <w:szCs w:val="26"/>
    </w:rPr>
  </w:style>
  <w:style w:type="paragraph" w:styleId="TOC1">
    <w:name w:val="toc 1"/>
    <w:basedOn w:val="Normal"/>
    <w:next w:val="Normal"/>
    <w:autoRedefine/>
    <w:uiPriority w:val="39"/>
    <w:unhideWhenUsed/>
    <w:rsid w:val="00AC3A4E"/>
    <w:pPr>
      <w:spacing w:before="240" w:after="240"/>
      <w:ind w:left="720" w:right="1440" w:hanging="720"/>
    </w:pPr>
  </w:style>
  <w:style w:type="paragraph" w:styleId="TOC2">
    <w:name w:val="toc 2"/>
    <w:basedOn w:val="Normal"/>
    <w:next w:val="Normal"/>
    <w:autoRedefine/>
    <w:uiPriority w:val="39"/>
    <w:unhideWhenUsed/>
    <w:rsid w:val="00AC3A4E"/>
    <w:pPr>
      <w:tabs>
        <w:tab w:val="right" w:leader="dot" w:pos="9350"/>
      </w:tabs>
      <w:spacing w:before="240" w:after="240"/>
      <w:ind w:left="1440" w:right="1440" w:hanging="720"/>
    </w:pPr>
  </w:style>
  <w:style w:type="character" w:styleId="Hyperlink">
    <w:name w:val="Hyperlink"/>
    <w:basedOn w:val="DefaultParagraphFont"/>
    <w:uiPriority w:val="99"/>
    <w:unhideWhenUsed/>
    <w:rsid w:val="001A5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105923">
      <w:bodyDiv w:val="1"/>
      <w:marLeft w:val="0"/>
      <w:marRight w:val="0"/>
      <w:marTop w:val="0"/>
      <w:marBottom w:val="0"/>
      <w:divBdr>
        <w:top w:val="none" w:sz="0" w:space="0" w:color="auto"/>
        <w:left w:val="none" w:sz="0" w:space="0" w:color="auto"/>
        <w:bottom w:val="none" w:sz="0" w:space="0" w:color="auto"/>
        <w:right w:val="none" w:sz="0" w:space="0" w:color="auto"/>
      </w:divBdr>
    </w:div>
    <w:div w:id="188521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thomas.mcnamee@puc.state.oh.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jm.com/~/media/documents/%20agreements/raa.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7AD5-B6FC-49C7-8676-7114C36C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 Daniel</dc:creator>
  <cp:lastModifiedBy>Keeton, Kim</cp:lastModifiedBy>
  <cp:revision>4</cp:revision>
  <cp:lastPrinted>2013-04-10T18:40:00Z</cp:lastPrinted>
  <dcterms:created xsi:type="dcterms:W3CDTF">2013-04-10T18:39:00Z</dcterms:created>
  <dcterms:modified xsi:type="dcterms:W3CDTF">2013-04-10T18:43:00Z</dcterms:modified>
</cp:coreProperties>
</file>