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FB9" w:rsidRDefault="009211D5">
      <w:pPr>
        <w:pStyle w:val="BodyText"/>
        <w:jc w:val="right"/>
        <w:rPr>
          <w:b/>
          <w:i/>
        </w:rPr>
      </w:pPr>
      <w:bookmarkStart w:id="0" w:name="_Toc249780366"/>
      <w:bookmarkStart w:id="1" w:name="_Toc249782093"/>
      <w:bookmarkStart w:id="2" w:name="_GoBack"/>
      <w:bookmarkEnd w:id="2"/>
      <w:r>
        <w:rPr>
          <w:b/>
          <w:i/>
        </w:rPr>
        <w:t>OCC EXHIBIT NO. ______</w:t>
      </w:r>
      <w:bookmarkEnd w:id="0"/>
      <w:bookmarkEnd w:id="1"/>
    </w:p>
    <w:p w:rsidR="00AA6FB9" w:rsidRDefault="00AA6FB9">
      <w:pPr>
        <w:pStyle w:val="BodyText"/>
      </w:pPr>
      <w:bookmarkStart w:id="3" w:name="_Toc249780368"/>
      <w:bookmarkStart w:id="4" w:name="_Toc249782095"/>
    </w:p>
    <w:p w:rsidR="00AA6FB9" w:rsidRDefault="009211D5">
      <w:pPr>
        <w:pStyle w:val="BodyText"/>
        <w:ind w:left="0"/>
        <w:jc w:val="center"/>
        <w:rPr>
          <w:b/>
        </w:rPr>
      </w:pPr>
      <w:r>
        <w:rPr>
          <w:b/>
        </w:rPr>
        <w:t>BEFORE</w:t>
      </w:r>
      <w:bookmarkEnd w:id="3"/>
      <w:bookmarkEnd w:id="4"/>
    </w:p>
    <w:p w:rsidR="00AA6FB9" w:rsidRDefault="009211D5">
      <w:pPr>
        <w:jc w:val="center"/>
        <w:rPr>
          <w:b/>
          <w:bCs/>
        </w:rPr>
      </w:pPr>
      <w:bookmarkStart w:id="5" w:name="_Toc249780369"/>
      <w:bookmarkStart w:id="6" w:name="_Toc249782096"/>
      <w:r>
        <w:rPr>
          <w:b/>
          <w:bCs/>
        </w:rPr>
        <w:t>THE PUBLIC UTILITIES COMMISSION OF OHIO</w:t>
      </w:r>
      <w:bookmarkEnd w:id="5"/>
      <w:bookmarkEnd w:id="6"/>
    </w:p>
    <w:p w:rsidR="00AA6FB9" w:rsidRDefault="00AA6FB9">
      <w:pPr>
        <w:jc w:val="center"/>
        <w:rPr>
          <w:b/>
          <w:bCs/>
        </w:rPr>
      </w:pPr>
    </w:p>
    <w:p w:rsidR="00AA6FB9" w:rsidRDefault="00AA6FB9">
      <w:pPr>
        <w:jc w:val="center"/>
        <w:rPr>
          <w:b/>
          <w:bCs/>
        </w:rPr>
      </w:pPr>
    </w:p>
    <w:tbl>
      <w:tblPr>
        <w:tblW w:w="9092" w:type="dxa"/>
        <w:jc w:val="center"/>
        <w:tblLook w:val="01E0" w:firstRow="1" w:lastRow="1" w:firstColumn="1" w:lastColumn="1" w:noHBand="0" w:noVBand="0"/>
      </w:tblPr>
      <w:tblGrid>
        <w:gridCol w:w="4332"/>
        <w:gridCol w:w="360"/>
        <w:gridCol w:w="4400"/>
      </w:tblGrid>
      <w:tr w:rsidR="00AA6FB9">
        <w:trPr>
          <w:trHeight w:val="807"/>
          <w:jc w:val="center"/>
        </w:trPr>
        <w:tc>
          <w:tcPr>
            <w:tcW w:w="4332" w:type="dxa"/>
          </w:tcPr>
          <w:p w:rsidR="00AA6FB9" w:rsidRDefault="009211D5">
            <w:pPr>
              <w:autoSpaceDE w:val="0"/>
              <w:autoSpaceDN w:val="0"/>
              <w:adjustRightInd w:val="0"/>
            </w:pPr>
            <w:r>
              <w:t xml:space="preserve">In the Matter of the Application </w:t>
            </w:r>
            <w:r w:rsidR="007C7553">
              <w:t>Seeking Approval of Ohio Power Company’s Proposal to Enter into an Affiliate Power Purchase Agreement for Inclusion in the Power Purchase Agreement Rider</w:t>
            </w:r>
            <w:r>
              <w:t xml:space="preserve"> </w:t>
            </w:r>
          </w:p>
          <w:p w:rsidR="00AA6FB9" w:rsidRDefault="00AA6FB9">
            <w:pPr>
              <w:autoSpaceDE w:val="0"/>
              <w:autoSpaceDN w:val="0"/>
              <w:adjustRightInd w:val="0"/>
            </w:pPr>
          </w:p>
          <w:p w:rsidR="00AA6FB9" w:rsidRDefault="009211D5" w:rsidP="007C7553">
            <w:pPr>
              <w:autoSpaceDE w:val="0"/>
              <w:autoSpaceDN w:val="0"/>
              <w:adjustRightInd w:val="0"/>
            </w:pPr>
            <w:r>
              <w:t xml:space="preserve">In the Matter of the Application of </w:t>
            </w:r>
            <w:r w:rsidR="007C7553">
              <w:t xml:space="preserve">Ohio Power Company for Approval of Certain Accounting Authority </w:t>
            </w:r>
          </w:p>
        </w:tc>
        <w:tc>
          <w:tcPr>
            <w:tcW w:w="360" w:type="dxa"/>
          </w:tcPr>
          <w:p w:rsidR="00AA6FB9" w:rsidRDefault="009211D5">
            <w:pPr>
              <w:pStyle w:val="HTMLPreformatted"/>
              <w:rPr>
                <w:rFonts w:ascii="Times New Roman" w:hAnsi="Times New Roman"/>
                <w:sz w:val="24"/>
                <w:szCs w:val="24"/>
              </w:rPr>
            </w:pPr>
            <w:r>
              <w:rPr>
                <w:rFonts w:ascii="Times New Roman" w:hAnsi="Times New Roman"/>
                <w:sz w:val="24"/>
                <w:szCs w:val="24"/>
              </w:rPr>
              <w:t>)</w:t>
            </w:r>
          </w:p>
          <w:p w:rsidR="00AA6FB9" w:rsidRDefault="009211D5">
            <w:pPr>
              <w:pStyle w:val="HTMLPreformatted"/>
              <w:rPr>
                <w:rFonts w:ascii="Times New Roman" w:hAnsi="Times New Roman"/>
                <w:sz w:val="24"/>
                <w:szCs w:val="24"/>
              </w:rPr>
            </w:pPr>
            <w:r>
              <w:rPr>
                <w:rFonts w:ascii="Times New Roman" w:hAnsi="Times New Roman"/>
                <w:sz w:val="24"/>
                <w:szCs w:val="24"/>
              </w:rPr>
              <w:t>)</w:t>
            </w:r>
          </w:p>
          <w:p w:rsidR="00AA6FB9" w:rsidRDefault="009211D5">
            <w:pPr>
              <w:pStyle w:val="HTMLPreformatted"/>
              <w:rPr>
                <w:rFonts w:ascii="Times New Roman" w:hAnsi="Times New Roman"/>
                <w:sz w:val="24"/>
                <w:szCs w:val="24"/>
              </w:rPr>
            </w:pPr>
            <w:r>
              <w:rPr>
                <w:rFonts w:ascii="Times New Roman" w:hAnsi="Times New Roman"/>
                <w:sz w:val="24"/>
                <w:szCs w:val="24"/>
              </w:rPr>
              <w:t>)</w:t>
            </w:r>
          </w:p>
          <w:p w:rsidR="00AA6FB9" w:rsidRDefault="009211D5">
            <w:pPr>
              <w:pStyle w:val="HTMLPreformatted"/>
              <w:rPr>
                <w:rFonts w:ascii="Times New Roman" w:hAnsi="Times New Roman"/>
                <w:sz w:val="24"/>
                <w:szCs w:val="24"/>
              </w:rPr>
            </w:pPr>
            <w:r>
              <w:rPr>
                <w:rFonts w:ascii="Times New Roman" w:hAnsi="Times New Roman"/>
                <w:sz w:val="24"/>
                <w:szCs w:val="24"/>
              </w:rPr>
              <w:t>)</w:t>
            </w:r>
          </w:p>
          <w:p w:rsidR="00AA6FB9" w:rsidRDefault="00AA6FB9">
            <w:pPr>
              <w:pStyle w:val="HTMLPreformatted"/>
              <w:rPr>
                <w:rFonts w:ascii="Times New Roman" w:hAnsi="Times New Roman"/>
                <w:sz w:val="24"/>
                <w:szCs w:val="24"/>
              </w:rPr>
            </w:pPr>
          </w:p>
          <w:p w:rsidR="00AA6FB9" w:rsidRDefault="009211D5">
            <w:pPr>
              <w:pStyle w:val="HTMLPreformatted"/>
              <w:rPr>
                <w:rFonts w:ascii="Times New Roman" w:hAnsi="Times New Roman"/>
                <w:sz w:val="24"/>
                <w:szCs w:val="24"/>
              </w:rPr>
            </w:pPr>
            <w:r>
              <w:rPr>
                <w:rFonts w:ascii="Times New Roman" w:hAnsi="Times New Roman"/>
                <w:sz w:val="24"/>
                <w:szCs w:val="24"/>
              </w:rPr>
              <w:t>)</w:t>
            </w:r>
          </w:p>
          <w:p w:rsidR="00AA6FB9" w:rsidRDefault="009211D5">
            <w:pPr>
              <w:pStyle w:val="HTMLPreformatted"/>
              <w:rPr>
                <w:rFonts w:ascii="Times New Roman" w:hAnsi="Times New Roman"/>
                <w:sz w:val="24"/>
                <w:szCs w:val="24"/>
              </w:rPr>
            </w:pPr>
            <w:r>
              <w:rPr>
                <w:rFonts w:ascii="Times New Roman" w:hAnsi="Times New Roman"/>
                <w:sz w:val="24"/>
                <w:szCs w:val="24"/>
              </w:rPr>
              <w:t>)</w:t>
            </w:r>
          </w:p>
          <w:p w:rsidR="00AA6FB9" w:rsidRDefault="009211D5">
            <w:pPr>
              <w:pStyle w:val="HTMLPreformatted"/>
              <w:rPr>
                <w:rFonts w:ascii="Times New Roman" w:hAnsi="Times New Roman"/>
                <w:sz w:val="24"/>
                <w:szCs w:val="24"/>
              </w:rPr>
            </w:pPr>
            <w:r>
              <w:rPr>
                <w:rFonts w:ascii="Times New Roman" w:hAnsi="Times New Roman"/>
                <w:sz w:val="24"/>
                <w:szCs w:val="24"/>
              </w:rPr>
              <w:t>)</w:t>
            </w:r>
          </w:p>
          <w:p w:rsidR="00AA6FB9" w:rsidRDefault="009211D5">
            <w:pPr>
              <w:pStyle w:val="HTMLPreformatted"/>
              <w:rPr>
                <w:rFonts w:ascii="Times New Roman" w:hAnsi="Times New Roman"/>
                <w:sz w:val="24"/>
                <w:szCs w:val="24"/>
              </w:rPr>
            </w:pPr>
            <w:r>
              <w:rPr>
                <w:rFonts w:ascii="Times New Roman" w:hAnsi="Times New Roman"/>
                <w:sz w:val="24"/>
                <w:szCs w:val="24"/>
              </w:rPr>
              <w:t>)</w:t>
            </w:r>
          </w:p>
        </w:tc>
        <w:tc>
          <w:tcPr>
            <w:tcW w:w="4400" w:type="dxa"/>
          </w:tcPr>
          <w:p w:rsidR="00AA6FB9" w:rsidRDefault="00AA6FB9">
            <w:pPr>
              <w:pStyle w:val="HTMLPreformatted"/>
              <w:rPr>
                <w:rFonts w:ascii="Times New Roman" w:hAnsi="Times New Roman"/>
                <w:sz w:val="24"/>
                <w:szCs w:val="24"/>
                <w:lang w:val="es-ES"/>
              </w:rPr>
            </w:pPr>
          </w:p>
          <w:p w:rsidR="00565748" w:rsidRDefault="00565748">
            <w:pPr>
              <w:autoSpaceDE w:val="0"/>
              <w:autoSpaceDN w:val="0"/>
              <w:adjustRightInd w:val="0"/>
              <w:rPr>
                <w:lang w:val="es-ES"/>
              </w:rPr>
            </w:pPr>
          </w:p>
          <w:p w:rsidR="00AA6FB9" w:rsidRDefault="009211D5">
            <w:pPr>
              <w:autoSpaceDE w:val="0"/>
              <w:autoSpaceDN w:val="0"/>
              <w:adjustRightInd w:val="0"/>
              <w:rPr>
                <w:lang w:val="es-ES"/>
              </w:rPr>
            </w:pPr>
            <w:r>
              <w:rPr>
                <w:lang w:val="es-ES"/>
              </w:rPr>
              <w:t>Case No. 1</w:t>
            </w:r>
            <w:r w:rsidR="007C7553">
              <w:rPr>
                <w:lang w:val="es-ES"/>
              </w:rPr>
              <w:t>4</w:t>
            </w:r>
            <w:r>
              <w:rPr>
                <w:lang w:val="es-ES"/>
              </w:rPr>
              <w:t>-</w:t>
            </w:r>
            <w:r w:rsidR="007C7553">
              <w:rPr>
                <w:lang w:val="es-ES"/>
              </w:rPr>
              <w:t>1693</w:t>
            </w:r>
            <w:r>
              <w:rPr>
                <w:lang w:val="es-ES"/>
              </w:rPr>
              <w:t>-EL-RDR</w:t>
            </w:r>
          </w:p>
          <w:p w:rsidR="00AA6FB9" w:rsidRDefault="00AA6FB9">
            <w:pPr>
              <w:pStyle w:val="HTMLPreformatted"/>
              <w:rPr>
                <w:rFonts w:ascii="Times New Roman" w:hAnsi="Times New Roman"/>
                <w:sz w:val="24"/>
                <w:szCs w:val="24"/>
                <w:lang w:val="es-ES"/>
              </w:rPr>
            </w:pPr>
          </w:p>
          <w:p w:rsidR="00AA6FB9" w:rsidRDefault="00AA6FB9">
            <w:pPr>
              <w:pStyle w:val="HTMLPreformatted"/>
              <w:rPr>
                <w:rFonts w:ascii="Times New Roman" w:hAnsi="Times New Roman"/>
                <w:sz w:val="24"/>
                <w:szCs w:val="24"/>
                <w:lang w:val="es-ES"/>
              </w:rPr>
            </w:pPr>
          </w:p>
          <w:p w:rsidR="00565748" w:rsidRDefault="00565748">
            <w:pPr>
              <w:pStyle w:val="HTMLPreformatted"/>
              <w:rPr>
                <w:rFonts w:ascii="Times New Roman" w:hAnsi="Times New Roman"/>
                <w:sz w:val="24"/>
                <w:szCs w:val="24"/>
                <w:lang w:val="es-ES"/>
              </w:rPr>
            </w:pPr>
          </w:p>
          <w:p w:rsidR="00AA6FB9" w:rsidRDefault="00AA6FB9">
            <w:pPr>
              <w:pStyle w:val="HTMLPreformatted"/>
            </w:pPr>
          </w:p>
          <w:p w:rsidR="00AA6FB9" w:rsidRDefault="009211D5">
            <w:pPr>
              <w:pStyle w:val="HTMLPreformatted"/>
              <w:rPr>
                <w:rFonts w:ascii="Times New Roman" w:hAnsi="Times New Roman"/>
                <w:sz w:val="24"/>
                <w:szCs w:val="24"/>
              </w:rPr>
            </w:pPr>
            <w:r>
              <w:rPr>
                <w:rFonts w:ascii="Times New Roman" w:hAnsi="Times New Roman"/>
                <w:sz w:val="24"/>
                <w:szCs w:val="24"/>
              </w:rPr>
              <w:t>Case No. 1</w:t>
            </w:r>
            <w:r w:rsidR="007C7553">
              <w:rPr>
                <w:rFonts w:ascii="Times New Roman" w:hAnsi="Times New Roman"/>
                <w:sz w:val="24"/>
                <w:szCs w:val="24"/>
              </w:rPr>
              <w:t>4</w:t>
            </w:r>
            <w:r>
              <w:rPr>
                <w:rFonts w:ascii="Times New Roman" w:hAnsi="Times New Roman"/>
                <w:sz w:val="24"/>
                <w:szCs w:val="24"/>
              </w:rPr>
              <w:t>-</w:t>
            </w:r>
            <w:r w:rsidR="007C7553">
              <w:rPr>
                <w:rFonts w:ascii="Times New Roman" w:hAnsi="Times New Roman"/>
                <w:sz w:val="24"/>
                <w:szCs w:val="24"/>
              </w:rPr>
              <w:t>1694</w:t>
            </w:r>
            <w:r>
              <w:rPr>
                <w:rFonts w:ascii="Times New Roman" w:hAnsi="Times New Roman"/>
                <w:sz w:val="24"/>
                <w:szCs w:val="24"/>
              </w:rPr>
              <w:t>-EL-AAM</w:t>
            </w:r>
          </w:p>
          <w:p w:rsidR="00AA6FB9" w:rsidRDefault="00AA6FB9">
            <w:pPr>
              <w:pStyle w:val="HTMLPreformatted"/>
            </w:pPr>
          </w:p>
          <w:p w:rsidR="00AA6FB9" w:rsidRDefault="00AA6FB9">
            <w:pPr>
              <w:pStyle w:val="HTMLPreformatted"/>
            </w:pPr>
          </w:p>
        </w:tc>
      </w:tr>
    </w:tbl>
    <w:p w:rsidR="00AA6FB9" w:rsidRDefault="00AA6FB9">
      <w:pPr>
        <w:pStyle w:val="Header"/>
        <w:rPr>
          <w:b/>
          <w:bCs/>
        </w:rPr>
      </w:pPr>
    </w:p>
    <w:p w:rsidR="00AA6FB9" w:rsidRDefault="00AA6FB9">
      <w:pPr>
        <w:pStyle w:val="Header"/>
        <w:rPr>
          <w:b/>
          <w:bCs/>
        </w:rPr>
      </w:pPr>
    </w:p>
    <w:p w:rsidR="00AA6FB9" w:rsidRDefault="00AA6FB9">
      <w:pPr>
        <w:pStyle w:val="Header"/>
        <w:rPr>
          <w:b/>
          <w:bCs/>
        </w:rPr>
      </w:pPr>
    </w:p>
    <w:p w:rsidR="00AA6FB9" w:rsidRDefault="00AA6FB9">
      <w:pPr>
        <w:pStyle w:val="Header"/>
        <w:rPr>
          <w:b/>
          <w:bCs/>
        </w:rPr>
      </w:pPr>
    </w:p>
    <w:p w:rsidR="00AA6FB9" w:rsidRDefault="009211D5">
      <w:pPr>
        <w:pStyle w:val="BodyText"/>
        <w:spacing w:line="240" w:lineRule="auto"/>
        <w:ind w:left="0"/>
        <w:jc w:val="center"/>
        <w:rPr>
          <w:b/>
        </w:rPr>
      </w:pPr>
      <w:r>
        <w:rPr>
          <w:b/>
        </w:rPr>
        <w:t>TESTIMONY</w:t>
      </w:r>
    </w:p>
    <w:p w:rsidR="00AA6FB9" w:rsidRDefault="009211D5">
      <w:pPr>
        <w:pStyle w:val="BodyText"/>
        <w:spacing w:line="240" w:lineRule="auto"/>
        <w:ind w:left="0"/>
        <w:jc w:val="center"/>
        <w:rPr>
          <w:b/>
          <w:bCs/>
        </w:rPr>
      </w:pPr>
      <w:r>
        <w:rPr>
          <w:b/>
          <w:bCs/>
        </w:rPr>
        <w:t>OF</w:t>
      </w:r>
    </w:p>
    <w:p w:rsidR="00AA6FB9" w:rsidRDefault="009211D5">
      <w:pPr>
        <w:pStyle w:val="List2"/>
        <w:ind w:left="540" w:hanging="540"/>
        <w:jc w:val="center"/>
        <w:rPr>
          <w:b/>
          <w:bCs/>
        </w:rPr>
      </w:pPr>
      <w:r>
        <w:rPr>
          <w:b/>
          <w:bCs/>
        </w:rPr>
        <w:t>DANIEL J. DUANN, Ph.D.</w:t>
      </w:r>
    </w:p>
    <w:p w:rsidR="00AA6FB9" w:rsidRDefault="00AA6FB9">
      <w:pPr>
        <w:pStyle w:val="List2"/>
        <w:ind w:left="540" w:hanging="540"/>
        <w:jc w:val="center"/>
      </w:pPr>
    </w:p>
    <w:p w:rsidR="00565748" w:rsidRDefault="00565748">
      <w:pPr>
        <w:pStyle w:val="List2"/>
        <w:ind w:left="540" w:hanging="540"/>
        <w:jc w:val="center"/>
      </w:pPr>
    </w:p>
    <w:p w:rsidR="00565748" w:rsidRDefault="00565748">
      <w:pPr>
        <w:pStyle w:val="List2"/>
        <w:ind w:left="540" w:hanging="540"/>
        <w:jc w:val="center"/>
      </w:pPr>
    </w:p>
    <w:p w:rsidR="00565748" w:rsidRDefault="00565748">
      <w:pPr>
        <w:pStyle w:val="List2"/>
        <w:ind w:left="540" w:hanging="540"/>
        <w:jc w:val="center"/>
      </w:pPr>
    </w:p>
    <w:p w:rsidR="00AA6FB9" w:rsidRDefault="009211D5">
      <w:pPr>
        <w:jc w:val="center"/>
        <w:rPr>
          <w:b/>
          <w:bCs/>
        </w:rPr>
      </w:pPr>
      <w:bookmarkStart w:id="7" w:name="_Toc249780371"/>
      <w:bookmarkStart w:id="8" w:name="_Toc249782097"/>
      <w:r>
        <w:rPr>
          <w:b/>
          <w:bCs/>
        </w:rPr>
        <w:t>On Behalf of</w:t>
      </w:r>
    </w:p>
    <w:p w:rsidR="00AA6FB9" w:rsidRDefault="009211D5">
      <w:pPr>
        <w:jc w:val="center"/>
        <w:rPr>
          <w:b/>
          <w:bCs/>
          <w:caps/>
        </w:rPr>
      </w:pPr>
      <w:r>
        <w:rPr>
          <w:b/>
          <w:bCs/>
        </w:rPr>
        <w:t>The Office of the Ohio Consumers’ Counsel</w:t>
      </w:r>
    </w:p>
    <w:p w:rsidR="00AA6FB9" w:rsidRDefault="009211D5">
      <w:pPr>
        <w:jc w:val="center"/>
        <w:rPr>
          <w:i/>
          <w:iCs/>
        </w:rPr>
      </w:pPr>
      <w:r>
        <w:rPr>
          <w:i/>
          <w:iCs/>
        </w:rPr>
        <w:t>10 West Broad Street, Suite 1800</w:t>
      </w:r>
    </w:p>
    <w:p w:rsidR="00AA6FB9" w:rsidRDefault="009211D5">
      <w:pPr>
        <w:jc w:val="center"/>
        <w:rPr>
          <w:i/>
          <w:iCs/>
        </w:rPr>
      </w:pPr>
      <w:r>
        <w:rPr>
          <w:i/>
          <w:iCs/>
        </w:rPr>
        <w:t>Columbus, Ohio43215-3485</w:t>
      </w:r>
    </w:p>
    <w:bookmarkEnd w:id="7"/>
    <w:bookmarkEnd w:id="8"/>
    <w:p w:rsidR="00AA6FB9" w:rsidRDefault="00AA6FB9">
      <w:pPr>
        <w:jc w:val="center"/>
      </w:pPr>
    </w:p>
    <w:p w:rsidR="00AA6FB9" w:rsidRDefault="00AA6FB9">
      <w:pPr>
        <w:jc w:val="center"/>
      </w:pPr>
    </w:p>
    <w:p w:rsidR="00AA6FB9" w:rsidRDefault="00AA6FB9">
      <w:pPr>
        <w:jc w:val="center"/>
      </w:pPr>
    </w:p>
    <w:p w:rsidR="00AA6FB9" w:rsidRPr="00565748" w:rsidRDefault="00565748">
      <w:pPr>
        <w:jc w:val="center"/>
        <w:rPr>
          <w:b/>
          <w:bCs/>
          <w:iCs/>
        </w:rPr>
      </w:pPr>
      <w:r w:rsidRPr="00565748">
        <w:rPr>
          <w:b/>
          <w:bCs/>
          <w:iCs/>
        </w:rPr>
        <w:t>SEPTEMBER 11. 2015</w:t>
      </w:r>
    </w:p>
    <w:p w:rsidR="00AA6FB9" w:rsidRDefault="00AA6FB9">
      <w:pPr>
        <w:jc w:val="center"/>
        <w:rPr>
          <w:b/>
          <w:bCs/>
          <w:i/>
          <w:iCs/>
        </w:rPr>
        <w:sectPr w:rsidR="00AA6FB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p>
    <w:p w:rsidR="00AA6FB9" w:rsidRDefault="00AA6FB9">
      <w:pPr>
        <w:pStyle w:val="BodyText"/>
        <w:ind w:left="0"/>
      </w:pPr>
    </w:p>
    <w:p w:rsidR="00AA6FB9" w:rsidRDefault="009211D5">
      <w:pPr>
        <w:pStyle w:val="TOC1"/>
        <w:rPr>
          <w:b/>
        </w:rPr>
      </w:pPr>
      <w:r>
        <w:rPr>
          <w:b/>
        </w:rPr>
        <w:t>LIST OF ATTACHMENTS</w:t>
      </w:r>
    </w:p>
    <w:p w:rsidR="00AA6FB9" w:rsidRDefault="009211D5">
      <w:pPr>
        <w:pStyle w:val="BodyText"/>
        <w:ind w:left="0"/>
      </w:pPr>
      <w:r>
        <w:t xml:space="preserve">Attachment </w:t>
      </w:r>
      <w:r w:rsidR="00192243">
        <w:t>DJD-</w:t>
      </w:r>
      <w:r w:rsidR="00FE2848">
        <w:t>1</w:t>
      </w:r>
    </w:p>
    <w:p w:rsidR="00AA6FB9" w:rsidRDefault="005A2C01" w:rsidP="005A2C01">
      <w:pPr>
        <w:pStyle w:val="BodyText"/>
        <w:ind w:left="0"/>
        <w:sectPr w:rsidR="00AA6FB9">
          <w:headerReference w:type="even" r:id="rId14"/>
          <w:headerReference w:type="default" r:id="rId15"/>
          <w:headerReference w:type="first" r:id="rId16"/>
          <w:footerReference w:type="first" r:id="rId17"/>
          <w:pgSz w:w="12240" w:h="15840"/>
          <w:pgMar w:top="1440" w:right="1800" w:bottom="1440" w:left="1800" w:header="720" w:footer="720" w:gutter="0"/>
          <w:cols w:space="720"/>
          <w:titlePg/>
          <w:docGrid w:linePitch="360"/>
        </w:sectPr>
      </w:pPr>
      <w:r>
        <w:t>Attachment DJD-2</w:t>
      </w:r>
      <w:r w:rsidR="00FC14CB">
        <w:t xml:space="preserve"> </w:t>
      </w:r>
    </w:p>
    <w:p w:rsidR="00AA6FB9" w:rsidRDefault="009211D5">
      <w:pPr>
        <w:autoSpaceDE w:val="0"/>
        <w:autoSpaceDN w:val="0"/>
        <w:adjustRightInd w:val="0"/>
        <w:spacing w:line="480" w:lineRule="auto"/>
        <w:rPr>
          <w:b/>
          <w:bCs/>
          <w:i/>
          <w:iCs/>
        </w:rPr>
      </w:pPr>
      <w:r>
        <w:rPr>
          <w:b/>
          <w:bCs/>
          <w:i/>
          <w:iCs/>
        </w:rPr>
        <w:lastRenderedPageBreak/>
        <w:t>Q1.</w:t>
      </w:r>
      <w:r>
        <w:rPr>
          <w:b/>
          <w:bCs/>
          <w:i/>
          <w:iCs/>
        </w:rPr>
        <w:tab/>
        <w:t>PLEASE STATE YOUR NAME, BUSINESS ADDRESS AND POSITION.</w:t>
      </w:r>
    </w:p>
    <w:p w:rsidR="00AA6FB9" w:rsidRDefault="009211D5">
      <w:pPr>
        <w:autoSpaceDE w:val="0"/>
        <w:autoSpaceDN w:val="0"/>
        <w:adjustRightInd w:val="0"/>
        <w:spacing w:line="480" w:lineRule="auto"/>
        <w:ind w:left="720" w:hanging="720"/>
      </w:pPr>
      <w:r>
        <w:rPr>
          <w:b/>
          <w:bCs/>
          <w:i/>
          <w:iCs/>
        </w:rPr>
        <w:t>A1.</w:t>
      </w:r>
      <w:r>
        <w:rPr>
          <w:b/>
          <w:bCs/>
          <w:i/>
          <w:iCs/>
        </w:rPr>
        <w:tab/>
      </w:r>
      <w:r>
        <w:t>My name is Daniel J. Duann.  My business address is 10 West Broad Street, Suite 1800, Columbus, Ohio, 43215-3485.  I am a Principal Regulatory Analyst with the Office of the Ohio Consumers’ Counsel (“OCC”).</w:t>
      </w:r>
    </w:p>
    <w:p w:rsidR="00AA6FB9" w:rsidRDefault="00AA6FB9">
      <w:pPr>
        <w:autoSpaceDE w:val="0"/>
        <w:autoSpaceDN w:val="0"/>
        <w:adjustRightInd w:val="0"/>
        <w:spacing w:line="480" w:lineRule="auto"/>
        <w:ind w:left="720" w:hanging="720"/>
      </w:pPr>
    </w:p>
    <w:p w:rsidR="0076615E" w:rsidRDefault="0076615E" w:rsidP="0076615E">
      <w:pPr>
        <w:autoSpaceDE w:val="0"/>
        <w:autoSpaceDN w:val="0"/>
        <w:adjustRightInd w:val="0"/>
        <w:spacing w:line="480" w:lineRule="auto"/>
        <w:ind w:left="720" w:hanging="720"/>
        <w:rPr>
          <w:b/>
          <w:bCs/>
        </w:rPr>
      </w:pPr>
      <w:r>
        <w:rPr>
          <w:b/>
          <w:bCs/>
          <w:i/>
          <w:iCs/>
        </w:rPr>
        <w:t>Q2.</w:t>
      </w:r>
      <w:r>
        <w:rPr>
          <w:b/>
          <w:bCs/>
          <w:i/>
          <w:iCs/>
        </w:rPr>
        <w:tab/>
        <w:t>PLEASE DESCRIBE YOUR EDUCATIONAL BACKGROUND AND PROFESSIONAL EXPERIENCE.</w:t>
      </w:r>
    </w:p>
    <w:p w:rsidR="0076615E" w:rsidRDefault="0076615E" w:rsidP="0076615E">
      <w:pPr>
        <w:autoSpaceDE w:val="0"/>
        <w:autoSpaceDN w:val="0"/>
        <w:adjustRightInd w:val="0"/>
        <w:spacing w:line="480" w:lineRule="auto"/>
        <w:ind w:left="720" w:hanging="720"/>
      </w:pPr>
      <w:r>
        <w:rPr>
          <w:b/>
          <w:bCs/>
          <w:i/>
          <w:iCs/>
        </w:rPr>
        <w:t>A2.</w:t>
      </w:r>
      <w:r>
        <w:rPr>
          <w:b/>
          <w:bCs/>
          <w:i/>
          <w:iCs/>
        </w:rPr>
        <w:tab/>
      </w:r>
      <w:r>
        <w:t>I received my Ph.D. degree in public policy analysis from the Wharton School, University of Pennsylvania.  I also have a M.S. degree in energy management and policy from the University of Pennsylvania</w:t>
      </w:r>
      <w:r w:rsidR="003C3F00">
        <w:t>,</w:t>
      </w:r>
      <w:r>
        <w:t xml:space="preserve"> and a M.A. degree in economics from the University of Kansas.  I completed my undergraduate study in business administration at the National Taiwan University, Taiwan, Republic of China.  I was conferred by the Society of Utility and Regulatory Financial Analysts as a Certified Rate of Return Analyst in April 2011.</w:t>
      </w:r>
    </w:p>
    <w:p w:rsidR="0076615E" w:rsidRDefault="0076615E" w:rsidP="0076615E">
      <w:pPr>
        <w:autoSpaceDE w:val="0"/>
        <w:autoSpaceDN w:val="0"/>
        <w:adjustRightInd w:val="0"/>
        <w:spacing w:line="480" w:lineRule="auto"/>
        <w:ind w:left="720" w:hanging="720"/>
      </w:pPr>
    </w:p>
    <w:p w:rsidR="0076615E" w:rsidRDefault="0076615E" w:rsidP="0076615E">
      <w:pPr>
        <w:autoSpaceDE w:val="0"/>
        <w:autoSpaceDN w:val="0"/>
        <w:adjustRightInd w:val="0"/>
        <w:spacing w:line="480" w:lineRule="auto"/>
        <w:ind w:left="720"/>
      </w:pPr>
      <w:r>
        <w:t xml:space="preserve">I was a Utility Examiner II in the Forecasting Section of the Ohio Division of Energy, Ohio Department of Development, from 1983 to 1985.  From 1985 to 1986, I was an Economist with the Center of Health Policy Research at the American Medical Association in Chicago.  In late 1986, I joined the Illinois Commerce Commission as a Senior Economist </w:t>
      </w:r>
      <w:r w:rsidR="00FE2848">
        <w:t>at</w:t>
      </w:r>
      <w:r>
        <w:t xml:space="preserve"> its Policy Analysis and Research Division.  I was employed as a Senior Institute Economist at the National Regulatory Research Institute (“NRRI”) at The Ohio State University from 1987 to 1995.  My work at NRRI involved many areas of utility regulation and energy policy.  I was an independent business consultant from 1996 to 2007.</w:t>
      </w:r>
    </w:p>
    <w:p w:rsidR="0076615E" w:rsidRDefault="0076615E" w:rsidP="0076615E">
      <w:pPr>
        <w:autoSpaceDE w:val="0"/>
        <w:autoSpaceDN w:val="0"/>
        <w:adjustRightInd w:val="0"/>
        <w:spacing w:line="480" w:lineRule="auto"/>
        <w:ind w:left="720"/>
      </w:pPr>
    </w:p>
    <w:p w:rsidR="0076615E" w:rsidRDefault="0076615E" w:rsidP="0076615E">
      <w:pPr>
        <w:autoSpaceDE w:val="0"/>
        <w:autoSpaceDN w:val="0"/>
        <w:adjustRightInd w:val="0"/>
        <w:spacing w:line="480" w:lineRule="auto"/>
        <w:ind w:left="720"/>
      </w:pPr>
      <w:r>
        <w:t>I joined the OCC in January 2008 as a Senior Regulatory Analyst.  I was promoted to my current position in November 2011.  My responsibilities are to assist the OCC by participating in various regulatory proceedings before the Public Utilities Commission of Ohio (“PUCO”</w:t>
      </w:r>
      <w:r w:rsidR="00814B12">
        <w:t xml:space="preserve"> or “Commission”</w:t>
      </w:r>
      <w:r>
        <w:t>).  These proceedings include rate cases, alternative regulation, fuel cost recovery, service reliability, and other types of filings by Ohio’s electric, gas, and water companies.</w:t>
      </w:r>
    </w:p>
    <w:p w:rsidR="0076615E" w:rsidRDefault="0076615E" w:rsidP="0076615E">
      <w:pPr>
        <w:autoSpaceDE w:val="0"/>
        <w:autoSpaceDN w:val="0"/>
        <w:adjustRightInd w:val="0"/>
        <w:spacing w:line="480" w:lineRule="auto"/>
      </w:pPr>
    </w:p>
    <w:p w:rsidR="0076615E" w:rsidRDefault="0076615E" w:rsidP="0076615E">
      <w:pPr>
        <w:autoSpaceDE w:val="0"/>
        <w:autoSpaceDN w:val="0"/>
        <w:adjustRightInd w:val="0"/>
        <w:spacing w:line="480" w:lineRule="auto"/>
        <w:ind w:left="720" w:hanging="720"/>
      </w:pPr>
      <w:r>
        <w:rPr>
          <w:b/>
          <w:bCs/>
          <w:i/>
          <w:iCs/>
        </w:rPr>
        <w:t>Q3.</w:t>
      </w:r>
      <w:r>
        <w:rPr>
          <w:b/>
          <w:bCs/>
          <w:i/>
          <w:iCs/>
        </w:rPr>
        <w:tab/>
        <w:t>HAVE YOU PREVIOUSLY SUBMITTED TESTIMONY OR TESTIFIED BEFORE THE PUBLIC UTILITIES COMMISSION OF OHIO?</w:t>
      </w:r>
    </w:p>
    <w:p w:rsidR="0076615E" w:rsidRDefault="0076615E" w:rsidP="0076615E">
      <w:pPr>
        <w:autoSpaceDE w:val="0"/>
        <w:autoSpaceDN w:val="0"/>
        <w:adjustRightInd w:val="0"/>
        <w:spacing w:line="480" w:lineRule="auto"/>
        <w:ind w:left="720" w:hanging="720"/>
      </w:pPr>
      <w:r>
        <w:rPr>
          <w:b/>
          <w:bCs/>
          <w:i/>
          <w:iCs/>
        </w:rPr>
        <w:t>A3.</w:t>
      </w:r>
      <w:r>
        <w:tab/>
        <w:t>Yes.  I have submitted expert testimony on behalf of the OCC before the PUCO in a number of cases involving electric, gas, and water utilities.  A list of these cases is included in Attachment DJD-1.</w:t>
      </w:r>
    </w:p>
    <w:p w:rsidR="0076615E" w:rsidRDefault="0076615E" w:rsidP="0076615E">
      <w:pPr>
        <w:autoSpaceDE w:val="0"/>
        <w:autoSpaceDN w:val="0"/>
        <w:adjustRightInd w:val="0"/>
        <w:spacing w:line="480" w:lineRule="auto"/>
        <w:ind w:left="720" w:hanging="720"/>
      </w:pPr>
    </w:p>
    <w:p w:rsidR="0076615E" w:rsidRDefault="0076615E" w:rsidP="0076615E">
      <w:pPr>
        <w:autoSpaceDE w:val="0"/>
        <w:autoSpaceDN w:val="0"/>
        <w:adjustRightInd w:val="0"/>
        <w:spacing w:line="480" w:lineRule="auto"/>
        <w:ind w:left="720" w:hanging="720"/>
        <w:rPr>
          <w:b/>
          <w:bCs/>
          <w:i/>
          <w:iCs/>
        </w:rPr>
      </w:pPr>
      <w:r>
        <w:rPr>
          <w:b/>
          <w:bCs/>
          <w:i/>
          <w:iCs/>
        </w:rPr>
        <w:t>Q4.</w:t>
      </w:r>
      <w:r>
        <w:rPr>
          <w:b/>
          <w:bCs/>
          <w:i/>
          <w:iCs/>
        </w:rPr>
        <w:tab/>
        <w:t>WHAT ARE YOUR QUALIFICATIONS IN REGARD TO YOUR TESTIMONY IN THIS PROCEEDING?</w:t>
      </w:r>
    </w:p>
    <w:p w:rsidR="0076615E" w:rsidRDefault="0076615E" w:rsidP="0076615E">
      <w:pPr>
        <w:autoSpaceDE w:val="0"/>
        <w:autoSpaceDN w:val="0"/>
        <w:adjustRightInd w:val="0"/>
        <w:spacing w:line="480" w:lineRule="auto"/>
        <w:ind w:left="720" w:hanging="720"/>
      </w:pPr>
      <w:r>
        <w:rPr>
          <w:b/>
          <w:bCs/>
          <w:i/>
          <w:iCs/>
        </w:rPr>
        <w:t>A4.</w:t>
      </w:r>
      <w:r>
        <w:rPr>
          <w:b/>
          <w:bCs/>
          <w:i/>
          <w:iCs/>
        </w:rPr>
        <w:tab/>
      </w:r>
      <w:r>
        <w:t xml:space="preserve">I am a trained economist with over twenty-five years of experience in studying and analyzing the regulation of public utilities in the United States.  A list of my selected professional publications is included in Attachment DJD-2.  I have directly participated in many public utility proceedings in Ohio and Illinois.  I am familiar with </w:t>
      </w:r>
      <w:r w:rsidR="00561333">
        <w:t xml:space="preserve">many </w:t>
      </w:r>
      <w:r>
        <w:t>r</w:t>
      </w:r>
      <w:r w:rsidR="00814B12">
        <w:t xml:space="preserve">egulatory and policy issues </w:t>
      </w:r>
      <w:r>
        <w:t xml:space="preserve">related to the </w:t>
      </w:r>
      <w:r w:rsidR="00D8447C">
        <w:t xml:space="preserve">cost of capital, fuel cost adjustment, </w:t>
      </w:r>
      <w:r w:rsidR="00814B12">
        <w:t xml:space="preserve">standard service offerings, </w:t>
      </w:r>
      <w:r w:rsidR="00D8447C">
        <w:t xml:space="preserve">and </w:t>
      </w:r>
      <w:r>
        <w:t xml:space="preserve">authorization </w:t>
      </w:r>
      <w:r w:rsidR="00561333">
        <w:t xml:space="preserve">and amortization </w:t>
      </w:r>
      <w:r>
        <w:t xml:space="preserve">of deferrals </w:t>
      </w:r>
      <w:r w:rsidR="00561333">
        <w:t xml:space="preserve">by </w:t>
      </w:r>
      <w:r>
        <w:t>electric utilities in Ohio.</w:t>
      </w:r>
    </w:p>
    <w:p w:rsidR="0076615E" w:rsidRDefault="0076615E" w:rsidP="0076615E">
      <w:pPr>
        <w:autoSpaceDE w:val="0"/>
        <w:autoSpaceDN w:val="0"/>
        <w:adjustRightInd w:val="0"/>
        <w:spacing w:line="480" w:lineRule="auto"/>
        <w:ind w:left="720" w:hanging="720"/>
      </w:pPr>
    </w:p>
    <w:p w:rsidR="00AA6FB9" w:rsidRDefault="009211D5">
      <w:pPr>
        <w:spacing w:line="480" w:lineRule="auto"/>
        <w:ind w:left="720" w:hanging="720"/>
        <w:rPr>
          <w:b/>
          <w:bCs/>
          <w:i/>
          <w:iCs/>
        </w:rPr>
      </w:pPr>
      <w:r>
        <w:rPr>
          <w:b/>
          <w:bCs/>
          <w:i/>
        </w:rPr>
        <w:t>Q</w:t>
      </w:r>
      <w:r w:rsidR="0076615E">
        <w:rPr>
          <w:b/>
          <w:bCs/>
          <w:i/>
        </w:rPr>
        <w:t>5</w:t>
      </w:r>
      <w:r w:rsidR="00F37EEA">
        <w:rPr>
          <w:b/>
          <w:i/>
        </w:rPr>
        <w:t>.</w:t>
      </w:r>
      <w:r>
        <w:rPr>
          <w:b/>
          <w:i/>
        </w:rPr>
        <w:tab/>
      </w:r>
      <w:r>
        <w:rPr>
          <w:b/>
          <w:bCs/>
          <w:i/>
          <w:iCs/>
        </w:rPr>
        <w:t>WHAT IS THE PURPOSE OF YOUR TESTIMONY IN THIS PROCEEDING?</w:t>
      </w:r>
    </w:p>
    <w:p w:rsidR="00985807" w:rsidRDefault="009211D5" w:rsidP="00AD1D2A">
      <w:pPr>
        <w:spacing w:line="480" w:lineRule="auto"/>
        <w:ind w:left="720" w:hanging="720"/>
      </w:pPr>
      <w:r>
        <w:rPr>
          <w:b/>
          <w:bCs/>
          <w:i/>
        </w:rPr>
        <w:t>A</w:t>
      </w:r>
      <w:r w:rsidR="0076615E">
        <w:rPr>
          <w:b/>
          <w:bCs/>
          <w:i/>
        </w:rPr>
        <w:t>5</w:t>
      </w:r>
      <w:r>
        <w:rPr>
          <w:b/>
          <w:bCs/>
          <w:i/>
        </w:rPr>
        <w:t>.</w:t>
      </w:r>
      <w:r>
        <w:tab/>
      </w:r>
      <w:r w:rsidR="00E47176">
        <w:t>The purpose of m</w:t>
      </w:r>
      <w:r w:rsidR="00961E01">
        <w:t>y testimony</w:t>
      </w:r>
      <w:r w:rsidR="00E47176">
        <w:t xml:space="preserve"> is to </w:t>
      </w:r>
      <w:r w:rsidR="0044680D">
        <w:t xml:space="preserve">explain and support OCC’s position </w:t>
      </w:r>
      <w:r w:rsidR="00E47176">
        <w:t xml:space="preserve">regarding the proposed </w:t>
      </w:r>
      <w:r w:rsidR="003C3F00">
        <w:t xml:space="preserve">Power </w:t>
      </w:r>
      <w:r w:rsidR="00E47176">
        <w:t xml:space="preserve">Purchase Agreement Rider (“PPA Rider”) and related requests by Ohio Power Company (“AEP Ohio”, “Ohio Power” or “Utility”).  Other OCC witnesses may address similar or different issues related to </w:t>
      </w:r>
      <w:r w:rsidR="00F37EEA">
        <w:t>the proposed PPA Rider.</w:t>
      </w:r>
    </w:p>
    <w:p w:rsidR="00985807" w:rsidRDefault="00985807" w:rsidP="00AD1D2A">
      <w:pPr>
        <w:spacing w:line="480" w:lineRule="auto"/>
        <w:ind w:left="720"/>
      </w:pPr>
    </w:p>
    <w:p w:rsidR="00D2082E" w:rsidRDefault="00044DAC" w:rsidP="00AD1D2A">
      <w:pPr>
        <w:spacing w:line="480" w:lineRule="auto"/>
        <w:ind w:left="720"/>
      </w:pPr>
      <w:r>
        <w:t xml:space="preserve">Specifically, </w:t>
      </w:r>
      <w:r w:rsidR="009F01D4">
        <w:t xml:space="preserve">I </w:t>
      </w:r>
      <w:r w:rsidR="004E53E8">
        <w:t xml:space="preserve">will </w:t>
      </w:r>
      <w:r w:rsidR="00D2082E">
        <w:t>explain and support OCC’s position regarding the so-called “return on equity</w:t>
      </w:r>
      <w:r w:rsidR="00304857">
        <w:t>”</w:t>
      </w:r>
      <w:r w:rsidR="00D2082E">
        <w:t xml:space="preserve"> (</w:t>
      </w:r>
      <w:r w:rsidR="00304857">
        <w:t>“</w:t>
      </w:r>
      <w:r w:rsidR="00D2082E">
        <w:t>ROE</w:t>
      </w:r>
      <w:r w:rsidR="00304857">
        <w:t>”</w:t>
      </w:r>
      <w:r w:rsidR="00D2082E">
        <w:t>) to be used for the formula rate contract between Ohio Power and AEP Generation Resources, Inc.</w:t>
      </w:r>
      <w:r w:rsidR="00304857">
        <w:t>,</w:t>
      </w:r>
      <w:r w:rsidR="00D2082E">
        <w:t xml:space="preserve"> (“AEPGR”) if the proposed PPA Rider and related requests </w:t>
      </w:r>
      <w:r w:rsidR="00304857">
        <w:t xml:space="preserve">are </w:t>
      </w:r>
      <w:r w:rsidR="00D2082E">
        <w:t>approved by the Commission.</w:t>
      </w:r>
    </w:p>
    <w:p w:rsidR="00EB4939" w:rsidRDefault="00EB4939" w:rsidP="00147B0C">
      <w:pPr>
        <w:spacing w:line="480" w:lineRule="auto"/>
        <w:ind w:left="720"/>
      </w:pPr>
    </w:p>
    <w:p w:rsidR="00D8447C" w:rsidRDefault="00D8447C" w:rsidP="00D8447C">
      <w:pPr>
        <w:spacing w:line="480" w:lineRule="auto"/>
        <w:ind w:left="720" w:hanging="720"/>
        <w:rPr>
          <w:b/>
          <w:bCs/>
          <w:i/>
          <w:iCs/>
        </w:rPr>
      </w:pPr>
      <w:r>
        <w:rPr>
          <w:b/>
          <w:bCs/>
          <w:i/>
        </w:rPr>
        <w:t>Q6</w:t>
      </w:r>
      <w:r w:rsidR="00F37EEA">
        <w:rPr>
          <w:b/>
          <w:i/>
        </w:rPr>
        <w:t>.</w:t>
      </w:r>
      <w:r>
        <w:rPr>
          <w:b/>
          <w:i/>
        </w:rPr>
        <w:tab/>
        <w:t xml:space="preserve">PLEASE SUMMARIZE YOUR </w:t>
      </w:r>
      <w:r w:rsidR="004E53E8">
        <w:rPr>
          <w:b/>
          <w:i/>
        </w:rPr>
        <w:t>FINDINGS</w:t>
      </w:r>
      <w:r w:rsidR="00911A17">
        <w:rPr>
          <w:b/>
          <w:i/>
        </w:rPr>
        <w:t>.</w:t>
      </w:r>
    </w:p>
    <w:p w:rsidR="004E5E3C" w:rsidRDefault="00D8447C" w:rsidP="00911A17">
      <w:pPr>
        <w:spacing w:line="480" w:lineRule="auto"/>
        <w:ind w:left="720" w:hanging="720"/>
      </w:pPr>
      <w:r>
        <w:rPr>
          <w:b/>
          <w:bCs/>
          <w:i/>
        </w:rPr>
        <w:t>A6.</w:t>
      </w:r>
      <w:r w:rsidR="004E5E3C">
        <w:tab/>
        <w:t xml:space="preserve">Based on my years of experience as a regulatory economist and my understanding of the </w:t>
      </w:r>
      <w:r w:rsidR="00147B0C">
        <w:t xml:space="preserve">regulatory construct of electric service </w:t>
      </w:r>
      <w:r w:rsidR="004E5E3C">
        <w:t>in Ohio, I conclude th</w:t>
      </w:r>
      <w:r w:rsidR="00147B0C">
        <w:t>e following</w:t>
      </w:r>
      <w:r w:rsidR="00580F94">
        <w:t>:</w:t>
      </w:r>
    </w:p>
    <w:p w:rsidR="00147B0C" w:rsidRPr="00AD1D2A" w:rsidRDefault="00147B0C" w:rsidP="00406BD5">
      <w:pPr>
        <w:pStyle w:val="ListParagraph"/>
        <w:numPr>
          <w:ilvl w:val="0"/>
          <w:numId w:val="31"/>
        </w:numPr>
        <w:spacing w:line="480" w:lineRule="auto"/>
        <w:ind w:leftChars="0" w:left="2160" w:right="720" w:hanging="720"/>
        <w:rPr>
          <w:rFonts w:ascii="Times New Roman" w:hAnsi="Times New Roman"/>
        </w:rPr>
      </w:pPr>
      <w:r w:rsidRPr="00044DAC">
        <w:rPr>
          <w:rFonts w:ascii="Times New Roman" w:hAnsi="Times New Roman"/>
        </w:rPr>
        <w:t xml:space="preserve">The proposed PPA Rider </w:t>
      </w:r>
      <w:r w:rsidR="00DD374D" w:rsidRPr="00AD1D2A">
        <w:rPr>
          <w:rFonts w:ascii="Times New Roman" w:hAnsi="Times New Roman"/>
        </w:rPr>
        <w:t xml:space="preserve">and related requests </w:t>
      </w:r>
      <w:r w:rsidR="005A2C01" w:rsidRPr="00AD1D2A">
        <w:rPr>
          <w:rFonts w:ascii="Times New Roman" w:hAnsi="Times New Roman"/>
        </w:rPr>
        <w:t>by AEP Ohio</w:t>
      </w:r>
      <w:r w:rsidR="00545B23" w:rsidRPr="00AD1D2A">
        <w:rPr>
          <w:rFonts w:ascii="Times New Roman" w:hAnsi="Times New Roman"/>
        </w:rPr>
        <w:t>,</w:t>
      </w:r>
      <w:r w:rsidR="005A2C01" w:rsidRPr="00AD1D2A">
        <w:rPr>
          <w:rFonts w:ascii="Times New Roman" w:hAnsi="Times New Roman"/>
        </w:rPr>
        <w:t xml:space="preserve"> </w:t>
      </w:r>
      <w:r w:rsidRPr="00AD1D2A">
        <w:rPr>
          <w:rFonts w:ascii="Times New Roman" w:hAnsi="Times New Roman"/>
        </w:rPr>
        <w:t xml:space="preserve">for </w:t>
      </w:r>
      <w:r w:rsidR="005A2C01" w:rsidRPr="00AD1D2A">
        <w:rPr>
          <w:rFonts w:ascii="Times New Roman" w:hAnsi="Times New Roman"/>
        </w:rPr>
        <w:t xml:space="preserve">the electricity produced by </w:t>
      </w:r>
      <w:r w:rsidRPr="00AD1D2A">
        <w:rPr>
          <w:rFonts w:ascii="Times New Roman" w:hAnsi="Times New Roman"/>
        </w:rPr>
        <w:t xml:space="preserve">a </w:t>
      </w:r>
      <w:r w:rsidR="003C3F00" w:rsidRPr="00AD1D2A">
        <w:rPr>
          <w:rFonts w:ascii="Times New Roman" w:hAnsi="Times New Roman"/>
        </w:rPr>
        <w:t xml:space="preserve">selected </w:t>
      </w:r>
      <w:r w:rsidRPr="00AD1D2A">
        <w:rPr>
          <w:rFonts w:ascii="Times New Roman" w:hAnsi="Times New Roman"/>
        </w:rPr>
        <w:t xml:space="preserve">portion of </w:t>
      </w:r>
      <w:r w:rsidR="00DD374D" w:rsidRPr="00AD1D2A">
        <w:rPr>
          <w:rFonts w:ascii="Times New Roman" w:hAnsi="Times New Roman"/>
        </w:rPr>
        <w:t xml:space="preserve">the </w:t>
      </w:r>
      <w:r w:rsidRPr="00AD1D2A">
        <w:rPr>
          <w:rFonts w:ascii="Times New Roman" w:hAnsi="Times New Roman"/>
        </w:rPr>
        <w:t xml:space="preserve">generation units owned by </w:t>
      </w:r>
      <w:r w:rsidR="005A2C01" w:rsidRPr="00AD1D2A">
        <w:rPr>
          <w:rFonts w:ascii="Times New Roman" w:hAnsi="Times New Roman"/>
        </w:rPr>
        <w:t xml:space="preserve">its affiliated and </w:t>
      </w:r>
      <w:r w:rsidRPr="00AD1D2A">
        <w:rPr>
          <w:rFonts w:ascii="Times New Roman" w:hAnsi="Times New Roman"/>
        </w:rPr>
        <w:t>unregulated power producer</w:t>
      </w:r>
      <w:r w:rsidR="00C43FCB" w:rsidRPr="00AD1D2A">
        <w:rPr>
          <w:rFonts w:ascii="Times New Roman" w:hAnsi="Times New Roman"/>
        </w:rPr>
        <w:t xml:space="preserve"> AEPGR,</w:t>
      </w:r>
      <w:r w:rsidRPr="00AD1D2A">
        <w:rPr>
          <w:rFonts w:ascii="Times New Roman" w:hAnsi="Times New Roman"/>
        </w:rPr>
        <w:t xml:space="preserve"> is </w:t>
      </w:r>
      <w:r w:rsidR="004E53E8" w:rsidRPr="00AD1D2A">
        <w:rPr>
          <w:rFonts w:ascii="Times New Roman" w:hAnsi="Times New Roman"/>
        </w:rPr>
        <w:t>unreasonable and not in the public interest</w:t>
      </w:r>
      <w:r w:rsidR="00D37DD9" w:rsidRPr="00AD1D2A">
        <w:rPr>
          <w:rFonts w:ascii="Times New Roman" w:hAnsi="Times New Roman"/>
        </w:rPr>
        <w:t>;</w:t>
      </w:r>
    </w:p>
    <w:p w:rsidR="00E04C72" w:rsidRDefault="00FA02CD" w:rsidP="00406BD5">
      <w:pPr>
        <w:pStyle w:val="ListParagraph"/>
        <w:numPr>
          <w:ilvl w:val="0"/>
          <w:numId w:val="31"/>
        </w:numPr>
        <w:spacing w:line="480" w:lineRule="auto"/>
        <w:ind w:leftChars="0" w:left="2160" w:right="720" w:hanging="720"/>
        <w:rPr>
          <w:rFonts w:ascii="Times New Roman" w:hAnsi="Times New Roman"/>
        </w:rPr>
      </w:pPr>
      <w:r>
        <w:rPr>
          <w:rFonts w:ascii="Times New Roman" w:hAnsi="Times New Roman"/>
        </w:rPr>
        <w:t xml:space="preserve">The </w:t>
      </w:r>
      <w:r w:rsidR="00D37DD9">
        <w:rPr>
          <w:rFonts w:ascii="Times New Roman" w:hAnsi="Times New Roman"/>
        </w:rPr>
        <w:t xml:space="preserve">so-called </w:t>
      </w:r>
      <w:r>
        <w:rPr>
          <w:rFonts w:ascii="Times New Roman" w:hAnsi="Times New Roman"/>
        </w:rPr>
        <w:t>“R</w:t>
      </w:r>
      <w:r w:rsidR="00F1480B">
        <w:rPr>
          <w:rFonts w:ascii="Times New Roman" w:hAnsi="Times New Roman"/>
        </w:rPr>
        <w:t>eturn on Equity” or “R</w:t>
      </w:r>
      <w:r>
        <w:rPr>
          <w:rFonts w:ascii="Times New Roman" w:hAnsi="Times New Roman"/>
        </w:rPr>
        <w:t xml:space="preserve">OE” of 11.24% proposed </w:t>
      </w:r>
      <w:r w:rsidR="00545B23">
        <w:rPr>
          <w:rFonts w:ascii="Times New Roman" w:hAnsi="Times New Roman"/>
        </w:rPr>
        <w:t>for the</w:t>
      </w:r>
      <w:r w:rsidR="007A22E6">
        <w:rPr>
          <w:rFonts w:ascii="Times New Roman" w:hAnsi="Times New Roman"/>
        </w:rPr>
        <w:t xml:space="preserve"> formula rate contract between</w:t>
      </w:r>
      <w:r>
        <w:rPr>
          <w:rFonts w:ascii="Times New Roman" w:hAnsi="Times New Roman"/>
        </w:rPr>
        <w:t xml:space="preserve"> AEP Ohio and AEP</w:t>
      </w:r>
      <w:r w:rsidR="00DD374D">
        <w:rPr>
          <w:rFonts w:ascii="Times New Roman" w:hAnsi="Times New Roman"/>
        </w:rPr>
        <w:t xml:space="preserve">GR </w:t>
      </w:r>
      <w:r w:rsidR="007A22E6">
        <w:rPr>
          <w:rFonts w:ascii="Times New Roman" w:hAnsi="Times New Roman"/>
        </w:rPr>
        <w:t xml:space="preserve">for all the outputs from certain power plants </w:t>
      </w:r>
      <w:r>
        <w:rPr>
          <w:rFonts w:ascii="Times New Roman" w:hAnsi="Times New Roman"/>
        </w:rPr>
        <w:t>is unreasonable</w:t>
      </w:r>
      <w:r w:rsidR="00C43FCB">
        <w:rPr>
          <w:rFonts w:ascii="Times New Roman" w:hAnsi="Times New Roman"/>
        </w:rPr>
        <w:t xml:space="preserve">.  </w:t>
      </w:r>
      <w:r>
        <w:rPr>
          <w:rFonts w:ascii="Times New Roman" w:hAnsi="Times New Roman"/>
        </w:rPr>
        <w:t xml:space="preserve">AEPGR </w:t>
      </w:r>
      <w:r w:rsidR="00D37DD9">
        <w:rPr>
          <w:rFonts w:ascii="Times New Roman" w:hAnsi="Times New Roman"/>
        </w:rPr>
        <w:t xml:space="preserve">is </w:t>
      </w:r>
      <w:r>
        <w:rPr>
          <w:rFonts w:ascii="Times New Roman" w:hAnsi="Times New Roman"/>
        </w:rPr>
        <w:t>a</w:t>
      </w:r>
      <w:r w:rsidR="00D37DD9">
        <w:rPr>
          <w:rFonts w:ascii="Times New Roman" w:hAnsi="Times New Roman"/>
        </w:rPr>
        <w:t>n</w:t>
      </w:r>
      <w:r>
        <w:rPr>
          <w:rFonts w:ascii="Times New Roman" w:hAnsi="Times New Roman"/>
        </w:rPr>
        <w:t xml:space="preserve"> unregulated power producer </w:t>
      </w:r>
      <w:r w:rsidR="00D37DD9">
        <w:rPr>
          <w:rFonts w:ascii="Times New Roman" w:hAnsi="Times New Roman"/>
        </w:rPr>
        <w:t xml:space="preserve">and </w:t>
      </w:r>
      <w:r w:rsidR="00545B23">
        <w:rPr>
          <w:rFonts w:ascii="Times New Roman" w:hAnsi="Times New Roman"/>
        </w:rPr>
        <w:t xml:space="preserve">its </w:t>
      </w:r>
      <w:r w:rsidR="00F1480B">
        <w:rPr>
          <w:rFonts w:ascii="Times New Roman" w:hAnsi="Times New Roman"/>
        </w:rPr>
        <w:t xml:space="preserve">return (or </w:t>
      </w:r>
      <w:r w:rsidR="00545B23">
        <w:rPr>
          <w:rFonts w:ascii="Times New Roman" w:hAnsi="Times New Roman"/>
        </w:rPr>
        <w:t>profit</w:t>
      </w:r>
      <w:r w:rsidR="00F1480B">
        <w:rPr>
          <w:rFonts w:ascii="Times New Roman" w:hAnsi="Times New Roman"/>
        </w:rPr>
        <w:t>)</w:t>
      </w:r>
      <w:r w:rsidR="00545B23">
        <w:rPr>
          <w:rFonts w:ascii="Times New Roman" w:hAnsi="Times New Roman"/>
        </w:rPr>
        <w:t xml:space="preserve"> is</w:t>
      </w:r>
      <w:r w:rsidR="001F47E8">
        <w:rPr>
          <w:rFonts w:ascii="Times New Roman" w:hAnsi="Times New Roman"/>
        </w:rPr>
        <w:t>, and should be,</w:t>
      </w:r>
      <w:r w:rsidR="00545B23">
        <w:rPr>
          <w:rFonts w:ascii="Times New Roman" w:hAnsi="Times New Roman"/>
        </w:rPr>
        <w:t xml:space="preserve"> decided in the marketplace.  AEPGR </w:t>
      </w:r>
      <w:r w:rsidR="00DD374D">
        <w:rPr>
          <w:rFonts w:ascii="Times New Roman" w:hAnsi="Times New Roman"/>
        </w:rPr>
        <w:t xml:space="preserve">is </w:t>
      </w:r>
      <w:r>
        <w:rPr>
          <w:rFonts w:ascii="Times New Roman" w:hAnsi="Times New Roman"/>
        </w:rPr>
        <w:t xml:space="preserve">not </w:t>
      </w:r>
      <w:r w:rsidR="00E35E97">
        <w:rPr>
          <w:rFonts w:ascii="Times New Roman" w:hAnsi="Times New Roman"/>
        </w:rPr>
        <w:t xml:space="preserve">entitled to </w:t>
      </w:r>
      <w:r w:rsidR="00126D6A">
        <w:rPr>
          <w:rFonts w:ascii="Times New Roman" w:hAnsi="Times New Roman"/>
        </w:rPr>
        <w:t xml:space="preserve">any specific level of </w:t>
      </w:r>
      <w:r w:rsidR="007A22E6">
        <w:rPr>
          <w:rFonts w:ascii="Times New Roman" w:hAnsi="Times New Roman"/>
        </w:rPr>
        <w:t xml:space="preserve">a </w:t>
      </w:r>
      <w:r w:rsidR="00126D6A">
        <w:rPr>
          <w:rFonts w:ascii="Times New Roman" w:hAnsi="Times New Roman"/>
        </w:rPr>
        <w:t xml:space="preserve">guaranteed </w:t>
      </w:r>
      <w:r w:rsidR="007A22E6">
        <w:rPr>
          <w:rFonts w:ascii="Times New Roman" w:hAnsi="Times New Roman"/>
        </w:rPr>
        <w:t>return on equity.</w:t>
      </w:r>
      <w:r w:rsidR="00126D6A">
        <w:rPr>
          <w:rFonts w:ascii="Times New Roman" w:hAnsi="Times New Roman"/>
        </w:rPr>
        <w:t xml:space="preserve"> </w:t>
      </w:r>
      <w:r w:rsidR="00580F94">
        <w:rPr>
          <w:rFonts w:ascii="Times New Roman" w:hAnsi="Times New Roman"/>
        </w:rPr>
        <w:t xml:space="preserve"> </w:t>
      </w:r>
      <w:r w:rsidR="00D575D2">
        <w:rPr>
          <w:rFonts w:ascii="Times New Roman" w:hAnsi="Times New Roman"/>
        </w:rPr>
        <w:t xml:space="preserve">Regarding the return on capital investments, </w:t>
      </w:r>
      <w:r w:rsidR="00126D6A">
        <w:rPr>
          <w:rFonts w:ascii="Times New Roman" w:hAnsi="Times New Roman"/>
        </w:rPr>
        <w:t xml:space="preserve">AEPGR should </w:t>
      </w:r>
      <w:r w:rsidR="00E35E97">
        <w:rPr>
          <w:rFonts w:ascii="Times New Roman" w:hAnsi="Times New Roman"/>
        </w:rPr>
        <w:t xml:space="preserve">be treated </w:t>
      </w:r>
      <w:r w:rsidR="00126D6A">
        <w:rPr>
          <w:rFonts w:ascii="Times New Roman" w:hAnsi="Times New Roman"/>
        </w:rPr>
        <w:t xml:space="preserve">the same as </w:t>
      </w:r>
      <w:r w:rsidR="00985807">
        <w:rPr>
          <w:rFonts w:ascii="Times New Roman" w:hAnsi="Times New Roman"/>
        </w:rPr>
        <w:t xml:space="preserve">any </w:t>
      </w:r>
      <w:r w:rsidR="00770E54">
        <w:rPr>
          <w:rFonts w:ascii="Times New Roman" w:hAnsi="Times New Roman"/>
        </w:rPr>
        <w:t>other unregulated power producer</w:t>
      </w:r>
      <w:r w:rsidR="00D575D2">
        <w:rPr>
          <w:rFonts w:ascii="Times New Roman" w:hAnsi="Times New Roman"/>
        </w:rPr>
        <w:t xml:space="preserve"> in Ohio</w:t>
      </w:r>
      <w:r w:rsidR="00580F94">
        <w:rPr>
          <w:rFonts w:ascii="Times New Roman" w:hAnsi="Times New Roman"/>
        </w:rPr>
        <w:t>.</w:t>
      </w:r>
    </w:p>
    <w:p w:rsidR="008C0716" w:rsidRDefault="00770E54" w:rsidP="00406BD5">
      <w:pPr>
        <w:pStyle w:val="ListParagraph"/>
        <w:numPr>
          <w:ilvl w:val="0"/>
          <w:numId w:val="31"/>
        </w:numPr>
        <w:spacing w:line="480" w:lineRule="auto"/>
        <w:ind w:leftChars="0" w:left="2160" w:right="720" w:hanging="720"/>
        <w:rPr>
          <w:rFonts w:ascii="Times New Roman" w:hAnsi="Times New Roman"/>
        </w:rPr>
      </w:pPr>
      <w:r>
        <w:rPr>
          <w:rFonts w:ascii="Times New Roman" w:hAnsi="Times New Roman"/>
        </w:rPr>
        <w:t xml:space="preserve">If the proposed ROE of 11.24% is adopted by the Commission, AEPGR </w:t>
      </w:r>
      <w:r w:rsidR="00E04C72">
        <w:rPr>
          <w:rFonts w:ascii="Times New Roman" w:hAnsi="Times New Roman"/>
        </w:rPr>
        <w:t xml:space="preserve">would be </w:t>
      </w:r>
      <w:r>
        <w:rPr>
          <w:rFonts w:ascii="Times New Roman" w:hAnsi="Times New Roman"/>
        </w:rPr>
        <w:t xml:space="preserve">treated </w:t>
      </w:r>
      <w:r w:rsidR="00E04C72">
        <w:rPr>
          <w:rFonts w:ascii="Times New Roman" w:hAnsi="Times New Roman"/>
        </w:rPr>
        <w:t xml:space="preserve">more favorably than other unregulated power producers </w:t>
      </w:r>
      <w:r w:rsidR="00337E4C">
        <w:rPr>
          <w:rFonts w:ascii="Times New Roman" w:hAnsi="Times New Roman"/>
        </w:rPr>
        <w:t xml:space="preserve">in Ohio </w:t>
      </w:r>
      <w:r w:rsidR="00E04C72">
        <w:rPr>
          <w:rFonts w:ascii="Times New Roman" w:hAnsi="Times New Roman"/>
        </w:rPr>
        <w:t xml:space="preserve">who </w:t>
      </w:r>
      <w:r w:rsidR="000E0838">
        <w:rPr>
          <w:rFonts w:ascii="Times New Roman" w:hAnsi="Times New Roman"/>
        </w:rPr>
        <w:t>have</w:t>
      </w:r>
      <w:r w:rsidR="00E04C72">
        <w:rPr>
          <w:rFonts w:ascii="Times New Roman" w:hAnsi="Times New Roman"/>
        </w:rPr>
        <w:t xml:space="preserve"> not receive</w:t>
      </w:r>
      <w:r w:rsidR="000E0838">
        <w:rPr>
          <w:rFonts w:ascii="Times New Roman" w:hAnsi="Times New Roman"/>
        </w:rPr>
        <w:t>d</w:t>
      </w:r>
      <w:r w:rsidR="00E04C72">
        <w:rPr>
          <w:rFonts w:ascii="Times New Roman" w:hAnsi="Times New Roman"/>
        </w:rPr>
        <w:t xml:space="preserve"> any guaranteed ROE on their investments </w:t>
      </w:r>
      <w:r w:rsidR="008C0716">
        <w:rPr>
          <w:rFonts w:ascii="Times New Roman" w:hAnsi="Times New Roman"/>
        </w:rPr>
        <w:t xml:space="preserve">in generation plants. </w:t>
      </w:r>
      <w:r w:rsidR="00580F94">
        <w:rPr>
          <w:rFonts w:ascii="Times New Roman" w:hAnsi="Times New Roman"/>
        </w:rPr>
        <w:t xml:space="preserve"> </w:t>
      </w:r>
      <w:r w:rsidR="008C0716">
        <w:rPr>
          <w:rFonts w:ascii="Times New Roman" w:hAnsi="Times New Roman"/>
        </w:rPr>
        <w:t xml:space="preserve">The adoption of a PPA Rider and a guaranteed ROE for AEPGR will </w:t>
      </w:r>
      <w:r w:rsidR="00FF7753">
        <w:rPr>
          <w:rFonts w:ascii="Times New Roman" w:hAnsi="Times New Roman"/>
        </w:rPr>
        <w:t xml:space="preserve">create </w:t>
      </w:r>
      <w:r w:rsidR="00D575D2">
        <w:rPr>
          <w:rFonts w:ascii="Times New Roman" w:hAnsi="Times New Roman"/>
        </w:rPr>
        <w:t xml:space="preserve">a </w:t>
      </w:r>
      <w:r w:rsidR="00167848">
        <w:rPr>
          <w:rFonts w:ascii="Times New Roman" w:hAnsi="Times New Roman"/>
        </w:rPr>
        <w:t xml:space="preserve">mandatory customer funded </w:t>
      </w:r>
      <w:r w:rsidR="00FF7753">
        <w:rPr>
          <w:rFonts w:ascii="Times New Roman" w:hAnsi="Times New Roman"/>
        </w:rPr>
        <w:t>subsid</w:t>
      </w:r>
      <w:r w:rsidR="00D575D2">
        <w:rPr>
          <w:rFonts w:ascii="Times New Roman" w:hAnsi="Times New Roman"/>
        </w:rPr>
        <w:t xml:space="preserve">y </w:t>
      </w:r>
      <w:r w:rsidR="00FF7753">
        <w:rPr>
          <w:rFonts w:ascii="Times New Roman" w:hAnsi="Times New Roman"/>
        </w:rPr>
        <w:t xml:space="preserve">to </w:t>
      </w:r>
      <w:r w:rsidR="00D575D2">
        <w:rPr>
          <w:rFonts w:ascii="Times New Roman" w:hAnsi="Times New Roman"/>
        </w:rPr>
        <w:t xml:space="preserve">a </w:t>
      </w:r>
      <w:r w:rsidR="00FF7753">
        <w:rPr>
          <w:rFonts w:ascii="Times New Roman" w:hAnsi="Times New Roman"/>
        </w:rPr>
        <w:t xml:space="preserve">certain market participant and thus </w:t>
      </w:r>
      <w:r w:rsidR="008C0716">
        <w:rPr>
          <w:rFonts w:ascii="Times New Roman" w:hAnsi="Times New Roman"/>
        </w:rPr>
        <w:t xml:space="preserve">distort the </w:t>
      </w:r>
      <w:r w:rsidR="00D575D2">
        <w:rPr>
          <w:rFonts w:ascii="Times New Roman" w:hAnsi="Times New Roman"/>
        </w:rPr>
        <w:t xml:space="preserve">outcomes (in this instance, the price and quantity of electricity) </w:t>
      </w:r>
      <w:r w:rsidR="008C0716">
        <w:rPr>
          <w:rFonts w:ascii="Times New Roman" w:hAnsi="Times New Roman"/>
        </w:rPr>
        <w:t xml:space="preserve">of a competitive market. </w:t>
      </w:r>
      <w:r w:rsidR="00FF7753">
        <w:rPr>
          <w:rFonts w:ascii="Times New Roman" w:hAnsi="Times New Roman"/>
        </w:rPr>
        <w:t xml:space="preserve"> </w:t>
      </w:r>
      <w:r w:rsidR="008F09B4">
        <w:rPr>
          <w:rFonts w:ascii="Times New Roman" w:hAnsi="Times New Roman"/>
        </w:rPr>
        <w:t xml:space="preserve">The end result is </w:t>
      </w:r>
      <w:r w:rsidR="008C0716">
        <w:rPr>
          <w:rFonts w:ascii="Times New Roman" w:hAnsi="Times New Roman"/>
        </w:rPr>
        <w:t xml:space="preserve">an uneven playing field where </w:t>
      </w:r>
      <w:r w:rsidR="00D575D2">
        <w:rPr>
          <w:rFonts w:ascii="Times New Roman" w:hAnsi="Times New Roman"/>
        </w:rPr>
        <w:t xml:space="preserve">the price of electricity </w:t>
      </w:r>
      <w:r w:rsidR="00167848">
        <w:rPr>
          <w:rFonts w:ascii="Times New Roman" w:hAnsi="Times New Roman"/>
        </w:rPr>
        <w:t xml:space="preserve">for customers </w:t>
      </w:r>
      <w:r w:rsidR="00D575D2">
        <w:rPr>
          <w:rFonts w:ascii="Times New Roman" w:hAnsi="Times New Roman"/>
        </w:rPr>
        <w:t xml:space="preserve">will be higher and </w:t>
      </w:r>
      <w:r w:rsidR="008C0716">
        <w:rPr>
          <w:rFonts w:ascii="Times New Roman" w:hAnsi="Times New Roman"/>
        </w:rPr>
        <w:t>new investments in conventional or alternative generation technology by other power producers</w:t>
      </w:r>
      <w:r w:rsidR="00126D6A">
        <w:rPr>
          <w:rFonts w:ascii="Times New Roman" w:hAnsi="Times New Roman"/>
        </w:rPr>
        <w:t xml:space="preserve"> to serve Ohio </w:t>
      </w:r>
      <w:r w:rsidR="008C0716">
        <w:rPr>
          <w:rFonts w:ascii="Times New Roman" w:hAnsi="Times New Roman"/>
        </w:rPr>
        <w:t>will be discouraged</w:t>
      </w:r>
      <w:r w:rsidR="008F09B4">
        <w:rPr>
          <w:rFonts w:ascii="Times New Roman" w:hAnsi="Times New Roman"/>
        </w:rPr>
        <w:t xml:space="preserve"> </w:t>
      </w:r>
      <w:r w:rsidR="00167848">
        <w:rPr>
          <w:rFonts w:ascii="Times New Roman" w:hAnsi="Times New Roman"/>
        </w:rPr>
        <w:t>to the detriment of consumers</w:t>
      </w:r>
      <w:r w:rsidR="008C0716">
        <w:rPr>
          <w:rFonts w:ascii="Times New Roman" w:hAnsi="Times New Roman"/>
        </w:rPr>
        <w:t>.</w:t>
      </w:r>
    </w:p>
    <w:p w:rsidR="00985807" w:rsidRDefault="008C0716" w:rsidP="00406BD5">
      <w:pPr>
        <w:pStyle w:val="ListParagraph"/>
        <w:numPr>
          <w:ilvl w:val="0"/>
          <w:numId w:val="31"/>
        </w:numPr>
        <w:spacing w:line="480" w:lineRule="auto"/>
        <w:ind w:leftChars="0" w:left="2160" w:right="720" w:hanging="720"/>
        <w:rPr>
          <w:rFonts w:ascii="Times New Roman" w:hAnsi="Times New Roman"/>
        </w:rPr>
      </w:pPr>
      <w:r>
        <w:rPr>
          <w:rFonts w:ascii="Times New Roman" w:hAnsi="Times New Roman"/>
        </w:rPr>
        <w:t xml:space="preserve">The adoption of a guaranteed ROE of 11.24% would </w:t>
      </w:r>
      <w:r w:rsidR="00D575D2">
        <w:rPr>
          <w:rFonts w:ascii="Times New Roman" w:hAnsi="Times New Roman"/>
        </w:rPr>
        <w:t xml:space="preserve">also </w:t>
      </w:r>
      <w:r w:rsidR="00E23B30">
        <w:rPr>
          <w:rFonts w:ascii="Times New Roman" w:hAnsi="Times New Roman"/>
        </w:rPr>
        <w:t xml:space="preserve">give AEPGR </w:t>
      </w:r>
      <w:r w:rsidR="00126D6A">
        <w:rPr>
          <w:rFonts w:ascii="Times New Roman" w:hAnsi="Times New Roman"/>
        </w:rPr>
        <w:t>unprecedented</w:t>
      </w:r>
      <w:r w:rsidR="00D575D2">
        <w:rPr>
          <w:rFonts w:ascii="Times New Roman" w:hAnsi="Times New Roman"/>
        </w:rPr>
        <w:t xml:space="preserve"> favorable </w:t>
      </w:r>
      <w:r w:rsidR="002B216A">
        <w:rPr>
          <w:rFonts w:ascii="Times New Roman" w:hAnsi="Times New Roman"/>
        </w:rPr>
        <w:t>treatment as compared to that</w:t>
      </w:r>
      <w:r w:rsidR="00D575D2">
        <w:rPr>
          <w:rFonts w:ascii="Times New Roman" w:hAnsi="Times New Roman"/>
        </w:rPr>
        <w:t xml:space="preserve"> typically</w:t>
      </w:r>
      <w:r w:rsidR="00126D6A">
        <w:rPr>
          <w:rFonts w:ascii="Times New Roman" w:hAnsi="Times New Roman"/>
        </w:rPr>
        <w:t xml:space="preserve"> afforded to</w:t>
      </w:r>
      <w:r w:rsidR="00D575D2">
        <w:rPr>
          <w:rFonts w:ascii="Times New Roman" w:hAnsi="Times New Roman"/>
        </w:rPr>
        <w:t xml:space="preserve"> a </w:t>
      </w:r>
      <w:r w:rsidR="00E35E97">
        <w:rPr>
          <w:rFonts w:ascii="Times New Roman" w:hAnsi="Times New Roman"/>
        </w:rPr>
        <w:t>regulated electric utilit</w:t>
      </w:r>
      <w:r w:rsidR="00D575D2">
        <w:rPr>
          <w:rFonts w:ascii="Times New Roman" w:hAnsi="Times New Roman"/>
        </w:rPr>
        <w:t>y</w:t>
      </w:r>
      <w:r w:rsidR="00770E54">
        <w:rPr>
          <w:rFonts w:ascii="Times New Roman" w:hAnsi="Times New Roman"/>
        </w:rPr>
        <w:t xml:space="preserve"> in Ohio. </w:t>
      </w:r>
      <w:r w:rsidR="00580F94">
        <w:rPr>
          <w:rFonts w:ascii="Times New Roman" w:hAnsi="Times New Roman"/>
        </w:rPr>
        <w:t xml:space="preserve"> </w:t>
      </w:r>
      <w:r w:rsidR="00126D6A">
        <w:rPr>
          <w:rFonts w:ascii="Times New Roman" w:hAnsi="Times New Roman"/>
        </w:rPr>
        <w:t xml:space="preserve">Under </w:t>
      </w:r>
      <w:r w:rsidR="00770E54">
        <w:rPr>
          <w:rFonts w:ascii="Times New Roman" w:hAnsi="Times New Roman"/>
        </w:rPr>
        <w:t xml:space="preserve">the </w:t>
      </w:r>
      <w:r w:rsidR="00126D6A">
        <w:rPr>
          <w:rFonts w:ascii="Times New Roman" w:hAnsi="Times New Roman"/>
        </w:rPr>
        <w:t xml:space="preserve">proposed </w:t>
      </w:r>
      <w:r w:rsidR="00770E54">
        <w:rPr>
          <w:rFonts w:ascii="Times New Roman" w:hAnsi="Times New Roman"/>
        </w:rPr>
        <w:t xml:space="preserve">PPA Rider, AEPGR is receiving a higher </w:t>
      </w:r>
      <w:r w:rsidR="00E23B30">
        <w:rPr>
          <w:rFonts w:ascii="Times New Roman" w:hAnsi="Times New Roman"/>
        </w:rPr>
        <w:t xml:space="preserve">ROE </w:t>
      </w:r>
      <w:r w:rsidR="00126D6A">
        <w:rPr>
          <w:rFonts w:ascii="Times New Roman" w:hAnsi="Times New Roman"/>
        </w:rPr>
        <w:t>of 11.24%</w:t>
      </w:r>
      <w:r w:rsidR="00907050">
        <w:rPr>
          <w:rFonts w:ascii="Times New Roman" w:hAnsi="Times New Roman"/>
        </w:rPr>
        <w:t>, which is higher</w:t>
      </w:r>
      <w:r w:rsidR="00126D6A">
        <w:rPr>
          <w:rFonts w:ascii="Times New Roman" w:hAnsi="Times New Roman"/>
        </w:rPr>
        <w:t xml:space="preserve"> </w:t>
      </w:r>
      <w:r w:rsidR="00E23B30">
        <w:rPr>
          <w:rFonts w:ascii="Times New Roman" w:hAnsi="Times New Roman"/>
        </w:rPr>
        <w:t xml:space="preserve">than those recently approved </w:t>
      </w:r>
      <w:r w:rsidR="00907050">
        <w:rPr>
          <w:rFonts w:ascii="Times New Roman" w:hAnsi="Times New Roman"/>
        </w:rPr>
        <w:t xml:space="preserve">ROEs </w:t>
      </w:r>
      <w:r w:rsidR="00E23B30">
        <w:rPr>
          <w:rFonts w:ascii="Times New Roman" w:hAnsi="Times New Roman"/>
        </w:rPr>
        <w:t xml:space="preserve">for Ohio’s </w:t>
      </w:r>
      <w:r w:rsidR="00D575D2">
        <w:rPr>
          <w:rFonts w:ascii="Times New Roman" w:hAnsi="Times New Roman"/>
        </w:rPr>
        <w:t xml:space="preserve">regulated </w:t>
      </w:r>
      <w:r w:rsidR="00E23B30">
        <w:rPr>
          <w:rFonts w:ascii="Times New Roman" w:hAnsi="Times New Roman"/>
        </w:rPr>
        <w:t>electric utilities</w:t>
      </w:r>
      <w:r w:rsidR="00D575D2">
        <w:rPr>
          <w:rFonts w:ascii="Times New Roman" w:hAnsi="Times New Roman"/>
        </w:rPr>
        <w:t>.  More significantly,</w:t>
      </w:r>
      <w:r w:rsidR="00770E54">
        <w:rPr>
          <w:rFonts w:ascii="Times New Roman" w:hAnsi="Times New Roman"/>
        </w:rPr>
        <w:t xml:space="preserve"> </w:t>
      </w:r>
      <w:r w:rsidR="00105987">
        <w:rPr>
          <w:rFonts w:ascii="Times New Roman" w:hAnsi="Times New Roman"/>
        </w:rPr>
        <w:t xml:space="preserve">this higher ROE is </w:t>
      </w:r>
      <w:r w:rsidR="008F09B4">
        <w:rPr>
          <w:rFonts w:ascii="Times New Roman" w:hAnsi="Times New Roman"/>
        </w:rPr>
        <w:t xml:space="preserve">guaranteed </w:t>
      </w:r>
      <w:r w:rsidR="00105987">
        <w:rPr>
          <w:rFonts w:ascii="Times New Roman" w:hAnsi="Times New Roman"/>
        </w:rPr>
        <w:t xml:space="preserve">for the life of the </w:t>
      </w:r>
      <w:r w:rsidR="00D575D2">
        <w:rPr>
          <w:rFonts w:ascii="Times New Roman" w:hAnsi="Times New Roman"/>
        </w:rPr>
        <w:t xml:space="preserve">power plants included in the Affiliate </w:t>
      </w:r>
      <w:r w:rsidR="00105987">
        <w:rPr>
          <w:rFonts w:ascii="Times New Roman" w:hAnsi="Times New Roman"/>
        </w:rPr>
        <w:t>PPA</w:t>
      </w:r>
      <w:r w:rsidR="00D575D2">
        <w:rPr>
          <w:rFonts w:ascii="Times New Roman" w:hAnsi="Times New Roman"/>
        </w:rPr>
        <w:t>.</w:t>
      </w:r>
      <w:r w:rsidR="00105987">
        <w:rPr>
          <w:rFonts w:ascii="Times New Roman" w:hAnsi="Times New Roman"/>
        </w:rPr>
        <w:t xml:space="preserve"> </w:t>
      </w:r>
      <w:r w:rsidR="00580F94">
        <w:rPr>
          <w:rFonts w:ascii="Times New Roman" w:hAnsi="Times New Roman"/>
        </w:rPr>
        <w:t xml:space="preserve"> </w:t>
      </w:r>
      <w:r w:rsidR="00105987">
        <w:rPr>
          <w:rFonts w:ascii="Times New Roman" w:hAnsi="Times New Roman"/>
        </w:rPr>
        <w:t>A</w:t>
      </w:r>
      <w:r w:rsidR="00E23B30">
        <w:rPr>
          <w:rFonts w:ascii="Times New Roman" w:hAnsi="Times New Roman"/>
        </w:rPr>
        <w:t xml:space="preserve">ll </w:t>
      </w:r>
      <w:r w:rsidR="00105987">
        <w:rPr>
          <w:rFonts w:ascii="Times New Roman" w:hAnsi="Times New Roman"/>
        </w:rPr>
        <w:t>electricity generated by th</w:t>
      </w:r>
      <w:r w:rsidR="00D575D2">
        <w:rPr>
          <w:rFonts w:ascii="Times New Roman" w:hAnsi="Times New Roman"/>
        </w:rPr>
        <w:t xml:space="preserve">ose power plants included in the Affiliate </w:t>
      </w:r>
      <w:r w:rsidR="00E23B30">
        <w:rPr>
          <w:rFonts w:ascii="Times New Roman" w:hAnsi="Times New Roman"/>
        </w:rPr>
        <w:t>PP</w:t>
      </w:r>
      <w:r w:rsidR="002B216A">
        <w:rPr>
          <w:rFonts w:ascii="Times New Roman" w:hAnsi="Times New Roman"/>
        </w:rPr>
        <w:t>A</w:t>
      </w:r>
      <w:r w:rsidR="00E23B30">
        <w:rPr>
          <w:rFonts w:ascii="Times New Roman" w:hAnsi="Times New Roman"/>
        </w:rPr>
        <w:t xml:space="preserve"> will be sold to </w:t>
      </w:r>
      <w:r w:rsidR="00105987">
        <w:rPr>
          <w:rFonts w:ascii="Times New Roman" w:hAnsi="Times New Roman"/>
        </w:rPr>
        <w:t xml:space="preserve">AEP Ohio and </w:t>
      </w:r>
      <w:r w:rsidR="00F54E4F">
        <w:rPr>
          <w:rFonts w:ascii="Times New Roman" w:hAnsi="Times New Roman"/>
        </w:rPr>
        <w:t>paid by the customers of AEP Ohio.  To AEPGR, t</w:t>
      </w:r>
      <w:r w:rsidR="00105987">
        <w:rPr>
          <w:rFonts w:ascii="Times New Roman" w:hAnsi="Times New Roman"/>
        </w:rPr>
        <w:t xml:space="preserve">here is no risk of insufficient demand </w:t>
      </w:r>
      <w:r w:rsidR="00F54E4F">
        <w:rPr>
          <w:rFonts w:ascii="Times New Roman" w:hAnsi="Times New Roman"/>
        </w:rPr>
        <w:t>in the service territory of AEP Ohio.</w:t>
      </w:r>
    </w:p>
    <w:p w:rsidR="00406BD5" w:rsidRDefault="00406BD5" w:rsidP="00406BD5">
      <w:pPr>
        <w:pStyle w:val="ListParagraph"/>
        <w:spacing w:line="480" w:lineRule="auto"/>
        <w:ind w:leftChars="0" w:left="2160" w:right="720"/>
        <w:rPr>
          <w:rFonts w:ascii="Times New Roman" w:hAnsi="Times New Roman"/>
        </w:rPr>
      </w:pPr>
    </w:p>
    <w:p w:rsidR="00E23B30" w:rsidRPr="004D7720" w:rsidRDefault="00770E54" w:rsidP="00406BD5">
      <w:pPr>
        <w:spacing w:line="480" w:lineRule="auto"/>
        <w:ind w:left="2160" w:right="720"/>
      </w:pPr>
      <w:r w:rsidRPr="00985807">
        <w:t>In contrast, there has never been a guarantee on the</w:t>
      </w:r>
      <w:r w:rsidR="00F54E4F" w:rsidRPr="00985807">
        <w:t xml:space="preserve"> </w:t>
      </w:r>
      <w:r w:rsidR="005E002D" w:rsidRPr="00985807">
        <w:t>ROE</w:t>
      </w:r>
      <w:r w:rsidR="00F54E4F" w:rsidRPr="00985807">
        <w:t xml:space="preserve"> that </w:t>
      </w:r>
      <w:r w:rsidRPr="00985807">
        <w:t xml:space="preserve">a regulated Ohio electric utility can earn. </w:t>
      </w:r>
      <w:r w:rsidR="00580F94" w:rsidRPr="00985807">
        <w:t xml:space="preserve"> </w:t>
      </w:r>
      <w:r w:rsidR="00E23B30" w:rsidRPr="00985807">
        <w:t>The ROE approved by the Commission in a rate cas</w:t>
      </w:r>
      <w:r w:rsidR="00167848">
        <w:t>e</w:t>
      </w:r>
      <w:r w:rsidR="00E23B30" w:rsidRPr="00985807">
        <w:t xml:space="preserve"> </w:t>
      </w:r>
      <w:r w:rsidR="00337E4C" w:rsidRPr="00167848">
        <w:t>provide</w:t>
      </w:r>
      <w:r w:rsidR="00167848">
        <w:t>s</w:t>
      </w:r>
      <w:r w:rsidR="00337E4C" w:rsidRPr="00167848">
        <w:t xml:space="preserve"> an </w:t>
      </w:r>
      <w:r w:rsidR="00E23B30" w:rsidRPr="00167848">
        <w:t xml:space="preserve">opportunity, not a guarantee, for the regulated electric utility to earn the approved ROE.  </w:t>
      </w:r>
      <w:r w:rsidR="00105987" w:rsidRPr="00167848">
        <w:t xml:space="preserve">The ROE actually earned </w:t>
      </w:r>
      <w:r w:rsidR="00337E4C" w:rsidRPr="00167848">
        <w:t xml:space="preserve">by </w:t>
      </w:r>
      <w:r w:rsidR="00105987" w:rsidRPr="00167848">
        <w:t xml:space="preserve">a regulated electric utility </w:t>
      </w:r>
      <w:r w:rsidR="00F54E4F" w:rsidRPr="00167848">
        <w:t xml:space="preserve">is </w:t>
      </w:r>
      <w:r w:rsidR="00337E4C" w:rsidRPr="00076D46">
        <w:t xml:space="preserve">influenced </w:t>
      </w:r>
      <w:r w:rsidR="00105987" w:rsidRPr="000E0838">
        <w:t>by many factors</w:t>
      </w:r>
      <w:r w:rsidR="00337E4C" w:rsidRPr="000E0838">
        <w:t xml:space="preserve"> such as </w:t>
      </w:r>
      <w:r w:rsidR="00105987" w:rsidRPr="000E0838">
        <w:t xml:space="preserve">the load growth </w:t>
      </w:r>
      <w:r w:rsidR="00F54E4F" w:rsidRPr="000E0838">
        <w:t xml:space="preserve">(or decline) </w:t>
      </w:r>
      <w:r w:rsidR="00337E4C" w:rsidRPr="00B42A60">
        <w:t xml:space="preserve">in the service territory </w:t>
      </w:r>
      <w:r w:rsidR="00105987" w:rsidRPr="00B42A60">
        <w:t xml:space="preserve">and the cost control </w:t>
      </w:r>
      <w:r w:rsidR="00337E4C" w:rsidRPr="00B42A60">
        <w:t xml:space="preserve">efforts </w:t>
      </w:r>
      <w:r w:rsidR="00580F94" w:rsidRPr="00B42A60">
        <w:t>of the regulated utility.</w:t>
      </w:r>
      <w:r w:rsidR="00105987" w:rsidRPr="000C24C4">
        <w:t xml:space="preserve"> </w:t>
      </w:r>
      <w:r w:rsidR="00F54E4F" w:rsidRPr="000C24C4">
        <w:t xml:space="preserve"> </w:t>
      </w:r>
      <w:r w:rsidR="007E311E" w:rsidRPr="000C24C4">
        <w:t xml:space="preserve">The rates or rate </w:t>
      </w:r>
      <w:r w:rsidR="00F54E4F" w:rsidRPr="000C24C4">
        <w:t>mechanisms approved by the Commission in a rate case do not guarantee the regulated utili</w:t>
      </w:r>
      <w:r w:rsidR="00406BD5">
        <w:t>ty will earn the approved ROE.</w:t>
      </w:r>
    </w:p>
    <w:p w:rsidR="00406BD5" w:rsidRDefault="00E35E97" w:rsidP="00406BD5">
      <w:pPr>
        <w:pStyle w:val="ListParagraph"/>
        <w:numPr>
          <w:ilvl w:val="0"/>
          <w:numId w:val="31"/>
        </w:numPr>
        <w:spacing w:line="480" w:lineRule="auto"/>
        <w:ind w:leftChars="0" w:left="2160" w:right="720" w:hanging="720"/>
        <w:rPr>
          <w:rFonts w:ascii="Times New Roman" w:hAnsi="Times New Roman"/>
        </w:rPr>
      </w:pPr>
      <w:r>
        <w:rPr>
          <w:rFonts w:ascii="Times New Roman" w:hAnsi="Times New Roman"/>
        </w:rPr>
        <w:t xml:space="preserve">Furthermore, even if the concept of </w:t>
      </w:r>
      <w:r w:rsidR="00FF7753">
        <w:rPr>
          <w:rFonts w:ascii="Times New Roman" w:hAnsi="Times New Roman"/>
        </w:rPr>
        <w:t xml:space="preserve">setting </w:t>
      </w:r>
      <w:r>
        <w:rPr>
          <w:rFonts w:ascii="Times New Roman" w:hAnsi="Times New Roman"/>
        </w:rPr>
        <w:t xml:space="preserve">an ROE </w:t>
      </w:r>
      <w:r w:rsidR="00FF7753">
        <w:rPr>
          <w:rFonts w:ascii="Times New Roman" w:hAnsi="Times New Roman"/>
        </w:rPr>
        <w:t xml:space="preserve">for a regulated utility </w:t>
      </w:r>
      <w:r w:rsidR="00F1480B">
        <w:rPr>
          <w:rFonts w:ascii="Times New Roman" w:hAnsi="Times New Roman"/>
        </w:rPr>
        <w:t xml:space="preserve">and the typical methods for estimating the ROE </w:t>
      </w:r>
      <w:r w:rsidR="001E1FEE">
        <w:rPr>
          <w:rFonts w:ascii="Times New Roman" w:hAnsi="Times New Roman"/>
        </w:rPr>
        <w:t xml:space="preserve">were to be </w:t>
      </w:r>
      <w:r>
        <w:rPr>
          <w:rFonts w:ascii="Times New Roman" w:hAnsi="Times New Roman"/>
        </w:rPr>
        <w:t>appli</w:t>
      </w:r>
      <w:r w:rsidR="001E1FEE">
        <w:rPr>
          <w:rFonts w:ascii="Times New Roman" w:hAnsi="Times New Roman"/>
        </w:rPr>
        <w:t xml:space="preserve">ed </w:t>
      </w:r>
      <w:r>
        <w:rPr>
          <w:rFonts w:ascii="Times New Roman" w:hAnsi="Times New Roman"/>
        </w:rPr>
        <w:t xml:space="preserve">to AEPGR, the 11.24% ROE </w:t>
      </w:r>
      <w:r w:rsidR="00770E54">
        <w:rPr>
          <w:rFonts w:ascii="Times New Roman" w:hAnsi="Times New Roman"/>
        </w:rPr>
        <w:t xml:space="preserve">proposed by AEP Ohio </w:t>
      </w:r>
      <w:r>
        <w:rPr>
          <w:rFonts w:ascii="Times New Roman" w:hAnsi="Times New Roman"/>
        </w:rPr>
        <w:t xml:space="preserve">is </w:t>
      </w:r>
      <w:r w:rsidR="00337E4C">
        <w:rPr>
          <w:rFonts w:ascii="Times New Roman" w:hAnsi="Times New Roman"/>
        </w:rPr>
        <w:t xml:space="preserve">overstated and unreasonable.  The 11.24% ROE as proposed by AEP Ohio is derived </w:t>
      </w:r>
      <w:r w:rsidR="00FF7753">
        <w:rPr>
          <w:rFonts w:ascii="Times New Roman" w:hAnsi="Times New Roman"/>
        </w:rPr>
        <w:t>based on faulty assumptions and data.</w:t>
      </w:r>
    </w:p>
    <w:p w:rsidR="00406BD5" w:rsidRPr="00406BD5" w:rsidRDefault="00406BD5" w:rsidP="00406BD5">
      <w:pPr>
        <w:pStyle w:val="ListParagraph"/>
        <w:spacing w:line="480" w:lineRule="auto"/>
        <w:ind w:leftChars="0" w:left="2160" w:right="720"/>
        <w:rPr>
          <w:rFonts w:ascii="Times New Roman" w:hAnsi="Times New Roman"/>
        </w:rPr>
      </w:pPr>
    </w:p>
    <w:p w:rsidR="00907050" w:rsidRDefault="00907050" w:rsidP="00907050">
      <w:pPr>
        <w:spacing w:line="480" w:lineRule="auto"/>
        <w:ind w:left="720" w:hanging="720"/>
        <w:rPr>
          <w:b/>
          <w:bCs/>
          <w:i/>
          <w:iCs/>
        </w:rPr>
      </w:pPr>
      <w:r>
        <w:rPr>
          <w:b/>
          <w:bCs/>
          <w:i/>
        </w:rPr>
        <w:t>Q7</w:t>
      </w:r>
      <w:r>
        <w:rPr>
          <w:b/>
          <w:i/>
        </w:rPr>
        <w:t xml:space="preserve">. </w:t>
      </w:r>
      <w:r>
        <w:rPr>
          <w:b/>
          <w:i/>
        </w:rPr>
        <w:tab/>
        <w:t>PLEASE SUMMARIZE YOUR FINDINGS.</w:t>
      </w:r>
    </w:p>
    <w:p w:rsidR="00567249" w:rsidRDefault="00907050" w:rsidP="00AD1D2A">
      <w:pPr>
        <w:spacing w:line="480" w:lineRule="auto"/>
      </w:pPr>
      <w:r>
        <w:rPr>
          <w:b/>
          <w:i/>
        </w:rPr>
        <w:t>A7.</w:t>
      </w:r>
      <w:r>
        <w:rPr>
          <w:b/>
          <w:i/>
        </w:rPr>
        <w:tab/>
      </w:r>
      <w:r w:rsidR="000109CA">
        <w:t xml:space="preserve">Based on </w:t>
      </w:r>
      <w:r w:rsidR="00985807">
        <w:t>my</w:t>
      </w:r>
      <w:r w:rsidR="000109CA">
        <w:t xml:space="preserve"> findings, </w:t>
      </w:r>
      <w:r w:rsidR="00567249">
        <w:t xml:space="preserve">I recommend </w:t>
      </w:r>
      <w:r w:rsidR="005E002D">
        <w:t>the following</w:t>
      </w:r>
      <w:r w:rsidR="00567249">
        <w:t>:</w:t>
      </w:r>
    </w:p>
    <w:p w:rsidR="00567249" w:rsidRPr="00842F67" w:rsidRDefault="00567249" w:rsidP="00406BD5">
      <w:pPr>
        <w:pStyle w:val="ListParagraph"/>
        <w:numPr>
          <w:ilvl w:val="0"/>
          <w:numId w:val="32"/>
        </w:numPr>
        <w:spacing w:line="480" w:lineRule="auto"/>
        <w:ind w:leftChars="0" w:left="2160" w:right="720" w:hanging="720"/>
        <w:rPr>
          <w:rFonts w:ascii="Times New Roman" w:hAnsi="Times New Roman"/>
        </w:rPr>
      </w:pPr>
      <w:r w:rsidRPr="00842F67">
        <w:rPr>
          <w:rFonts w:ascii="Times New Roman" w:hAnsi="Times New Roman"/>
        </w:rPr>
        <w:t xml:space="preserve">The Commission </w:t>
      </w:r>
      <w:r w:rsidR="00985807">
        <w:rPr>
          <w:rFonts w:ascii="Times New Roman" w:hAnsi="Times New Roman"/>
        </w:rPr>
        <w:t xml:space="preserve">should </w:t>
      </w:r>
      <w:r w:rsidRPr="00842F67">
        <w:rPr>
          <w:rFonts w:ascii="Times New Roman" w:hAnsi="Times New Roman"/>
        </w:rPr>
        <w:t>reject the proposed PPA Rider and all related requests by AEP Ohio</w:t>
      </w:r>
      <w:r w:rsidR="00D37DD9">
        <w:rPr>
          <w:rFonts w:ascii="Times New Roman" w:hAnsi="Times New Roman"/>
        </w:rPr>
        <w:t xml:space="preserve"> in this proceeding</w:t>
      </w:r>
      <w:r w:rsidR="00E35E97">
        <w:rPr>
          <w:rFonts w:ascii="Times New Roman" w:hAnsi="Times New Roman"/>
        </w:rPr>
        <w:t xml:space="preserve">.  </w:t>
      </w:r>
      <w:r w:rsidR="00167848">
        <w:rPr>
          <w:rFonts w:ascii="Times New Roman" w:hAnsi="Times New Roman"/>
        </w:rPr>
        <w:t xml:space="preserve">It is not in the public interest and will likely harm customers.  </w:t>
      </w:r>
      <w:r w:rsidR="00337E4C">
        <w:rPr>
          <w:rFonts w:ascii="Times New Roman" w:hAnsi="Times New Roman"/>
        </w:rPr>
        <w:t xml:space="preserve">It is my expectation that </w:t>
      </w:r>
      <w:r w:rsidR="00E35E97">
        <w:rPr>
          <w:rFonts w:ascii="Times New Roman" w:hAnsi="Times New Roman"/>
        </w:rPr>
        <w:t>attempt</w:t>
      </w:r>
      <w:r w:rsidR="001E1FEE">
        <w:rPr>
          <w:rFonts w:ascii="Times New Roman" w:hAnsi="Times New Roman"/>
        </w:rPr>
        <w:t>s</w:t>
      </w:r>
      <w:r w:rsidR="00E35E97">
        <w:rPr>
          <w:rFonts w:ascii="Times New Roman" w:hAnsi="Times New Roman"/>
        </w:rPr>
        <w:t xml:space="preserve"> to modify the PPA Rider and related requests will not </w:t>
      </w:r>
      <w:r w:rsidR="000109CA">
        <w:rPr>
          <w:rFonts w:ascii="Times New Roman" w:hAnsi="Times New Roman"/>
        </w:rPr>
        <w:t xml:space="preserve">likely </w:t>
      </w:r>
      <w:r w:rsidR="00E35E97">
        <w:rPr>
          <w:rFonts w:ascii="Times New Roman" w:hAnsi="Times New Roman"/>
        </w:rPr>
        <w:t xml:space="preserve">overcome the </w:t>
      </w:r>
      <w:r w:rsidR="00814FC3">
        <w:rPr>
          <w:rFonts w:ascii="Times New Roman" w:hAnsi="Times New Roman"/>
        </w:rPr>
        <w:t xml:space="preserve">serious </w:t>
      </w:r>
      <w:r w:rsidR="00E35E97">
        <w:rPr>
          <w:rFonts w:ascii="Times New Roman" w:hAnsi="Times New Roman"/>
        </w:rPr>
        <w:t xml:space="preserve">deficiencies </w:t>
      </w:r>
      <w:r w:rsidR="00814FC3">
        <w:rPr>
          <w:rFonts w:ascii="Times New Roman" w:hAnsi="Times New Roman"/>
        </w:rPr>
        <w:t xml:space="preserve">that </w:t>
      </w:r>
      <w:r w:rsidR="007A0ADC">
        <w:rPr>
          <w:rFonts w:ascii="Times New Roman" w:hAnsi="Times New Roman"/>
        </w:rPr>
        <w:t xml:space="preserve">are </w:t>
      </w:r>
      <w:r w:rsidR="00E35E97">
        <w:rPr>
          <w:rFonts w:ascii="Times New Roman" w:hAnsi="Times New Roman"/>
        </w:rPr>
        <w:t>identified</w:t>
      </w:r>
      <w:r w:rsidR="00814FC3">
        <w:rPr>
          <w:rFonts w:ascii="Times New Roman" w:hAnsi="Times New Roman"/>
        </w:rPr>
        <w:t xml:space="preserve"> by me and other OCC witnesses</w:t>
      </w:r>
      <w:r w:rsidR="002B216A">
        <w:rPr>
          <w:rFonts w:ascii="Times New Roman" w:hAnsi="Times New Roman"/>
        </w:rPr>
        <w:t>.</w:t>
      </w:r>
    </w:p>
    <w:p w:rsidR="009C6A20" w:rsidRPr="00406BD5" w:rsidRDefault="00AD1D2A" w:rsidP="00406BD5">
      <w:pPr>
        <w:pStyle w:val="ListParagraph"/>
        <w:numPr>
          <w:ilvl w:val="0"/>
          <w:numId w:val="32"/>
        </w:numPr>
        <w:spacing w:line="480" w:lineRule="auto"/>
        <w:ind w:leftChars="0" w:left="2160" w:right="720" w:hanging="720"/>
        <w:rPr>
          <w:b/>
          <w:bCs/>
          <w:i/>
        </w:rPr>
      </w:pPr>
      <w:r w:rsidRPr="00AD1D2A">
        <w:rPr>
          <w:rFonts w:ascii="Times New Roman" w:hAnsi="Times New Roman"/>
        </w:rPr>
        <w:t>No ROE should be included in the formula rate contract between AEPGR and AEP Ohio for the electricity generated by the units included in the Affiliate PPA.</w:t>
      </w:r>
      <w:r>
        <w:rPr>
          <w:rFonts w:ascii="Times New Roman" w:hAnsi="Times New Roman"/>
        </w:rPr>
        <w:t xml:space="preserve">  </w:t>
      </w:r>
      <w:r w:rsidR="00AA3B58" w:rsidRPr="00AD1D2A">
        <w:rPr>
          <w:rFonts w:ascii="Times New Roman" w:hAnsi="Times New Roman"/>
        </w:rPr>
        <w:t xml:space="preserve">However, </w:t>
      </w:r>
      <w:r w:rsidR="00477A0A" w:rsidRPr="00AD1D2A">
        <w:rPr>
          <w:rFonts w:ascii="Times New Roman" w:hAnsi="Times New Roman"/>
        </w:rPr>
        <w:t>i</w:t>
      </w:r>
      <w:r w:rsidR="00567249" w:rsidRPr="00AD1D2A">
        <w:rPr>
          <w:rFonts w:ascii="Times New Roman" w:hAnsi="Times New Roman"/>
        </w:rPr>
        <w:t>f a PPA Rider were adopted by the Commission</w:t>
      </w:r>
      <w:r w:rsidR="00CA3141" w:rsidRPr="00FF4BEC">
        <w:rPr>
          <w:rFonts w:ascii="Times New Roman" w:hAnsi="Times New Roman"/>
        </w:rPr>
        <w:t xml:space="preserve"> </w:t>
      </w:r>
      <w:r w:rsidR="00167848" w:rsidRPr="00FF4BEC">
        <w:rPr>
          <w:rFonts w:ascii="Times New Roman" w:hAnsi="Times New Roman"/>
        </w:rPr>
        <w:t xml:space="preserve">(which OCC does not recommend) </w:t>
      </w:r>
      <w:r w:rsidR="00CA3141" w:rsidRPr="00EA4A08">
        <w:rPr>
          <w:rFonts w:ascii="Times New Roman" w:hAnsi="Times New Roman"/>
        </w:rPr>
        <w:t xml:space="preserve">and a specific ROE is needed for </w:t>
      </w:r>
      <w:r w:rsidR="003579D2" w:rsidRPr="00EA4A08">
        <w:rPr>
          <w:rFonts w:ascii="Times New Roman" w:hAnsi="Times New Roman"/>
        </w:rPr>
        <w:t xml:space="preserve">contracting or </w:t>
      </w:r>
      <w:r w:rsidR="00CA3141" w:rsidRPr="00EA4A08">
        <w:rPr>
          <w:rFonts w:ascii="Times New Roman" w:hAnsi="Times New Roman"/>
        </w:rPr>
        <w:t>ratemaking</w:t>
      </w:r>
      <w:r w:rsidR="00567249" w:rsidRPr="00EA4A08">
        <w:rPr>
          <w:rFonts w:ascii="Times New Roman" w:hAnsi="Times New Roman"/>
        </w:rPr>
        <w:t xml:space="preserve">, the initial “ROE” </w:t>
      </w:r>
      <w:r w:rsidR="00684D28" w:rsidRPr="00EA4A08">
        <w:rPr>
          <w:rFonts w:ascii="Times New Roman" w:hAnsi="Times New Roman"/>
        </w:rPr>
        <w:t xml:space="preserve">to be </w:t>
      </w:r>
      <w:r w:rsidR="00C43FCB" w:rsidRPr="00EA4A08">
        <w:rPr>
          <w:rFonts w:ascii="Times New Roman" w:hAnsi="Times New Roman"/>
        </w:rPr>
        <w:t xml:space="preserve">used </w:t>
      </w:r>
      <w:r w:rsidR="00684D28" w:rsidRPr="00EA4A08">
        <w:rPr>
          <w:rFonts w:ascii="Times New Roman" w:hAnsi="Times New Roman"/>
        </w:rPr>
        <w:t xml:space="preserve">in </w:t>
      </w:r>
      <w:r w:rsidR="00567249" w:rsidRPr="00EA4A08">
        <w:rPr>
          <w:rFonts w:ascii="Times New Roman" w:hAnsi="Times New Roman"/>
        </w:rPr>
        <w:t>calculat</w:t>
      </w:r>
      <w:r w:rsidR="00684D28" w:rsidRPr="00EA4A08">
        <w:rPr>
          <w:rFonts w:ascii="Times New Roman" w:hAnsi="Times New Roman"/>
        </w:rPr>
        <w:t xml:space="preserve">ing </w:t>
      </w:r>
      <w:r w:rsidR="00567249" w:rsidRPr="00EA4A08">
        <w:rPr>
          <w:rFonts w:ascii="Times New Roman" w:hAnsi="Times New Roman"/>
        </w:rPr>
        <w:t>the rate paid by AEP Ohio</w:t>
      </w:r>
      <w:r w:rsidR="00C43FCB" w:rsidRPr="00EA4A08">
        <w:rPr>
          <w:rFonts w:ascii="Times New Roman" w:hAnsi="Times New Roman"/>
        </w:rPr>
        <w:t xml:space="preserve"> (</w:t>
      </w:r>
      <w:r w:rsidR="00684D28" w:rsidRPr="00EA4A08">
        <w:rPr>
          <w:rFonts w:ascii="Times New Roman" w:hAnsi="Times New Roman"/>
        </w:rPr>
        <w:t>and consequently paid by its customers through the PPA Rider</w:t>
      </w:r>
      <w:r w:rsidR="00C43FCB" w:rsidRPr="00EA4A08">
        <w:rPr>
          <w:rFonts w:ascii="Times New Roman" w:hAnsi="Times New Roman"/>
        </w:rPr>
        <w:t xml:space="preserve">) </w:t>
      </w:r>
      <w:r w:rsidR="00567249" w:rsidRPr="00EA4A08">
        <w:rPr>
          <w:rFonts w:ascii="Times New Roman" w:hAnsi="Times New Roman"/>
        </w:rPr>
        <w:t xml:space="preserve">to AEPGR should be </w:t>
      </w:r>
      <w:r w:rsidR="00814FC3" w:rsidRPr="00EA4A08">
        <w:rPr>
          <w:rFonts w:ascii="Times New Roman" w:hAnsi="Times New Roman"/>
        </w:rPr>
        <w:t xml:space="preserve">set </w:t>
      </w:r>
      <w:r w:rsidR="000109CA" w:rsidRPr="00EA4A08">
        <w:rPr>
          <w:rFonts w:ascii="Times New Roman" w:hAnsi="Times New Roman"/>
        </w:rPr>
        <w:t>as low as possible</w:t>
      </w:r>
      <w:r w:rsidR="00985807" w:rsidRPr="00EA4A08">
        <w:rPr>
          <w:rFonts w:ascii="Times New Roman" w:hAnsi="Times New Roman"/>
        </w:rPr>
        <w:t>.  This is in keeping with the notion that under</w:t>
      </w:r>
      <w:r w:rsidR="005E002D" w:rsidRPr="00EA4A08">
        <w:rPr>
          <w:rFonts w:ascii="Times New Roman" w:hAnsi="Times New Roman"/>
        </w:rPr>
        <w:t xml:space="preserve"> the</w:t>
      </w:r>
      <w:r w:rsidR="000D40B3" w:rsidRPr="00EA4A08">
        <w:rPr>
          <w:rFonts w:ascii="Times New Roman" w:hAnsi="Times New Roman"/>
        </w:rPr>
        <w:t xml:space="preserve"> proposed PPA</w:t>
      </w:r>
      <w:r w:rsidR="00985807" w:rsidRPr="00EA4A08">
        <w:rPr>
          <w:rFonts w:ascii="Times New Roman" w:hAnsi="Times New Roman"/>
        </w:rPr>
        <w:t>,</w:t>
      </w:r>
      <w:r w:rsidR="00B42A60" w:rsidRPr="00EA4A08">
        <w:rPr>
          <w:rFonts w:ascii="Times New Roman" w:hAnsi="Times New Roman"/>
        </w:rPr>
        <w:t xml:space="preserve"> all of</w:t>
      </w:r>
      <w:r w:rsidR="00985807" w:rsidRPr="00EA4A08">
        <w:rPr>
          <w:rFonts w:ascii="Times New Roman" w:hAnsi="Times New Roman"/>
        </w:rPr>
        <w:t xml:space="preserve"> the</w:t>
      </w:r>
      <w:r w:rsidR="000D40B3" w:rsidRPr="00EA4A08">
        <w:rPr>
          <w:rFonts w:ascii="Times New Roman" w:hAnsi="Times New Roman"/>
        </w:rPr>
        <w:t xml:space="preserve"> business and financial </w:t>
      </w:r>
      <w:r w:rsidR="005E002D" w:rsidRPr="00EA4A08">
        <w:rPr>
          <w:rFonts w:ascii="Times New Roman" w:hAnsi="Times New Roman"/>
        </w:rPr>
        <w:t>risk</w:t>
      </w:r>
      <w:r w:rsidR="00B42A60" w:rsidRPr="00EA4A08">
        <w:rPr>
          <w:rFonts w:ascii="Times New Roman" w:hAnsi="Times New Roman"/>
        </w:rPr>
        <w:t>s</w:t>
      </w:r>
      <w:r w:rsidR="005E002D" w:rsidRPr="00EA4A08">
        <w:rPr>
          <w:rFonts w:ascii="Times New Roman" w:hAnsi="Times New Roman"/>
        </w:rPr>
        <w:t xml:space="preserve"> to </w:t>
      </w:r>
      <w:r w:rsidR="00985807" w:rsidRPr="00EA4A08">
        <w:rPr>
          <w:rFonts w:ascii="Times New Roman" w:hAnsi="Times New Roman"/>
        </w:rPr>
        <w:t xml:space="preserve">AEPGR are transferred to </w:t>
      </w:r>
      <w:r w:rsidR="00DD0738">
        <w:rPr>
          <w:rFonts w:ascii="Times New Roman" w:hAnsi="Times New Roman"/>
        </w:rPr>
        <w:t xml:space="preserve">captive retail </w:t>
      </w:r>
      <w:r w:rsidR="005E002D" w:rsidRPr="00EA4A08">
        <w:rPr>
          <w:rFonts w:ascii="Times New Roman" w:hAnsi="Times New Roman"/>
        </w:rPr>
        <w:t>customers</w:t>
      </w:r>
      <w:r w:rsidR="000109CA" w:rsidRPr="00EA4A08">
        <w:rPr>
          <w:rFonts w:ascii="Times New Roman" w:hAnsi="Times New Roman"/>
        </w:rPr>
        <w:t xml:space="preserve">.  </w:t>
      </w:r>
      <w:r w:rsidR="000D40B3" w:rsidRPr="00EA4A08">
        <w:rPr>
          <w:rFonts w:ascii="Times New Roman" w:hAnsi="Times New Roman"/>
        </w:rPr>
        <w:t>As a matter of fairness and f</w:t>
      </w:r>
      <w:r w:rsidR="000109CA" w:rsidRPr="00EA4A08">
        <w:rPr>
          <w:rFonts w:ascii="Times New Roman" w:hAnsi="Times New Roman"/>
        </w:rPr>
        <w:t xml:space="preserve">or the protection of AEP Ohio’s customers, </w:t>
      </w:r>
      <w:r w:rsidR="00DD6509" w:rsidRPr="00EA4A08">
        <w:rPr>
          <w:rFonts w:ascii="Times New Roman" w:hAnsi="Times New Roman"/>
        </w:rPr>
        <w:t xml:space="preserve">I propose </w:t>
      </w:r>
      <w:r w:rsidR="000109CA" w:rsidRPr="00EA4A08">
        <w:rPr>
          <w:rFonts w:ascii="Times New Roman" w:hAnsi="Times New Roman"/>
        </w:rPr>
        <w:t xml:space="preserve">the ROE applicable to the PPA Units be </w:t>
      </w:r>
      <w:r w:rsidR="00DD6509" w:rsidRPr="00EA4A08">
        <w:rPr>
          <w:rFonts w:ascii="Times New Roman" w:hAnsi="Times New Roman"/>
        </w:rPr>
        <w:t xml:space="preserve">set </w:t>
      </w:r>
      <w:r w:rsidR="00567249" w:rsidRPr="00EA4A08">
        <w:rPr>
          <w:rFonts w:ascii="Times New Roman" w:hAnsi="Times New Roman"/>
        </w:rPr>
        <w:t xml:space="preserve">no higher than AEPGR’s </w:t>
      </w:r>
      <w:r w:rsidR="00C43FCB" w:rsidRPr="00EA4A08">
        <w:rPr>
          <w:rFonts w:ascii="Times New Roman" w:hAnsi="Times New Roman"/>
        </w:rPr>
        <w:t xml:space="preserve">average </w:t>
      </w:r>
      <w:r w:rsidR="00567249" w:rsidRPr="00EA4A08">
        <w:rPr>
          <w:rFonts w:ascii="Times New Roman" w:hAnsi="Times New Roman"/>
        </w:rPr>
        <w:t>cost of debt (</w:t>
      </w:r>
      <w:r w:rsidR="00684D28" w:rsidRPr="00EA4A08">
        <w:rPr>
          <w:rFonts w:ascii="Times New Roman" w:hAnsi="Times New Roman"/>
        </w:rPr>
        <w:t xml:space="preserve">for </w:t>
      </w:r>
      <w:r w:rsidR="00567249" w:rsidRPr="00EA4A08">
        <w:rPr>
          <w:rFonts w:ascii="Times New Roman" w:hAnsi="Times New Roman"/>
        </w:rPr>
        <w:t xml:space="preserve">both long-term and short-term </w:t>
      </w:r>
      <w:r w:rsidR="002A4D51" w:rsidRPr="00EA4A08">
        <w:rPr>
          <w:rFonts w:ascii="Times New Roman" w:hAnsi="Times New Roman"/>
        </w:rPr>
        <w:t>debt</w:t>
      </w:r>
      <w:r w:rsidR="00567249" w:rsidRPr="00EA4A08">
        <w:rPr>
          <w:rFonts w:ascii="Times New Roman" w:hAnsi="Times New Roman"/>
        </w:rPr>
        <w:t>)</w:t>
      </w:r>
      <w:r w:rsidR="00C43FCB" w:rsidRPr="00EA4A08">
        <w:rPr>
          <w:rFonts w:ascii="Times New Roman" w:hAnsi="Times New Roman"/>
        </w:rPr>
        <w:t xml:space="preserve"> </w:t>
      </w:r>
      <w:r w:rsidR="00F1480B" w:rsidRPr="00EA4A08">
        <w:rPr>
          <w:rFonts w:ascii="Times New Roman" w:hAnsi="Times New Roman"/>
        </w:rPr>
        <w:t xml:space="preserve">during the </w:t>
      </w:r>
      <w:r w:rsidR="00C43FCB" w:rsidRPr="00EA4A08">
        <w:rPr>
          <w:rFonts w:ascii="Times New Roman" w:hAnsi="Times New Roman"/>
        </w:rPr>
        <w:t>three</w:t>
      </w:r>
      <w:r w:rsidR="005E002D" w:rsidRPr="00EA4A08">
        <w:rPr>
          <w:rFonts w:ascii="Times New Roman" w:hAnsi="Times New Roman"/>
        </w:rPr>
        <w:t>-</w:t>
      </w:r>
      <w:r w:rsidR="00C43FCB" w:rsidRPr="00EA4A08">
        <w:rPr>
          <w:rFonts w:ascii="Times New Roman" w:hAnsi="Times New Roman"/>
        </w:rPr>
        <w:t xml:space="preserve">month period preceding the filing of </w:t>
      </w:r>
      <w:r w:rsidR="00CA628B" w:rsidRPr="00EA4A08">
        <w:rPr>
          <w:rFonts w:ascii="Times New Roman" w:hAnsi="Times New Roman"/>
        </w:rPr>
        <w:t xml:space="preserve">a </w:t>
      </w:r>
      <w:r w:rsidR="00C43FCB" w:rsidRPr="00EA4A08">
        <w:rPr>
          <w:rFonts w:ascii="Times New Roman" w:hAnsi="Times New Roman"/>
        </w:rPr>
        <w:t>PPA Rider</w:t>
      </w:r>
      <w:r w:rsidR="009C7618" w:rsidRPr="00EA4A08">
        <w:rPr>
          <w:rFonts w:ascii="Times New Roman" w:hAnsi="Times New Roman"/>
        </w:rPr>
        <w:t>.</w:t>
      </w:r>
    </w:p>
    <w:p w:rsidR="00406BD5" w:rsidRPr="00AD1D2A" w:rsidRDefault="00406BD5" w:rsidP="00406BD5">
      <w:pPr>
        <w:pStyle w:val="ListParagraph"/>
        <w:spacing w:line="480" w:lineRule="auto"/>
        <w:ind w:leftChars="0" w:left="2160" w:right="720"/>
        <w:rPr>
          <w:b/>
          <w:bCs/>
          <w:i/>
        </w:rPr>
      </w:pPr>
    </w:p>
    <w:p w:rsidR="00DD374D" w:rsidRDefault="00DD374D" w:rsidP="00DD374D">
      <w:pPr>
        <w:tabs>
          <w:tab w:val="num" w:pos="720"/>
        </w:tabs>
        <w:spacing w:line="480" w:lineRule="auto"/>
        <w:ind w:left="720" w:hanging="720"/>
        <w:rPr>
          <w:b/>
          <w:bCs/>
          <w:i/>
        </w:rPr>
      </w:pPr>
      <w:r>
        <w:rPr>
          <w:b/>
          <w:bCs/>
          <w:i/>
        </w:rPr>
        <w:t>Q</w:t>
      </w:r>
      <w:r w:rsidR="00AA3B58">
        <w:rPr>
          <w:b/>
          <w:bCs/>
          <w:i/>
        </w:rPr>
        <w:t>8</w:t>
      </w:r>
      <w:r>
        <w:rPr>
          <w:b/>
          <w:bCs/>
          <w:i/>
        </w:rPr>
        <w:t>.</w:t>
      </w:r>
      <w:r>
        <w:rPr>
          <w:b/>
          <w:bCs/>
          <w:i/>
        </w:rPr>
        <w:tab/>
        <w:t>PLEASE SUMMARIZE AEP OHIO’S PROPOSED COST OF EQUITY (</w:t>
      </w:r>
      <w:r w:rsidR="004543E3">
        <w:rPr>
          <w:b/>
          <w:bCs/>
          <w:i/>
        </w:rPr>
        <w:t xml:space="preserve">OR </w:t>
      </w:r>
      <w:r>
        <w:rPr>
          <w:b/>
          <w:bCs/>
          <w:i/>
        </w:rPr>
        <w:t xml:space="preserve">RETURN ON EQUITY) </w:t>
      </w:r>
      <w:r w:rsidR="00CD02F7">
        <w:rPr>
          <w:b/>
          <w:bCs/>
          <w:i/>
        </w:rPr>
        <w:t xml:space="preserve">USED </w:t>
      </w:r>
      <w:r w:rsidR="000109CA">
        <w:rPr>
          <w:b/>
          <w:bCs/>
          <w:i/>
        </w:rPr>
        <w:t xml:space="preserve">IN </w:t>
      </w:r>
      <w:r w:rsidR="00814FC3">
        <w:rPr>
          <w:b/>
          <w:bCs/>
          <w:i/>
        </w:rPr>
        <w:t xml:space="preserve">THE </w:t>
      </w:r>
      <w:r w:rsidR="00F1480B">
        <w:rPr>
          <w:b/>
          <w:bCs/>
          <w:i/>
        </w:rPr>
        <w:t xml:space="preserve">AFFILIATE </w:t>
      </w:r>
      <w:r w:rsidR="000109CA">
        <w:rPr>
          <w:b/>
          <w:bCs/>
          <w:i/>
        </w:rPr>
        <w:t xml:space="preserve">POWER PURCHASE AGREEMENT </w:t>
      </w:r>
      <w:r w:rsidR="001E1FEE">
        <w:rPr>
          <w:b/>
          <w:bCs/>
          <w:i/>
        </w:rPr>
        <w:t xml:space="preserve">(AFFILIATE PPA) </w:t>
      </w:r>
      <w:r w:rsidR="000109CA">
        <w:rPr>
          <w:b/>
          <w:bCs/>
          <w:i/>
        </w:rPr>
        <w:t>BETWEEN AEP OHIO</w:t>
      </w:r>
      <w:r w:rsidR="00F1480B">
        <w:rPr>
          <w:b/>
          <w:bCs/>
          <w:i/>
        </w:rPr>
        <w:t xml:space="preserve"> AND </w:t>
      </w:r>
      <w:r w:rsidR="000109CA">
        <w:rPr>
          <w:b/>
          <w:bCs/>
          <w:i/>
        </w:rPr>
        <w:t>AEP</w:t>
      </w:r>
      <w:r w:rsidR="002B216A">
        <w:rPr>
          <w:b/>
          <w:bCs/>
          <w:i/>
        </w:rPr>
        <w:t>GR</w:t>
      </w:r>
      <w:r w:rsidR="000109CA">
        <w:rPr>
          <w:b/>
          <w:bCs/>
          <w:i/>
        </w:rPr>
        <w:t>.</w:t>
      </w:r>
    </w:p>
    <w:p w:rsidR="002177B8" w:rsidRDefault="00DD374D" w:rsidP="002177B8">
      <w:pPr>
        <w:tabs>
          <w:tab w:val="num" w:pos="720"/>
        </w:tabs>
        <w:spacing w:line="480" w:lineRule="auto"/>
        <w:ind w:left="720" w:hanging="720"/>
        <w:rPr>
          <w:bCs/>
        </w:rPr>
      </w:pPr>
      <w:r>
        <w:rPr>
          <w:b/>
          <w:bCs/>
          <w:i/>
        </w:rPr>
        <w:t>A</w:t>
      </w:r>
      <w:r w:rsidR="00AA3B58">
        <w:rPr>
          <w:b/>
          <w:bCs/>
          <w:i/>
        </w:rPr>
        <w:t>8</w:t>
      </w:r>
      <w:r>
        <w:rPr>
          <w:b/>
          <w:bCs/>
          <w:i/>
        </w:rPr>
        <w:t>.</w:t>
      </w:r>
      <w:r w:rsidR="00684D28">
        <w:rPr>
          <w:b/>
          <w:bCs/>
          <w:i/>
        </w:rPr>
        <w:tab/>
      </w:r>
      <w:r w:rsidR="000109CA">
        <w:rPr>
          <w:bCs/>
        </w:rPr>
        <w:t xml:space="preserve">The 11.24% ROE </w:t>
      </w:r>
      <w:r w:rsidR="00B10CB6">
        <w:rPr>
          <w:bCs/>
        </w:rPr>
        <w:t xml:space="preserve">proposed in the Amended Application is not an </w:t>
      </w:r>
      <w:r w:rsidR="000109CA">
        <w:rPr>
          <w:bCs/>
        </w:rPr>
        <w:t xml:space="preserve">ROE </w:t>
      </w:r>
      <w:r w:rsidR="00B10CB6">
        <w:rPr>
          <w:bCs/>
        </w:rPr>
        <w:t xml:space="preserve">for AEP Ohio, a regulated electric utility.  Neither is the 11.24% an ROE for AEPGR, </w:t>
      </w:r>
      <w:r w:rsidR="009F349B">
        <w:rPr>
          <w:bCs/>
        </w:rPr>
        <w:t>an</w:t>
      </w:r>
      <w:r w:rsidR="00B10CB6">
        <w:rPr>
          <w:bCs/>
        </w:rPr>
        <w:t xml:space="preserve"> unregulated power producer.  The proposed 11.24% ROE is applicable to certain generation </w:t>
      </w:r>
      <w:r w:rsidR="005E002D">
        <w:rPr>
          <w:bCs/>
        </w:rPr>
        <w:t xml:space="preserve">units </w:t>
      </w:r>
      <w:r w:rsidR="00DD6509">
        <w:rPr>
          <w:bCs/>
        </w:rPr>
        <w:t xml:space="preserve">owned by AEPGR and </w:t>
      </w:r>
      <w:r w:rsidR="00814FC3">
        <w:rPr>
          <w:bCs/>
        </w:rPr>
        <w:t>included in the Affiliate PPA</w:t>
      </w:r>
      <w:r w:rsidR="001E1FEE">
        <w:rPr>
          <w:bCs/>
        </w:rPr>
        <w:t>.</w:t>
      </w:r>
      <w:r w:rsidR="002177B8">
        <w:rPr>
          <w:bCs/>
        </w:rPr>
        <w:br w:type="page"/>
      </w:r>
    </w:p>
    <w:p w:rsidR="00E56DCF" w:rsidRDefault="00B10CB6" w:rsidP="009C7618">
      <w:pPr>
        <w:tabs>
          <w:tab w:val="num" w:pos="720"/>
        </w:tabs>
        <w:spacing w:line="480" w:lineRule="auto"/>
        <w:ind w:left="720"/>
        <w:rPr>
          <w:bCs/>
        </w:rPr>
      </w:pPr>
      <w:r>
        <w:rPr>
          <w:bCs/>
        </w:rPr>
        <w:t xml:space="preserve">The </w:t>
      </w:r>
      <w:r w:rsidR="00477A0A">
        <w:rPr>
          <w:bCs/>
        </w:rPr>
        <w:t xml:space="preserve">proposed </w:t>
      </w:r>
      <w:r>
        <w:rPr>
          <w:bCs/>
        </w:rPr>
        <w:t xml:space="preserve">11.24% ROE </w:t>
      </w:r>
      <w:r w:rsidR="000109CA">
        <w:rPr>
          <w:bCs/>
        </w:rPr>
        <w:t xml:space="preserve">is used to calculate the rate </w:t>
      </w:r>
      <w:r w:rsidR="00DD6509">
        <w:rPr>
          <w:bCs/>
        </w:rPr>
        <w:t xml:space="preserve">charged by AEPGR to AEP Ohio </w:t>
      </w:r>
      <w:r w:rsidR="000109CA">
        <w:rPr>
          <w:bCs/>
        </w:rPr>
        <w:t xml:space="preserve">for electricity produced </w:t>
      </w:r>
      <w:r w:rsidR="003579D2">
        <w:rPr>
          <w:bCs/>
        </w:rPr>
        <w:t xml:space="preserve">by </w:t>
      </w:r>
      <w:r w:rsidR="000109CA">
        <w:rPr>
          <w:bCs/>
        </w:rPr>
        <w:t xml:space="preserve">the </w:t>
      </w:r>
      <w:r w:rsidR="00E56DCF">
        <w:rPr>
          <w:bCs/>
        </w:rPr>
        <w:t>power plants included in the Affiliate PPA</w:t>
      </w:r>
      <w:r w:rsidR="000109CA">
        <w:rPr>
          <w:bCs/>
        </w:rPr>
        <w:t xml:space="preserve">.  The electricity purchased under the Affiliate PPA will not be used to serve AEP Ohio’s customers.  Instead AEP Ohio will liquidate its position in the PJM market and receive the proceeds from such as a sale.  The difference (either a credit or a charge) between what AEP Ohio pays to AEPGR and the proceeds AEP Ohio receives from PJM are then collected from all retail customers through the proposed PPA Rider. </w:t>
      </w:r>
      <w:r w:rsidR="00406BD5">
        <w:rPr>
          <w:bCs/>
        </w:rPr>
        <w:t xml:space="preserve"> </w:t>
      </w:r>
      <w:r w:rsidR="00E56DCF">
        <w:rPr>
          <w:bCs/>
        </w:rPr>
        <w:t xml:space="preserve">In other words, the customers of AEP Ohio will be paying the </w:t>
      </w:r>
      <w:r w:rsidR="00DD6509">
        <w:rPr>
          <w:bCs/>
        </w:rPr>
        <w:t>so-called “</w:t>
      </w:r>
      <w:r w:rsidR="00E56DCF">
        <w:rPr>
          <w:bCs/>
        </w:rPr>
        <w:t>cost</w:t>
      </w:r>
      <w:r w:rsidR="003579D2">
        <w:rPr>
          <w:bCs/>
        </w:rPr>
        <w:t>s</w:t>
      </w:r>
      <w:r w:rsidR="00DD6509">
        <w:rPr>
          <w:bCs/>
        </w:rPr>
        <w:t>”</w:t>
      </w:r>
      <w:r w:rsidR="00E56DCF">
        <w:rPr>
          <w:bCs/>
        </w:rPr>
        <w:t xml:space="preserve"> (including a guaranteed return of 11.24% on </w:t>
      </w:r>
      <w:r w:rsidR="002268FC">
        <w:rPr>
          <w:bCs/>
        </w:rPr>
        <w:t xml:space="preserve">generation </w:t>
      </w:r>
      <w:r w:rsidR="00E56DCF">
        <w:rPr>
          <w:bCs/>
        </w:rPr>
        <w:t xml:space="preserve">investments) </w:t>
      </w:r>
      <w:r w:rsidR="003579D2">
        <w:rPr>
          <w:bCs/>
        </w:rPr>
        <w:t xml:space="preserve">determined through a formula contract </w:t>
      </w:r>
      <w:r w:rsidR="00DD6509">
        <w:rPr>
          <w:bCs/>
        </w:rPr>
        <w:t xml:space="preserve">to AEPGR for </w:t>
      </w:r>
      <w:r w:rsidR="00E56DCF">
        <w:rPr>
          <w:bCs/>
        </w:rPr>
        <w:t>all electricity generated from those units included in the Affiliate PPA.</w:t>
      </w:r>
    </w:p>
    <w:p w:rsidR="000109CA" w:rsidRPr="00684D28" w:rsidRDefault="000109CA" w:rsidP="000109CA">
      <w:pPr>
        <w:tabs>
          <w:tab w:val="num" w:pos="720"/>
        </w:tabs>
        <w:spacing w:line="480" w:lineRule="auto"/>
        <w:ind w:left="720" w:hanging="720"/>
        <w:rPr>
          <w:bCs/>
        </w:rPr>
      </w:pPr>
    </w:p>
    <w:p w:rsidR="00684D28" w:rsidRDefault="00E56DCF" w:rsidP="009C7618">
      <w:pPr>
        <w:tabs>
          <w:tab w:val="num" w:pos="720"/>
        </w:tabs>
        <w:spacing w:line="480" w:lineRule="auto"/>
        <w:ind w:left="720"/>
        <w:rPr>
          <w:bCs/>
        </w:rPr>
      </w:pPr>
      <w:r>
        <w:rPr>
          <w:bCs/>
        </w:rPr>
        <w:t xml:space="preserve">In </w:t>
      </w:r>
      <w:r w:rsidR="005E002D">
        <w:rPr>
          <w:bCs/>
        </w:rPr>
        <w:t xml:space="preserve">its </w:t>
      </w:r>
      <w:r>
        <w:rPr>
          <w:bCs/>
        </w:rPr>
        <w:t xml:space="preserve">Amended Application, </w:t>
      </w:r>
      <w:r w:rsidR="00684D28">
        <w:rPr>
          <w:bCs/>
        </w:rPr>
        <w:t xml:space="preserve">AEP Ohio proposes to </w:t>
      </w:r>
      <w:r>
        <w:rPr>
          <w:bCs/>
        </w:rPr>
        <w:t xml:space="preserve">set the ROE </w:t>
      </w:r>
      <w:r w:rsidR="003579D2">
        <w:rPr>
          <w:bCs/>
        </w:rPr>
        <w:t>to be used in</w:t>
      </w:r>
      <w:r w:rsidR="002268FC">
        <w:rPr>
          <w:bCs/>
        </w:rPr>
        <w:t xml:space="preserve"> the </w:t>
      </w:r>
      <w:r w:rsidR="00DD6509">
        <w:rPr>
          <w:bCs/>
        </w:rPr>
        <w:t xml:space="preserve">Affiliate PPA </w:t>
      </w:r>
      <w:r>
        <w:rPr>
          <w:bCs/>
        </w:rPr>
        <w:t>a</w:t>
      </w:r>
      <w:r w:rsidR="00DD6509">
        <w:rPr>
          <w:bCs/>
        </w:rPr>
        <w:t>t</w:t>
      </w:r>
      <w:r>
        <w:rPr>
          <w:bCs/>
        </w:rPr>
        <w:t xml:space="preserve"> the sum of </w:t>
      </w:r>
      <w:r w:rsidR="00684D28">
        <w:rPr>
          <w:bCs/>
        </w:rPr>
        <w:t xml:space="preserve">the average of the daily Moody’s index (the Moody’s Baa Corporate Bond Index) for the December of the preceding calendar year plus </w:t>
      </w:r>
      <w:r w:rsidR="004D5B5C">
        <w:rPr>
          <w:bCs/>
        </w:rPr>
        <w:t xml:space="preserve">an equity risk premium of </w:t>
      </w:r>
      <w:r w:rsidR="00684D28">
        <w:rPr>
          <w:bCs/>
        </w:rPr>
        <w:t xml:space="preserve">650 basis points </w:t>
      </w:r>
      <w:r w:rsidR="00CA628B">
        <w:rPr>
          <w:bCs/>
        </w:rPr>
        <w:t>(</w:t>
      </w:r>
      <w:r w:rsidR="00CD02F7">
        <w:rPr>
          <w:bCs/>
        </w:rPr>
        <w:t>or 6.5%</w:t>
      </w:r>
      <w:r w:rsidR="00CA628B">
        <w:rPr>
          <w:bCs/>
        </w:rPr>
        <w:t>)</w:t>
      </w:r>
      <w:r w:rsidR="004D5B5C">
        <w:rPr>
          <w:bCs/>
        </w:rPr>
        <w:t xml:space="preserve">. </w:t>
      </w:r>
      <w:r w:rsidR="00684D28">
        <w:rPr>
          <w:bCs/>
        </w:rPr>
        <w:t xml:space="preserve"> Initially, the Moody’s index was 4.74%, and the ROE would be set at 11.24%.</w:t>
      </w:r>
    </w:p>
    <w:p w:rsidR="00DD374D" w:rsidRDefault="00DD374D" w:rsidP="00DD374D">
      <w:pPr>
        <w:tabs>
          <w:tab w:val="num" w:pos="720"/>
        </w:tabs>
        <w:spacing w:line="480" w:lineRule="auto"/>
        <w:ind w:left="720" w:hanging="720"/>
        <w:rPr>
          <w:b/>
          <w:bCs/>
          <w:i/>
        </w:rPr>
      </w:pPr>
    </w:p>
    <w:p w:rsidR="00DD374D" w:rsidRDefault="00DD374D" w:rsidP="00DD374D">
      <w:pPr>
        <w:tabs>
          <w:tab w:val="num" w:pos="720"/>
        </w:tabs>
        <w:spacing w:line="480" w:lineRule="auto"/>
        <w:ind w:left="720" w:hanging="720"/>
        <w:rPr>
          <w:b/>
          <w:bCs/>
          <w:i/>
        </w:rPr>
      </w:pPr>
      <w:r>
        <w:rPr>
          <w:b/>
          <w:bCs/>
          <w:i/>
        </w:rPr>
        <w:t>Q</w:t>
      </w:r>
      <w:r w:rsidR="00AA3B58">
        <w:rPr>
          <w:b/>
          <w:bCs/>
          <w:i/>
        </w:rPr>
        <w:t>9</w:t>
      </w:r>
      <w:r>
        <w:rPr>
          <w:b/>
          <w:bCs/>
          <w:i/>
        </w:rPr>
        <w:t>.</w:t>
      </w:r>
      <w:r>
        <w:rPr>
          <w:b/>
          <w:bCs/>
          <w:i/>
        </w:rPr>
        <w:tab/>
      </w:r>
      <w:r w:rsidR="004543E3">
        <w:rPr>
          <w:b/>
          <w:bCs/>
          <w:i/>
        </w:rPr>
        <w:t xml:space="preserve">WHICH ENTITY WILL BENEFIT </w:t>
      </w:r>
      <w:r w:rsidR="0013263F">
        <w:rPr>
          <w:b/>
          <w:bCs/>
          <w:i/>
        </w:rPr>
        <w:t>FINANCIALLY</w:t>
      </w:r>
      <w:r w:rsidR="004543E3">
        <w:rPr>
          <w:b/>
          <w:bCs/>
          <w:i/>
        </w:rPr>
        <w:t xml:space="preserve"> FROM</w:t>
      </w:r>
      <w:r w:rsidR="00167848">
        <w:rPr>
          <w:b/>
          <w:bCs/>
          <w:i/>
        </w:rPr>
        <w:t xml:space="preserve"> </w:t>
      </w:r>
      <w:r w:rsidR="00B42A60">
        <w:rPr>
          <w:b/>
          <w:bCs/>
          <w:i/>
        </w:rPr>
        <w:t xml:space="preserve">UTILITY CUSTOMERS </w:t>
      </w:r>
      <w:r w:rsidR="00FF4BEC">
        <w:rPr>
          <w:b/>
          <w:bCs/>
          <w:i/>
        </w:rPr>
        <w:t>PAYING A</w:t>
      </w:r>
      <w:r w:rsidR="004543E3">
        <w:rPr>
          <w:b/>
          <w:bCs/>
          <w:i/>
        </w:rPr>
        <w:t xml:space="preserve"> HIGHER ROE UNDER THE PROPOSED </w:t>
      </w:r>
      <w:r w:rsidR="003579D2">
        <w:rPr>
          <w:b/>
          <w:bCs/>
          <w:i/>
        </w:rPr>
        <w:t xml:space="preserve">AFFILIATE PPA AND </w:t>
      </w:r>
      <w:r w:rsidR="004543E3">
        <w:rPr>
          <w:b/>
          <w:bCs/>
          <w:i/>
        </w:rPr>
        <w:t>PPA RIDER?</w:t>
      </w:r>
      <w:r>
        <w:rPr>
          <w:b/>
          <w:bCs/>
          <w:i/>
        </w:rPr>
        <w:t xml:space="preserve"> </w:t>
      </w:r>
    </w:p>
    <w:p w:rsidR="00DD374D" w:rsidRPr="00712160" w:rsidRDefault="00DD374D" w:rsidP="00DD374D">
      <w:pPr>
        <w:tabs>
          <w:tab w:val="num" w:pos="720"/>
        </w:tabs>
        <w:spacing w:line="480" w:lineRule="auto"/>
        <w:ind w:left="720" w:hanging="720"/>
        <w:rPr>
          <w:bCs/>
        </w:rPr>
      </w:pPr>
      <w:r w:rsidRPr="00842F67">
        <w:rPr>
          <w:b/>
          <w:bCs/>
          <w:i/>
        </w:rPr>
        <w:t>A</w:t>
      </w:r>
      <w:r w:rsidR="00AA3B58">
        <w:rPr>
          <w:b/>
          <w:bCs/>
          <w:i/>
        </w:rPr>
        <w:t>9</w:t>
      </w:r>
      <w:r w:rsidRPr="00842F67">
        <w:rPr>
          <w:b/>
          <w:bCs/>
          <w:i/>
        </w:rPr>
        <w:t>.</w:t>
      </w:r>
      <w:r w:rsidRPr="00842F67">
        <w:rPr>
          <w:b/>
          <w:bCs/>
          <w:i/>
        </w:rPr>
        <w:tab/>
      </w:r>
      <w:r w:rsidR="009F349B">
        <w:rPr>
          <w:bCs/>
        </w:rPr>
        <w:t xml:space="preserve">As the owner of the </w:t>
      </w:r>
      <w:r w:rsidR="005E002D">
        <w:rPr>
          <w:bCs/>
        </w:rPr>
        <w:t>generation units</w:t>
      </w:r>
      <w:r w:rsidR="009F349B">
        <w:rPr>
          <w:bCs/>
        </w:rPr>
        <w:t xml:space="preserve"> included in the Affiliate PPA, AEPGR is the only party that will benefit financially from </w:t>
      </w:r>
      <w:r w:rsidR="00167848">
        <w:rPr>
          <w:bCs/>
        </w:rPr>
        <w:t xml:space="preserve">receiving </w:t>
      </w:r>
      <w:r w:rsidR="009F349B">
        <w:rPr>
          <w:bCs/>
        </w:rPr>
        <w:t>a higher ROE</w:t>
      </w:r>
      <w:r w:rsidR="00167848">
        <w:rPr>
          <w:bCs/>
        </w:rPr>
        <w:t xml:space="preserve"> paid for by captive customers</w:t>
      </w:r>
      <w:r w:rsidR="009F349B">
        <w:rPr>
          <w:bCs/>
        </w:rPr>
        <w:t xml:space="preserve">.  </w:t>
      </w:r>
      <w:r w:rsidR="001E6F88">
        <w:rPr>
          <w:bCs/>
        </w:rPr>
        <w:t>AEPGR’s parent company, American Electric Power</w:t>
      </w:r>
      <w:r w:rsidR="00814FC3">
        <w:rPr>
          <w:bCs/>
        </w:rPr>
        <w:t>,</w:t>
      </w:r>
      <w:r w:rsidR="001E6F88">
        <w:rPr>
          <w:bCs/>
        </w:rPr>
        <w:t xml:space="preserve"> will also benefit indirectly from its ownership of AEPGR.  </w:t>
      </w:r>
      <w:r w:rsidR="00712160">
        <w:rPr>
          <w:bCs/>
        </w:rPr>
        <w:t xml:space="preserve">AEP Ohio’s </w:t>
      </w:r>
      <w:r w:rsidR="00CD02F7">
        <w:rPr>
          <w:bCs/>
        </w:rPr>
        <w:t xml:space="preserve">own </w:t>
      </w:r>
      <w:r w:rsidR="00712160">
        <w:rPr>
          <w:bCs/>
        </w:rPr>
        <w:t xml:space="preserve">financial position will </w:t>
      </w:r>
      <w:r w:rsidR="001E6F88">
        <w:rPr>
          <w:bCs/>
        </w:rPr>
        <w:t xml:space="preserve">only </w:t>
      </w:r>
      <w:r w:rsidR="004D5B5C">
        <w:rPr>
          <w:bCs/>
        </w:rPr>
        <w:t xml:space="preserve">be </w:t>
      </w:r>
      <w:r w:rsidR="001E6F88">
        <w:rPr>
          <w:bCs/>
        </w:rPr>
        <w:t>indirectly (through American Electric Power)</w:t>
      </w:r>
      <w:r w:rsidR="00304857">
        <w:rPr>
          <w:bCs/>
        </w:rPr>
        <w:t xml:space="preserve"> </w:t>
      </w:r>
      <w:r w:rsidR="001E6F88">
        <w:rPr>
          <w:bCs/>
        </w:rPr>
        <w:t xml:space="preserve">affected </w:t>
      </w:r>
      <w:r w:rsidR="00712160">
        <w:rPr>
          <w:bCs/>
        </w:rPr>
        <w:t>by the ROE</w:t>
      </w:r>
      <w:r w:rsidR="004D5B5C">
        <w:rPr>
          <w:bCs/>
        </w:rPr>
        <w:t xml:space="preserve"> </w:t>
      </w:r>
      <w:r w:rsidR="00167848">
        <w:rPr>
          <w:bCs/>
        </w:rPr>
        <w:t xml:space="preserve">paid for by customers (if </w:t>
      </w:r>
      <w:r w:rsidR="004D5B5C">
        <w:rPr>
          <w:bCs/>
        </w:rPr>
        <w:t>approved by the Commission</w:t>
      </w:r>
      <w:r w:rsidR="00167848">
        <w:rPr>
          <w:bCs/>
        </w:rPr>
        <w:t>)</w:t>
      </w:r>
      <w:r w:rsidR="004D5B5C">
        <w:rPr>
          <w:bCs/>
        </w:rPr>
        <w:t xml:space="preserve"> in this proceeding</w:t>
      </w:r>
      <w:r w:rsidR="00712160">
        <w:rPr>
          <w:bCs/>
        </w:rPr>
        <w:t>.</w:t>
      </w:r>
    </w:p>
    <w:p w:rsidR="00DD374D" w:rsidRDefault="00DD374D" w:rsidP="00DD374D">
      <w:pPr>
        <w:tabs>
          <w:tab w:val="num" w:pos="720"/>
        </w:tabs>
        <w:spacing w:line="480" w:lineRule="auto"/>
        <w:ind w:left="720" w:hanging="720"/>
        <w:rPr>
          <w:b/>
          <w:bCs/>
          <w:i/>
        </w:rPr>
      </w:pPr>
    </w:p>
    <w:p w:rsidR="004543E3" w:rsidRDefault="004543E3" w:rsidP="004543E3">
      <w:pPr>
        <w:tabs>
          <w:tab w:val="num" w:pos="720"/>
        </w:tabs>
        <w:spacing w:line="480" w:lineRule="auto"/>
        <w:ind w:left="720" w:hanging="720"/>
        <w:rPr>
          <w:b/>
          <w:bCs/>
          <w:i/>
        </w:rPr>
      </w:pPr>
      <w:r>
        <w:rPr>
          <w:b/>
          <w:bCs/>
          <w:i/>
        </w:rPr>
        <w:t>Q</w:t>
      </w:r>
      <w:r w:rsidR="00AA3B58">
        <w:rPr>
          <w:b/>
          <w:bCs/>
          <w:i/>
        </w:rPr>
        <w:t>10</w:t>
      </w:r>
      <w:r>
        <w:rPr>
          <w:b/>
          <w:bCs/>
          <w:i/>
        </w:rPr>
        <w:t>.</w:t>
      </w:r>
      <w:r>
        <w:rPr>
          <w:b/>
          <w:bCs/>
          <w:i/>
        </w:rPr>
        <w:tab/>
        <w:t>DOES AEP</w:t>
      </w:r>
      <w:r w:rsidR="00AE3F8C">
        <w:rPr>
          <w:b/>
          <w:bCs/>
          <w:i/>
        </w:rPr>
        <w:t>GR</w:t>
      </w:r>
      <w:r>
        <w:rPr>
          <w:b/>
          <w:bCs/>
          <w:i/>
        </w:rPr>
        <w:t xml:space="preserve"> CURRENTLY RECEIVE A</w:t>
      </w:r>
      <w:r w:rsidR="004D5B5C">
        <w:rPr>
          <w:b/>
          <w:bCs/>
          <w:i/>
        </w:rPr>
        <w:t xml:space="preserve"> </w:t>
      </w:r>
      <w:r w:rsidR="0013263F">
        <w:rPr>
          <w:b/>
          <w:bCs/>
          <w:i/>
        </w:rPr>
        <w:t>GUARANTEED</w:t>
      </w:r>
      <w:r>
        <w:rPr>
          <w:b/>
          <w:bCs/>
          <w:i/>
        </w:rPr>
        <w:t xml:space="preserve"> RETURN (</w:t>
      </w:r>
      <w:r w:rsidR="001E0C15">
        <w:rPr>
          <w:b/>
          <w:bCs/>
          <w:i/>
        </w:rPr>
        <w:t xml:space="preserve">OR </w:t>
      </w:r>
      <w:r>
        <w:rPr>
          <w:b/>
          <w:bCs/>
          <w:i/>
        </w:rPr>
        <w:t>PROFIT</w:t>
      </w:r>
      <w:r w:rsidR="001E0C15">
        <w:rPr>
          <w:b/>
          <w:bCs/>
          <w:i/>
        </w:rPr>
        <w:t>)</w:t>
      </w:r>
      <w:r w:rsidR="00167848">
        <w:rPr>
          <w:b/>
          <w:bCs/>
          <w:i/>
        </w:rPr>
        <w:t xml:space="preserve"> </w:t>
      </w:r>
      <w:r w:rsidR="00FF4BEC">
        <w:rPr>
          <w:b/>
          <w:bCs/>
          <w:i/>
        </w:rPr>
        <w:t>ON ITS</w:t>
      </w:r>
      <w:r w:rsidR="00164C5E">
        <w:rPr>
          <w:b/>
          <w:bCs/>
          <w:i/>
        </w:rPr>
        <w:t xml:space="preserve"> GENERATION ASSETS?</w:t>
      </w:r>
    </w:p>
    <w:p w:rsidR="004543E3" w:rsidRPr="0023196E" w:rsidRDefault="004543E3" w:rsidP="004543E3">
      <w:pPr>
        <w:tabs>
          <w:tab w:val="num" w:pos="720"/>
        </w:tabs>
        <w:spacing w:line="480" w:lineRule="auto"/>
        <w:ind w:left="720" w:hanging="720"/>
        <w:rPr>
          <w:bCs/>
        </w:rPr>
      </w:pPr>
      <w:r w:rsidRPr="00842F67">
        <w:rPr>
          <w:b/>
          <w:bCs/>
          <w:i/>
        </w:rPr>
        <w:t>A</w:t>
      </w:r>
      <w:r w:rsidR="00AA3B58">
        <w:rPr>
          <w:b/>
          <w:bCs/>
          <w:i/>
        </w:rPr>
        <w:t>10</w:t>
      </w:r>
      <w:r w:rsidRPr="00842F67">
        <w:rPr>
          <w:b/>
          <w:bCs/>
          <w:i/>
        </w:rPr>
        <w:t>.</w:t>
      </w:r>
      <w:r w:rsidR="0023196E">
        <w:rPr>
          <w:b/>
          <w:bCs/>
          <w:i/>
        </w:rPr>
        <w:tab/>
      </w:r>
      <w:r w:rsidR="0023196E">
        <w:rPr>
          <w:bCs/>
        </w:rPr>
        <w:t>No.  AEP</w:t>
      </w:r>
      <w:r w:rsidR="00304857">
        <w:rPr>
          <w:bCs/>
        </w:rPr>
        <w:t>GR</w:t>
      </w:r>
      <w:r w:rsidR="0023196E">
        <w:rPr>
          <w:bCs/>
        </w:rPr>
        <w:t xml:space="preserve"> is an unregulated power producer and its rate is not regulated by the PUCO. </w:t>
      </w:r>
      <w:r w:rsidR="00406BD5">
        <w:rPr>
          <w:bCs/>
        </w:rPr>
        <w:t xml:space="preserve"> </w:t>
      </w:r>
      <w:r w:rsidR="00DD6509">
        <w:rPr>
          <w:bCs/>
        </w:rPr>
        <w:t>Ohio’s electricity generation market was deregulated and the</w:t>
      </w:r>
      <w:r w:rsidR="007E311E">
        <w:rPr>
          <w:bCs/>
        </w:rPr>
        <w:t xml:space="preserve"> </w:t>
      </w:r>
      <w:r w:rsidR="003579D2">
        <w:rPr>
          <w:bCs/>
        </w:rPr>
        <w:t xml:space="preserve">transition time of a </w:t>
      </w:r>
      <w:r w:rsidR="00DD6509">
        <w:rPr>
          <w:bCs/>
        </w:rPr>
        <w:t xml:space="preserve">Market Development Period </w:t>
      </w:r>
      <w:r w:rsidR="00B058DD">
        <w:rPr>
          <w:bCs/>
        </w:rPr>
        <w:t>has passed.</w:t>
      </w:r>
      <w:r w:rsidR="00164C5E">
        <w:rPr>
          <w:bCs/>
        </w:rPr>
        <w:t xml:space="preserve"> </w:t>
      </w:r>
      <w:r w:rsidR="00B058DD">
        <w:rPr>
          <w:bCs/>
        </w:rPr>
        <w:t xml:space="preserve"> The power plants previously owned by AEP Ohio were also transferred to an unregulated affiliate, AEP</w:t>
      </w:r>
      <w:r w:rsidR="00D07A52">
        <w:rPr>
          <w:bCs/>
        </w:rPr>
        <w:t>GR</w:t>
      </w:r>
      <w:r w:rsidR="00B058DD">
        <w:rPr>
          <w:bCs/>
        </w:rPr>
        <w:t>.</w:t>
      </w:r>
      <w:r w:rsidR="007E311E">
        <w:rPr>
          <w:bCs/>
        </w:rPr>
        <w:t xml:space="preserve"> </w:t>
      </w:r>
      <w:r w:rsidR="00164C5E">
        <w:rPr>
          <w:bCs/>
        </w:rPr>
        <w:t xml:space="preserve"> </w:t>
      </w:r>
      <w:r w:rsidR="00B058DD">
        <w:rPr>
          <w:bCs/>
        </w:rPr>
        <w:t xml:space="preserve">At this time, </w:t>
      </w:r>
      <w:r w:rsidR="00DD6509">
        <w:rPr>
          <w:bCs/>
        </w:rPr>
        <w:t xml:space="preserve">all unregulated power producers </w:t>
      </w:r>
      <w:r w:rsidR="00B058DD">
        <w:rPr>
          <w:bCs/>
        </w:rPr>
        <w:t>in Ohio, including AEPGR</w:t>
      </w:r>
      <w:r w:rsidR="0080539B">
        <w:rPr>
          <w:bCs/>
        </w:rPr>
        <w:t>,</w:t>
      </w:r>
      <w:r w:rsidR="00B058DD">
        <w:rPr>
          <w:bCs/>
        </w:rPr>
        <w:t xml:space="preserve"> </w:t>
      </w:r>
      <w:r w:rsidR="00DD6509">
        <w:rPr>
          <w:bCs/>
        </w:rPr>
        <w:t>are supposed to be on th</w:t>
      </w:r>
      <w:r w:rsidR="00CB30A4">
        <w:rPr>
          <w:bCs/>
        </w:rPr>
        <w:t>eir own in a competitive market.</w:t>
      </w:r>
    </w:p>
    <w:p w:rsidR="004543E3" w:rsidRDefault="004543E3" w:rsidP="004543E3">
      <w:pPr>
        <w:tabs>
          <w:tab w:val="num" w:pos="720"/>
        </w:tabs>
        <w:spacing w:line="480" w:lineRule="auto"/>
        <w:ind w:left="720" w:hanging="720"/>
        <w:rPr>
          <w:b/>
          <w:bCs/>
          <w:i/>
        </w:rPr>
      </w:pPr>
    </w:p>
    <w:p w:rsidR="004543E3" w:rsidRDefault="004543E3" w:rsidP="004543E3">
      <w:pPr>
        <w:tabs>
          <w:tab w:val="num" w:pos="720"/>
        </w:tabs>
        <w:spacing w:line="480" w:lineRule="auto"/>
        <w:ind w:left="720" w:hanging="720"/>
        <w:rPr>
          <w:b/>
          <w:bCs/>
          <w:i/>
        </w:rPr>
      </w:pPr>
      <w:r>
        <w:rPr>
          <w:b/>
          <w:bCs/>
          <w:i/>
        </w:rPr>
        <w:t>Q1</w:t>
      </w:r>
      <w:r w:rsidR="00AA3B58">
        <w:rPr>
          <w:b/>
          <w:bCs/>
          <w:i/>
        </w:rPr>
        <w:t>1</w:t>
      </w:r>
      <w:r>
        <w:rPr>
          <w:b/>
          <w:bCs/>
          <w:i/>
        </w:rPr>
        <w:t>.</w:t>
      </w:r>
      <w:r>
        <w:rPr>
          <w:b/>
          <w:bCs/>
          <w:i/>
        </w:rPr>
        <w:tab/>
        <w:t xml:space="preserve">SHOULD AEPGR RECEIVE A </w:t>
      </w:r>
      <w:r w:rsidR="00D07A52">
        <w:rPr>
          <w:b/>
          <w:bCs/>
          <w:i/>
        </w:rPr>
        <w:t xml:space="preserve">CUSTOMER FUNDED </w:t>
      </w:r>
      <w:r>
        <w:rPr>
          <w:b/>
          <w:bCs/>
          <w:i/>
        </w:rPr>
        <w:t>GUARANTEED RETURN ON ANY OF ITS GENERATION ASSETS, IN</w:t>
      </w:r>
      <w:r w:rsidR="00CC7510">
        <w:rPr>
          <w:b/>
          <w:bCs/>
          <w:i/>
        </w:rPr>
        <w:t xml:space="preserve"> </w:t>
      </w:r>
      <w:r>
        <w:rPr>
          <w:b/>
          <w:bCs/>
          <w:i/>
        </w:rPr>
        <w:t>PARTICULAR TH</w:t>
      </w:r>
      <w:r w:rsidR="004D5B5C">
        <w:rPr>
          <w:b/>
          <w:bCs/>
          <w:i/>
        </w:rPr>
        <w:t xml:space="preserve">OSE POWER PLANTS INCLUDED IN THE </w:t>
      </w:r>
      <w:r w:rsidR="0013263F">
        <w:rPr>
          <w:b/>
          <w:bCs/>
          <w:i/>
        </w:rPr>
        <w:t>AFFILIATE</w:t>
      </w:r>
      <w:r w:rsidR="004D5B5C">
        <w:rPr>
          <w:b/>
          <w:bCs/>
          <w:i/>
        </w:rPr>
        <w:t xml:space="preserve"> PPA</w:t>
      </w:r>
      <w:r w:rsidR="00164C5E">
        <w:rPr>
          <w:b/>
          <w:bCs/>
          <w:i/>
        </w:rPr>
        <w:t>?</w:t>
      </w:r>
    </w:p>
    <w:p w:rsidR="00985807" w:rsidRDefault="004543E3" w:rsidP="00CB30A4">
      <w:pPr>
        <w:tabs>
          <w:tab w:val="num" w:pos="720"/>
        </w:tabs>
        <w:spacing w:line="480" w:lineRule="auto"/>
        <w:ind w:left="720" w:hanging="720"/>
        <w:rPr>
          <w:bCs/>
        </w:rPr>
      </w:pPr>
      <w:r w:rsidRPr="00842F67">
        <w:rPr>
          <w:b/>
          <w:bCs/>
          <w:i/>
        </w:rPr>
        <w:t>A</w:t>
      </w:r>
      <w:r>
        <w:rPr>
          <w:b/>
          <w:bCs/>
          <w:i/>
        </w:rPr>
        <w:t>1</w:t>
      </w:r>
      <w:r w:rsidR="00AA3B58">
        <w:rPr>
          <w:b/>
          <w:bCs/>
          <w:i/>
        </w:rPr>
        <w:t>1</w:t>
      </w:r>
      <w:r w:rsidRPr="00842F67">
        <w:rPr>
          <w:b/>
          <w:bCs/>
          <w:i/>
        </w:rPr>
        <w:t>.</w:t>
      </w:r>
      <w:r w:rsidR="00C6478F">
        <w:rPr>
          <w:b/>
          <w:bCs/>
          <w:i/>
        </w:rPr>
        <w:tab/>
      </w:r>
      <w:r w:rsidR="00C6478F">
        <w:rPr>
          <w:bCs/>
        </w:rPr>
        <w:t xml:space="preserve">No.  </w:t>
      </w:r>
      <w:r w:rsidR="00CC7510">
        <w:rPr>
          <w:bCs/>
        </w:rPr>
        <w:t>As a</w:t>
      </w:r>
      <w:r w:rsidR="00CA628B">
        <w:rPr>
          <w:bCs/>
        </w:rPr>
        <w:t>n</w:t>
      </w:r>
      <w:r w:rsidR="00CC7510">
        <w:rPr>
          <w:bCs/>
        </w:rPr>
        <w:t xml:space="preserve"> unregulated power producer</w:t>
      </w:r>
      <w:r w:rsidR="00CB30A4">
        <w:rPr>
          <w:bCs/>
        </w:rPr>
        <w:t xml:space="preserve"> in Ohio</w:t>
      </w:r>
      <w:r w:rsidR="00CC7510">
        <w:rPr>
          <w:bCs/>
        </w:rPr>
        <w:t xml:space="preserve">, AEPGR’s </w:t>
      </w:r>
      <w:r w:rsidR="001E0C15">
        <w:rPr>
          <w:bCs/>
        </w:rPr>
        <w:t>return (</w:t>
      </w:r>
      <w:r w:rsidR="00CC7510">
        <w:rPr>
          <w:bCs/>
        </w:rPr>
        <w:t>profit</w:t>
      </w:r>
      <w:r w:rsidR="001E0C15">
        <w:rPr>
          <w:bCs/>
        </w:rPr>
        <w:t>)</w:t>
      </w:r>
      <w:r w:rsidR="00CC7510">
        <w:rPr>
          <w:bCs/>
        </w:rPr>
        <w:t xml:space="preserve"> from its </w:t>
      </w:r>
      <w:r w:rsidR="004D5B5C">
        <w:rPr>
          <w:bCs/>
        </w:rPr>
        <w:t xml:space="preserve">investment in power plants </w:t>
      </w:r>
      <w:r w:rsidR="00CA628B">
        <w:rPr>
          <w:bCs/>
        </w:rPr>
        <w:t xml:space="preserve">is </w:t>
      </w:r>
      <w:r w:rsidR="00CC7510">
        <w:rPr>
          <w:bCs/>
        </w:rPr>
        <w:t xml:space="preserve">determined in the marketplace.  </w:t>
      </w:r>
      <w:r w:rsidR="00852A68">
        <w:rPr>
          <w:bCs/>
        </w:rPr>
        <w:t>Typically, i</w:t>
      </w:r>
      <w:r w:rsidR="00CA628B">
        <w:rPr>
          <w:bCs/>
        </w:rPr>
        <w:t xml:space="preserve">f the market price of electricity in Ohio or in the </w:t>
      </w:r>
      <w:r w:rsidR="00D8341F">
        <w:rPr>
          <w:bCs/>
        </w:rPr>
        <w:t>PJM Interconnection, L.L.C. (“</w:t>
      </w:r>
      <w:r w:rsidR="00CA628B">
        <w:rPr>
          <w:bCs/>
        </w:rPr>
        <w:t>PJM</w:t>
      </w:r>
      <w:r w:rsidR="00D8341F">
        <w:rPr>
          <w:bCs/>
        </w:rPr>
        <w:t>”)</w:t>
      </w:r>
      <w:r w:rsidR="00CA628B">
        <w:rPr>
          <w:bCs/>
        </w:rPr>
        <w:t xml:space="preserve"> area is high, </w:t>
      </w:r>
      <w:r w:rsidR="00085EC6">
        <w:rPr>
          <w:bCs/>
        </w:rPr>
        <w:t xml:space="preserve">the annual profit of </w:t>
      </w:r>
      <w:r w:rsidR="00CA628B">
        <w:rPr>
          <w:bCs/>
        </w:rPr>
        <w:t>AEPGR</w:t>
      </w:r>
      <w:r w:rsidR="00085EC6">
        <w:rPr>
          <w:bCs/>
        </w:rPr>
        <w:t xml:space="preserve"> will likely be </w:t>
      </w:r>
      <w:r w:rsidR="00D8341F">
        <w:rPr>
          <w:bCs/>
        </w:rPr>
        <w:t>greater</w:t>
      </w:r>
      <w:r w:rsidR="00085EC6">
        <w:rPr>
          <w:bCs/>
        </w:rPr>
        <w:t xml:space="preserve">.  If the market price of electricity is low, then the profit of AEPGR will likely be </w:t>
      </w:r>
      <w:r w:rsidR="00D8341F">
        <w:rPr>
          <w:bCs/>
        </w:rPr>
        <w:t>less</w:t>
      </w:r>
      <w:r w:rsidR="00085EC6">
        <w:rPr>
          <w:bCs/>
        </w:rPr>
        <w:t>.  As a participant in the competitive and deregulated generation market</w:t>
      </w:r>
      <w:r w:rsidR="00852A68">
        <w:rPr>
          <w:bCs/>
        </w:rPr>
        <w:t xml:space="preserve"> in Ohio</w:t>
      </w:r>
      <w:r w:rsidR="00085EC6">
        <w:rPr>
          <w:bCs/>
        </w:rPr>
        <w:t xml:space="preserve">, </w:t>
      </w:r>
      <w:r w:rsidR="00C6478F">
        <w:rPr>
          <w:bCs/>
        </w:rPr>
        <w:t xml:space="preserve">AEPGR does not receive a </w:t>
      </w:r>
      <w:r w:rsidR="00FA7F07">
        <w:rPr>
          <w:bCs/>
        </w:rPr>
        <w:t>guaranteed return on any of its generation units</w:t>
      </w:r>
      <w:r w:rsidR="00406BD5">
        <w:rPr>
          <w:bCs/>
        </w:rPr>
        <w:t>.</w:t>
      </w:r>
    </w:p>
    <w:p w:rsidR="00B70427" w:rsidRDefault="001175E0" w:rsidP="00406BD5">
      <w:pPr>
        <w:tabs>
          <w:tab w:val="num" w:pos="720"/>
        </w:tabs>
        <w:spacing w:line="480" w:lineRule="auto"/>
        <w:ind w:left="720"/>
        <w:rPr>
          <w:bCs/>
        </w:rPr>
      </w:pPr>
      <w:r>
        <w:rPr>
          <w:bCs/>
        </w:rPr>
        <w:t xml:space="preserve">AEPGR needs to compete </w:t>
      </w:r>
      <w:r w:rsidR="00CB30A4">
        <w:rPr>
          <w:bCs/>
        </w:rPr>
        <w:t xml:space="preserve">on its own </w:t>
      </w:r>
      <w:r>
        <w:rPr>
          <w:bCs/>
        </w:rPr>
        <w:t xml:space="preserve">with other power producers for business and </w:t>
      </w:r>
      <w:r w:rsidR="0080539B">
        <w:rPr>
          <w:bCs/>
        </w:rPr>
        <w:t>to keep</w:t>
      </w:r>
      <w:r>
        <w:rPr>
          <w:bCs/>
        </w:rPr>
        <w:t xml:space="preserve"> its power plants running. </w:t>
      </w:r>
      <w:r w:rsidR="00CB30A4">
        <w:rPr>
          <w:bCs/>
        </w:rPr>
        <w:t xml:space="preserve"> </w:t>
      </w:r>
      <w:r w:rsidR="00B058DD">
        <w:rPr>
          <w:bCs/>
        </w:rPr>
        <w:t xml:space="preserve">There is no need to </w:t>
      </w:r>
      <w:r w:rsidR="00852A68">
        <w:rPr>
          <w:bCs/>
        </w:rPr>
        <w:t>separat</w:t>
      </w:r>
      <w:r w:rsidR="00B058DD">
        <w:rPr>
          <w:bCs/>
        </w:rPr>
        <w:t xml:space="preserve">e </w:t>
      </w:r>
      <w:r w:rsidR="00852A68">
        <w:rPr>
          <w:bCs/>
        </w:rPr>
        <w:t xml:space="preserve">out </w:t>
      </w:r>
      <w:r w:rsidR="00FA7F07">
        <w:rPr>
          <w:bCs/>
        </w:rPr>
        <w:t xml:space="preserve">those </w:t>
      </w:r>
      <w:r>
        <w:rPr>
          <w:bCs/>
        </w:rPr>
        <w:t xml:space="preserve">units included in the Affiliate </w:t>
      </w:r>
      <w:r w:rsidR="00FA7F07">
        <w:rPr>
          <w:bCs/>
        </w:rPr>
        <w:t xml:space="preserve">PPA </w:t>
      </w:r>
      <w:r w:rsidR="00852A68">
        <w:rPr>
          <w:bCs/>
        </w:rPr>
        <w:t xml:space="preserve">and treat them </w:t>
      </w:r>
      <w:r w:rsidR="00FA7F07">
        <w:rPr>
          <w:bCs/>
        </w:rPr>
        <w:t xml:space="preserve">differently from other </w:t>
      </w:r>
      <w:r w:rsidR="00D8341F">
        <w:rPr>
          <w:bCs/>
        </w:rPr>
        <w:t xml:space="preserve">generation facilities </w:t>
      </w:r>
      <w:r w:rsidR="00FA7F07">
        <w:rPr>
          <w:bCs/>
        </w:rPr>
        <w:t>owned by AEPGR</w:t>
      </w:r>
      <w:r>
        <w:rPr>
          <w:bCs/>
        </w:rPr>
        <w:t xml:space="preserve"> or </w:t>
      </w:r>
      <w:r w:rsidR="00CB30A4">
        <w:rPr>
          <w:bCs/>
        </w:rPr>
        <w:t xml:space="preserve">any other Ohio </w:t>
      </w:r>
      <w:r>
        <w:rPr>
          <w:bCs/>
        </w:rPr>
        <w:t xml:space="preserve">power </w:t>
      </w:r>
      <w:r w:rsidR="00CB30A4">
        <w:rPr>
          <w:bCs/>
        </w:rPr>
        <w:t>producers.</w:t>
      </w:r>
    </w:p>
    <w:p w:rsidR="009C7618" w:rsidRPr="002565B9" w:rsidRDefault="009C7618" w:rsidP="00CB30A4">
      <w:pPr>
        <w:tabs>
          <w:tab w:val="num" w:pos="720"/>
        </w:tabs>
        <w:spacing w:line="480" w:lineRule="auto"/>
        <w:ind w:left="720" w:hanging="720"/>
        <w:rPr>
          <w:bCs/>
        </w:rPr>
      </w:pPr>
    </w:p>
    <w:p w:rsidR="00B70427" w:rsidRDefault="002E62AC" w:rsidP="00CB30A4">
      <w:pPr>
        <w:tabs>
          <w:tab w:val="num" w:pos="720"/>
        </w:tabs>
        <w:spacing w:line="480" w:lineRule="auto"/>
        <w:ind w:left="720" w:hanging="720"/>
        <w:rPr>
          <w:b/>
          <w:bCs/>
          <w:i/>
        </w:rPr>
      </w:pPr>
      <w:r>
        <w:rPr>
          <w:b/>
          <w:bCs/>
          <w:i/>
        </w:rPr>
        <w:t>Q1</w:t>
      </w:r>
      <w:r w:rsidR="00AA3B58">
        <w:rPr>
          <w:b/>
          <w:bCs/>
          <w:i/>
        </w:rPr>
        <w:t>2</w:t>
      </w:r>
      <w:r>
        <w:rPr>
          <w:b/>
          <w:bCs/>
          <w:i/>
        </w:rPr>
        <w:t>.</w:t>
      </w:r>
      <w:r w:rsidR="00CB30A4">
        <w:rPr>
          <w:b/>
          <w:bCs/>
          <w:i/>
        </w:rPr>
        <w:tab/>
      </w:r>
      <w:r w:rsidR="00B058DD">
        <w:rPr>
          <w:b/>
          <w:bCs/>
          <w:i/>
        </w:rPr>
        <w:t xml:space="preserve">IS </w:t>
      </w:r>
      <w:r w:rsidR="00CB30A4">
        <w:rPr>
          <w:b/>
          <w:bCs/>
          <w:i/>
        </w:rPr>
        <w:t xml:space="preserve">THE ADOPTION OF </w:t>
      </w:r>
      <w:r>
        <w:rPr>
          <w:b/>
          <w:bCs/>
          <w:i/>
        </w:rPr>
        <w:t>A GUARANTEED ROE</w:t>
      </w:r>
      <w:r w:rsidR="00FD412D">
        <w:rPr>
          <w:b/>
          <w:bCs/>
          <w:i/>
        </w:rPr>
        <w:t xml:space="preserve"> </w:t>
      </w:r>
      <w:r w:rsidR="00B058DD">
        <w:rPr>
          <w:b/>
          <w:bCs/>
          <w:i/>
        </w:rPr>
        <w:t xml:space="preserve">OF 11.24% </w:t>
      </w:r>
      <w:r w:rsidR="00FD412D">
        <w:rPr>
          <w:b/>
          <w:bCs/>
          <w:i/>
        </w:rPr>
        <w:t xml:space="preserve">FOR </w:t>
      </w:r>
      <w:r>
        <w:rPr>
          <w:b/>
          <w:bCs/>
          <w:i/>
        </w:rPr>
        <w:t xml:space="preserve">THE </w:t>
      </w:r>
      <w:r w:rsidR="0013263F">
        <w:rPr>
          <w:b/>
          <w:bCs/>
          <w:i/>
        </w:rPr>
        <w:t>AFFILIATE</w:t>
      </w:r>
      <w:r>
        <w:rPr>
          <w:b/>
          <w:bCs/>
          <w:i/>
        </w:rPr>
        <w:t xml:space="preserve"> PPA </w:t>
      </w:r>
      <w:r w:rsidR="0013263F">
        <w:rPr>
          <w:b/>
          <w:bCs/>
          <w:i/>
        </w:rPr>
        <w:t>PREFERENTIAL</w:t>
      </w:r>
      <w:r w:rsidR="00B70427">
        <w:rPr>
          <w:b/>
          <w:bCs/>
          <w:i/>
        </w:rPr>
        <w:t xml:space="preserve"> TREATMENT </w:t>
      </w:r>
      <w:r w:rsidR="00984C38">
        <w:rPr>
          <w:b/>
          <w:bCs/>
          <w:i/>
        </w:rPr>
        <w:t xml:space="preserve">AND A </w:t>
      </w:r>
      <w:r w:rsidR="00EB78D5">
        <w:rPr>
          <w:b/>
          <w:bCs/>
          <w:i/>
        </w:rPr>
        <w:t xml:space="preserve">MANDATORY CUSTOMER FUNDED </w:t>
      </w:r>
      <w:r w:rsidR="00984C38">
        <w:rPr>
          <w:b/>
          <w:bCs/>
          <w:i/>
        </w:rPr>
        <w:t xml:space="preserve">SUBSIDY </w:t>
      </w:r>
      <w:r>
        <w:rPr>
          <w:b/>
          <w:bCs/>
          <w:i/>
        </w:rPr>
        <w:t>TO AEPGR</w:t>
      </w:r>
      <w:r w:rsidR="00164C5E">
        <w:rPr>
          <w:b/>
          <w:bCs/>
          <w:i/>
        </w:rPr>
        <w:t>?</w:t>
      </w:r>
    </w:p>
    <w:p w:rsidR="0022331F" w:rsidRDefault="002E62AC" w:rsidP="00FD412D">
      <w:pPr>
        <w:tabs>
          <w:tab w:val="num" w:pos="720"/>
        </w:tabs>
        <w:spacing w:line="480" w:lineRule="auto"/>
        <w:ind w:left="720" w:hanging="720"/>
      </w:pPr>
      <w:r w:rsidRPr="00B70427">
        <w:rPr>
          <w:b/>
          <w:bCs/>
          <w:i/>
        </w:rPr>
        <w:t>A1</w:t>
      </w:r>
      <w:r w:rsidR="00AA3B58">
        <w:rPr>
          <w:b/>
          <w:bCs/>
          <w:i/>
        </w:rPr>
        <w:t>2</w:t>
      </w:r>
      <w:r w:rsidR="00B70427" w:rsidRPr="00B70427">
        <w:rPr>
          <w:b/>
          <w:bCs/>
          <w:i/>
        </w:rPr>
        <w:t>.</w:t>
      </w:r>
      <w:r w:rsidR="00B70427" w:rsidRPr="00B70427">
        <w:rPr>
          <w:b/>
          <w:bCs/>
          <w:i/>
        </w:rPr>
        <w:tab/>
      </w:r>
      <w:r w:rsidR="00B70427" w:rsidRPr="00B70427">
        <w:rPr>
          <w:bCs/>
        </w:rPr>
        <w:t xml:space="preserve">Yes.  </w:t>
      </w:r>
      <w:r w:rsidR="00B70427" w:rsidRPr="00B70427">
        <w:t xml:space="preserve">If the proposed </w:t>
      </w:r>
      <w:r w:rsidR="00B70427">
        <w:t xml:space="preserve">guaranteed </w:t>
      </w:r>
      <w:r w:rsidR="00B70427" w:rsidRPr="00B70427">
        <w:t>ROE of 11.24% is adopted, AEPGR would be treated more favorably than other unregulated power producers</w:t>
      </w:r>
      <w:r w:rsidR="00984C38">
        <w:t xml:space="preserve"> in Ohio</w:t>
      </w:r>
      <w:r w:rsidR="00FD412D">
        <w:t xml:space="preserve">. </w:t>
      </w:r>
      <w:r w:rsidR="00B70427">
        <w:t xml:space="preserve"> </w:t>
      </w:r>
      <w:r w:rsidR="00D07A52">
        <w:t>And all customers of the electric dist</w:t>
      </w:r>
      <w:r w:rsidR="00EB78D5">
        <w:t>ribution</w:t>
      </w:r>
      <w:r w:rsidR="00D07A52">
        <w:t xml:space="preserve"> utility will pay for </w:t>
      </w:r>
      <w:r w:rsidR="00EB78D5">
        <w:t>it</w:t>
      </w:r>
      <w:r w:rsidR="00D07A52">
        <w:t xml:space="preserve">.  </w:t>
      </w:r>
      <w:r w:rsidR="00FD412D">
        <w:t>As the Ohio electricity generation market has been deregulated, a</w:t>
      </w:r>
      <w:r w:rsidR="002565B9">
        <w:t xml:space="preserve">ll unregulated power producers in Ohio </w:t>
      </w:r>
      <w:r w:rsidR="00FD412D">
        <w:t>are supposed to be on their own</w:t>
      </w:r>
      <w:r w:rsidR="00984C38">
        <w:t xml:space="preserve"> financially</w:t>
      </w:r>
      <w:r w:rsidR="0022331F">
        <w:t xml:space="preserve">.  All unregulated power producers </w:t>
      </w:r>
      <w:r w:rsidR="00984C38">
        <w:t xml:space="preserve">currently </w:t>
      </w:r>
      <w:r w:rsidR="002565B9">
        <w:t>do</w:t>
      </w:r>
      <w:r w:rsidR="00B70427" w:rsidRPr="00B70427">
        <w:t xml:space="preserve"> not receive a guaranteed ROE on their investments in generation plants.</w:t>
      </w:r>
    </w:p>
    <w:p w:rsidR="0022331F" w:rsidRDefault="0022331F" w:rsidP="00FD412D">
      <w:pPr>
        <w:tabs>
          <w:tab w:val="num" w:pos="720"/>
        </w:tabs>
        <w:spacing w:line="480" w:lineRule="auto"/>
        <w:ind w:left="720" w:hanging="720"/>
      </w:pPr>
    </w:p>
    <w:p w:rsidR="00985807" w:rsidRDefault="002565B9" w:rsidP="009C7618">
      <w:pPr>
        <w:tabs>
          <w:tab w:val="num" w:pos="720"/>
        </w:tabs>
        <w:spacing w:line="480" w:lineRule="auto"/>
        <w:ind w:left="720"/>
      </w:pPr>
      <w:r>
        <w:t xml:space="preserve">A </w:t>
      </w:r>
      <w:r w:rsidR="00B70427" w:rsidRPr="00B70427">
        <w:t xml:space="preserve">guaranteed ROE </w:t>
      </w:r>
      <w:r w:rsidR="00984C38">
        <w:t xml:space="preserve">of 11.24% </w:t>
      </w:r>
      <w:r w:rsidR="00B70427" w:rsidRPr="00B70427">
        <w:t>for AEPGR</w:t>
      </w:r>
      <w:r>
        <w:t xml:space="preserve">, under the proposed PPA Rider, will be an </w:t>
      </w:r>
      <w:r w:rsidR="00B70427" w:rsidRPr="00B70427">
        <w:t xml:space="preserve">unjustified and costly </w:t>
      </w:r>
      <w:r w:rsidR="00985807">
        <w:t xml:space="preserve">customer funded </w:t>
      </w:r>
      <w:r w:rsidR="00B70427" w:rsidRPr="00B70427">
        <w:t>subsid</w:t>
      </w:r>
      <w:r>
        <w:t xml:space="preserve">y </w:t>
      </w:r>
      <w:r w:rsidR="00B70427" w:rsidRPr="00B70427">
        <w:t xml:space="preserve">to </w:t>
      </w:r>
      <w:r>
        <w:t xml:space="preserve">one </w:t>
      </w:r>
      <w:r w:rsidR="00984C38">
        <w:t xml:space="preserve">particular </w:t>
      </w:r>
      <w:r w:rsidR="00B70427" w:rsidRPr="00B70427">
        <w:t>market participant</w:t>
      </w:r>
      <w:r w:rsidR="00984C38">
        <w:t xml:space="preserve"> in a competitive market</w:t>
      </w:r>
      <w:r w:rsidR="00D8341F">
        <w:t>place for generation services</w:t>
      </w:r>
      <w:r w:rsidR="00FD412D">
        <w:t xml:space="preserve">.  This unjustified </w:t>
      </w:r>
      <w:r w:rsidR="00985807">
        <w:t xml:space="preserve">customer funded </w:t>
      </w:r>
      <w:r w:rsidR="00FD412D">
        <w:t xml:space="preserve">subsidy to AEPGR will </w:t>
      </w:r>
      <w:r w:rsidR="00984C38">
        <w:t xml:space="preserve">allow it to have an unfair financial advantage, granted by the PUCO, over other market participants. </w:t>
      </w:r>
      <w:r w:rsidR="00B70427" w:rsidRPr="00B70427">
        <w:t xml:space="preserve"> The end result is an uneven playing field </w:t>
      </w:r>
      <w:r w:rsidR="00984C38">
        <w:t>with distorted</w:t>
      </w:r>
      <w:r w:rsidR="00406BD5">
        <w:t xml:space="preserve"> market prices and quantities.</w:t>
      </w:r>
    </w:p>
    <w:p w:rsidR="004C5F35" w:rsidRDefault="002565B9" w:rsidP="009C7618">
      <w:pPr>
        <w:tabs>
          <w:tab w:val="num" w:pos="720"/>
        </w:tabs>
        <w:spacing w:line="480" w:lineRule="auto"/>
        <w:ind w:left="720"/>
      </w:pPr>
      <w:r>
        <w:t xml:space="preserve">If such a subsidy persists, </w:t>
      </w:r>
      <w:r w:rsidR="00984C38">
        <w:t xml:space="preserve">there will </w:t>
      </w:r>
      <w:r w:rsidR="00477A0A">
        <w:t xml:space="preserve">likely </w:t>
      </w:r>
      <w:r w:rsidR="00984C38">
        <w:t xml:space="preserve">be fewer market participants and </w:t>
      </w:r>
      <w:r w:rsidR="00B70427" w:rsidRPr="00B70427">
        <w:t>investments in conventional or alternative generation technology</w:t>
      </w:r>
      <w:r w:rsidR="00EB78D5">
        <w:t>.</w:t>
      </w:r>
      <w:r w:rsidR="00B70427" w:rsidRPr="00B70427">
        <w:t xml:space="preserve"> </w:t>
      </w:r>
      <w:r w:rsidR="00EB78D5">
        <w:t xml:space="preserve"> O</w:t>
      </w:r>
      <w:r w:rsidR="00B70427" w:rsidRPr="00B70427">
        <w:t xml:space="preserve">ther power producers </w:t>
      </w:r>
      <w:r w:rsidR="00FF4BEC">
        <w:t xml:space="preserve">considering </w:t>
      </w:r>
      <w:r w:rsidR="00FF4BEC" w:rsidRPr="00B70427">
        <w:t>serving</w:t>
      </w:r>
      <w:r w:rsidR="00B70427" w:rsidRPr="00B70427">
        <w:t xml:space="preserve"> Ohio will </w:t>
      </w:r>
      <w:r>
        <w:t xml:space="preserve">likely </w:t>
      </w:r>
      <w:r w:rsidR="00B70427" w:rsidRPr="00B70427">
        <w:t xml:space="preserve">be discouraged and </w:t>
      </w:r>
      <w:r w:rsidR="00EB78D5">
        <w:t>th</w:t>
      </w:r>
      <w:r w:rsidR="00477A0A">
        <w:t xml:space="preserve">eir </w:t>
      </w:r>
      <w:r w:rsidR="00EB78D5">
        <w:t xml:space="preserve">investments will </w:t>
      </w:r>
      <w:r w:rsidR="00477A0A">
        <w:t xml:space="preserve">likely be </w:t>
      </w:r>
      <w:r w:rsidR="00B70427" w:rsidRPr="00B70427">
        <w:t>reduced</w:t>
      </w:r>
      <w:r w:rsidR="00EB78D5">
        <w:t xml:space="preserve"> or removed from the </w:t>
      </w:r>
      <w:r w:rsidR="00FF4BEC">
        <w:t>competitive generation market</w:t>
      </w:r>
      <w:r w:rsidR="00B70427" w:rsidRPr="00B70427">
        <w:t>.</w:t>
      </w:r>
      <w:r w:rsidR="004C5F35">
        <w:t xml:space="preserve">  The state policy of ensuring adequate, reliable, nondiscriminatory, and reasonably priced electric service to all customers</w:t>
      </w:r>
      <w:r w:rsidR="00984C38">
        <w:t>, as well as other policies specified in Ohio Revised Code 4928.02,</w:t>
      </w:r>
      <w:r w:rsidR="004C5F35">
        <w:t xml:space="preserve"> will be undermined</w:t>
      </w:r>
      <w:r w:rsidR="00FD412D">
        <w:t xml:space="preserve"> by the a</w:t>
      </w:r>
      <w:r w:rsidR="00984C38">
        <w:t>doption</w:t>
      </w:r>
      <w:r w:rsidR="00FD412D">
        <w:t xml:space="preserve"> of the proposed PPA Rider and an 11.24% ROE</w:t>
      </w:r>
      <w:r w:rsidR="003D5C52">
        <w:t>.</w:t>
      </w:r>
    </w:p>
    <w:p w:rsidR="004C5F35" w:rsidRDefault="004C5F35" w:rsidP="00684EB0">
      <w:pPr>
        <w:tabs>
          <w:tab w:val="num" w:pos="720"/>
        </w:tabs>
        <w:spacing w:line="480" w:lineRule="auto"/>
        <w:ind w:left="720" w:hanging="720"/>
      </w:pPr>
    </w:p>
    <w:p w:rsidR="00D07A52" w:rsidRDefault="004C5F35" w:rsidP="009C7618">
      <w:pPr>
        <w:tabs>
          <w:tab w:val="num" w:pos="720"/>
        </w:tabs>
        <w:spacing w:line="480" w:lineRule="auto"/>
        <w:ind w:left="720"/>
      </w:pPr>
      <w:r>
        <w:t xml:space="preserve">In addition, the </w:t>
      </w:r>
      <w:r w:rsidR="00B70427">
        <w:t xml:space="preserve">adoption of a guaranteed ROE of 11.24% would give AEPGR unprecedented favorable treatment </w:t>
      </w:r>
      <w:r w:rsidR="0080539B">
        <w:t xml:space="preserve">as compared to </w:t>
      </w:r>
      <w:r w:rsidR="00B70427">
        <w:t>the rate of return regulation afforded to regulated electric utilit</w:t>
      </w:r>
      <w:r w:rsidR="00D8341F">
        <w:t>ies</w:t>
      </w:r>
      <w:r w:rsidR="00B70427">
        <w:t xml:space="preserve"> in Ohio.</w:t>
      </w:r>
      <w:r w:rsidR="00164C5E">
        <w:t xml:space="preserve"> </w:t>
      </w:r>
      <w:r w:rsidR="00B70427">
        <w:t xml:space="preserve"> Under the proposed PPA Rider, AEPGR </w:t>
      </w:r>
      <w:r w:rsidR="00D8341F">
        <w:t>would</w:t>
      </w:r>
      <w:r w:rsidR="00B70427">
        <w:t xml:space="preserve"> receiv</w:t>
      </w:r>
      <w:r w:rsidR="00D8341F">
        <w:t>e</w:t>
      </w:r>
      <w:r w:rsidR="00B70427">
        <w:t xml:space="preserve"> a</w:t>
      </w:r>
      <w:r w:rsidR="00D8341F">
        <w:t xml:space="preserve"> </w:t>
      </w:r>
      <w:r w:rsidR="00D07A52">
        <w:t xml:space="preserve">customer funded </w:t>
      </w:r>
      <w:r w:rsidR="00D8341F">
        <w:t>guaranteed</w:t>
      </w:r>
      <w:r w:rsidR="00B70427">
        <w:t xml:space="preserve"> ROE of 11.24%</w:t>
      </w:r>
      <w:r>
        <w:t xml:space="preserve">, which is higher </w:t>
      </w:r>
      <w:r w:rsidR="00B70427">
        <w:t>than th</w:t>
      </w:r>
      <w:r w:rsidR="0022331F">
        <w:t>e</w:t>
      </w:r>
      <w:r w:rsidR="00B70427">
        <w:t xml:space="preserve"> </w:t>
      </w:r>
      <w:r w:rsidR="00FD412D">
        <w:t xml:space="preserve">ROEs </w:t>
      </w:r>
      <w:r w:rsidR="00B70427">
        <w:t xml:space="preserve">recently approved for Ohio’s electric </w:t>
      </w:r>
      <w:r w:rsidR="00D8341F">
        <w:t>distribution compan</w:t>
      </w:r>
      <w:r w:rsidR="00477A0A">
        <w:t>ies.</w:t>
      </w:r>
      <w:r>
        <w:t xml:space="preserve">  More significantly, </w:t>
      </w:r>
      <w:r w:rsidR="00B70427">
        <w:t xml:space="preserve">this higher ROE </w:t>
      </w:r>
      <w:r>
        <w:t xml:space="preserve">for AEPGR </w:t>
      </w:r>
      <w:r w:rsidR="00B70427">
        <w:t xml:space="preserve">is guaranteed for the life of the </w:t>
      </w:r>
      <w:r>
        <w:t xml:space="preserve">power plants included in the Affiliate </w:t>
      </w:r>
      <w:r w:rsidR="00B70427">
        <w:t>PPA</w:t>
      </w:r>
      <w:r>
        <w:t xml:space="preserve">.  </w:t>
      </w:r>
      <w:r w:rsidR="00FD412D">
        <w:t>It is a guarantee</w:t>
      </w:r>
      <w:r w:rsidR="003D5C52">
        <w:t>d</w:t>
      </w:r>
      <w:r w:rsidR="00FD412D">
        <w:t xml:space="preserve"> </w:t>
      </w:r>
      <w:r w:rsidR="0022331F">
        <w:t xml:space="preserve">return </w:t>
      </w:r>
      <w:r w:rsidR="00FD412D">
        <w:t xml:space="preserve">to AEPGR </w:t>
      </w:r>
      <w:r w:rsidR="00D07A52">
        <w:t xml:space="preserve">(paid for by </w:t>
      </w:r>
      <w:r w:rsidR="00AA3B58">
        <w:t xml:space="preserve">AEP Ohio’s </w:t>
      </w:r>
      <w:r w:rsidR="00D07A52">
        <w:t>custom</w:t>
      </w:r>
      <w:r w:rsidR="00EB78D5">
        <w:t>e</w:t>
      </w:r>
      <w:r w:rsidR="00D07A52">
        <w:t xml:space="preserve">rs) </w:t>
      </w:r>
      <w:r w:rsidR="00FD412D">
        <w:t>because</w:t>
      </w:r>
      <w:r>
        <w:t xml:space="preserve"> a</w:t>
      </w:r>
      <w:r w:rsidR="00B70427">
        <w:t xml:space="preserve">ll electricity generated by the </w:t>
      </w:r>
      <w:r>
        <w:t xml:space="preserve">power plants included in the Affiliate </w:t>
      </w:r>
      <w:r w:rsidR="00B70427">
        <w:t>PP</w:t>
      </w:r>
      <w:r w:rsidR="0080539B">
        <w:t>A</w:t>
      </w:r>
      <w:r w:rsidR="00B70427">
        <w:t xml:space="preserve"> will be sold to AEP Ohio</w:t>
      </w:r>
      <w:r w:rsidR="0022331F">
        <w:t>.</w:t>
      </w:r>
      <w:r>
        <w:t xml:space="preserve">  To AEPGR, t</w:t>
      </w:r>
      <w:r w:rsidR="00B70427">
        <w:t xml:space="preserve">here is no risk of </w:t>
      </w:r>
      <w:r w:rsidR="003D5C52">
        <w:t xml:space="preserve">a declining demand for </w:t>
      </w:r>
      <w:r>
        <w:t>electricity in AEP Ohio’s service area.</w:t>
      </w:r>
    </w:p>
    <w:p w:rsidR="00B70427" w:rsidRDefault="00B70427" w:rsidP="009C7618">
      <w:pPr>
        <w:tabs>
          <w:tab w:val="num" w:pos="720"/>
        </w:tabs>
        <w:spacing w:line="480" w:lineRule="auto"/>
        <w:ind w:left="720"/>
      </w:pPr>
      <w:r>
        <w:t xml:space="preserve">In contrast, </w:t>
      </w:r>
      <w:r w:rsidR="00316A9E">
        <w:t xml:space="preserve">under the traditional rate of return regulation currently in place for Ohio’s regulated electric </w:t>
      </w:r>
      <w:r w:rsidR="00D07A52">
        <w:t xml:space="preserve">distribution </w:t>
      </w:r>
      <w:r w:rsidR="00316A9E">
        <w:t xml:space="preserve">utilities, </w:t>
      </w:r>
      <w:r>
        <w:t xml:space="preserve">there </w:t>
      </w:r>
      <w:r w:rsidR="00316A9E">
        <w:t>is no</w:t>
      </w:r>
      <w:r>
        <w:t xml:space="preserve"> guarantee </w:t>
      </w:r>
      <w:r w:rsidR="003D5C52">
        <w:t xml:space="preserve">that </w:t>
      </w:r>
      <w:r>
        <w:t>a regulated electric utility can earn</w:t>
      </w:r>
      <w:r w:rsidR="003D5C52">
        <w:t xml:space="preserve"> the approved ROE</w:t>
      </w:r>
      <w:r>
        <w:t xml:space="preserve">. The ROE approved by the Commission in a rate </w:t>
      </w:r>
      <w:r w:rsidR="00FF4BEC">
        <w:t>case only</w:t>
      </w:r>
      <w:r w:rsidR="00316A9E">
        <w:t xml:space="preserve"> </w:t>
      </w:r>
      <w:r w:rsidR="00EB78D5">
        <w:t>provides</w:t>
      </w:r>
      <w:r>
        <w:t xml:space="preserve"> </w:t>
      </w:r>
      <w:r w:rsidR="004D5B81">
        <w:t xml:space="preserve">an </w:t>
      </w:r>
      <w:r>
        <w:t xml:space="preserve">opportunity, not a guarantee, for </w:t>
      </w:r>
      <w:r w:rsidR="00D07A52">
        <w:t xml:space="preserve">a </w:t>
      </w:r>
      <w:r>
        <w:t xml:space="preserve">regulated utility to earn the approved ROE.  The ROE actually earned </w:t>
      </w:r>
      <w:r w:rsidR="00316A9E">
        <w:t xml:space="preserve">by </w:t>
      </w:r>
      <w:r>
        <w:t xml:space="preserve">a regulated </w:t>
      </w:r>
      <w:r w:rsidR="00FF4BEC">
        <w:t>distribution utility</w:t>
      </w:r>
      <w:r>
        <w:t xml:space="preserve"> </w:t>
      </w:r>
      <w:r w:rsidR="004D5B81">
        <w:t xml:space="preserve">can be </w:t>
      </w:r>
      <w:r w:rsidR="00316A9E">
        <w:t xml:space="preserve">influenced </w:t>
      </w:r>
      <w:r>
        <w:t xml:space="preserve">by many factors, in particular the load growth </w:t>
      </w:r>
      <w:r w:rsidR="00AA3B58">
        <w:t>(</w:t>
      </w:r>
      <w:r w:rsidR="003D5C52">
        <w:t>or decline</w:t>
      </w:r>
      <w:r w:rsidR="00AA3B58">
        <w:t>)</w:t>
      </w:r>
      <w:r w:rsidR="003D5C52">
        <w:t xml:space="preserve"> in its </w:t>
      </w:r>
      <w:r w:rsidR="00316A9E">
        <w:t xml:space="preserve">service territory or the </w:t>
      </w:r>
      <w:r>
        <w:t xml:space="preserve">cost control </w:t>
      </w:r>
      <w:r w:rsidR="003D5C52">
        <w:t xml:space="preserve">efforts </w:t>
      </w:r>
      <w:r>
        <w:t xml:space="preserve">of the regulated utility.  A regulated electric </w:t>
      </w:r>
      <w:r w:rsidR="00D07A52">
        <w:t xml:space="preserve">distribution </w:t>
      </w:r>
      <w:r>
        <w:t>utility</w:t>
      </w:r>
      <w:r w:rsidR="00316A9E">
        <w:t xml:space="preserve">, such as </w:t>
      </w:r>
      <w:r w:rsidR="004D5B81">
        <w:t xml:space="preserve">AEP </w:t>
      </w:r>
      <w:r w:rsidR="00316A9E">
        <w:t xml:space="preserve">Ohio, </w:t>
      </w:r>
      <w:r>
        <w:t xml:space="preserve">may earn a higher ROE than that approved by the Commission.  </w:t>
      </w:r>
      <w:r w:rsidR="003D5C52">
        <w:t>I</w:t>
      </w:r>
      <w:r>
        <w:t xml:space="preserve">n some instances, the regulated utility </w:t>
      </w:r>
      <w:r w:rsidR="003D5C52">
        <w:t xml:space="preserve">may </w:t>
      </w:r>
      <w:r>
        <w:t xml:space="preserve">earn a </w:t>
      </w:r>
      <w:r w:rsidR="003D5C52">
        <w:t xml:space="preserve">much </w:t>
      </w:r>
      <w:r>
        <w:t>lower ROE.</w:t>
      </w:r>
    </w:p>
    <w:p w:rsidR="00AA3B58" w:rsidRDefault="00AA3B58" w:rsidP="009C7618">
      <w:pPr>
        <w:tabs>
          <w:tab w:val="num" w:pos="720"/>
        </w:tabs>
        <w:spacing w:line="480" w:lineRule="auto"/>
        <w:ind w:left="720"/>
      </w:pPr>
    </w:p>
    <w:p w:rsidR="00110865" w:rsidRDefault="00110865" w:rsidP="00110865">
      <w:pPr>
        <w:tabs>
          <w:tab w:val="num" w:pos="720"/>
        </w:tabs>
        <w:spacing w:line="480" w:lineRule="auto"/>
        <w:ind w:left="720" w:hanging="720"/>
        <w:rPr>
          <w:b/>
          <w:bCs/>
          <w:i/>
        </w:rPr>
      </w:pPr>
      <w:r>
        <w:rPr>
          <w:b/>
          <w:bCs/>
          <w:i/>
        </w:rPr>
        <w:t>Q1</w:t>
      </w:r>
      <w:r w:rsidR="00AA3B58">
        <w:rPr>
          <w:b/>
          <w:bCs/>
          <w:i/>
        </w:rPr>
        <w:t>3</w:t>
      </w:r>
      <w:r>
        <w:rPr>
          <w:b/>
          <w:bCs/>
          <w:i/>
        </w:rPr>
        <w:t>.</w:t>
      </w:r>
      <w:r>
        <w:rPr>
          <w:b/>
          <w:bCs/>
          <w:i/>
        </w:rPr>
        <w:tab/>
        <w:t xml:space="preserve">IS THE </w:t>
      </w:r>
      <w:r w:rsidR="00857110">
        <w:rPr>
          <w:b/>
          <w:bCs/>
          <w:i/>
        </w:rPr>
        <w:t xml:space="preserve">CONCEPT OF SETTING AN ALLOWED ROE FOR A REGULATED UTILITY APPLICABLE </w:t>
      </w:r>
      <w:r w:rsidR="00FF4BEC">
        <w:rPr>
          <w:b/>
          <w:bCs/>
          <w:i/>
        </w:rPr>
        <w:t>TO SETTING</w:t>
      </w:r>
      <w:r>
        <w:rPr>
          <w:b/>
          <w:bCs/>
          <w:i/>
        </w:rPr>
        <w:t xml:space="preserve"> THE ROE FOR </w:t>
      </w:r>
      <w:r w:rsidR="00804B40">
        <w:rPr>
          <w:b/>
          <w:bCs/>
          <w:i/>
        </w:rPr>
        <w:t>AN</w:t>
      </w:r>
      <w:r>
        <w:rPr>
          <w:b/>
          <w:bCs/>
          <w:i/>
        </w:rPr>
        <w:t xml:space="preserve"> UNREGULATED </w:t>
      </w:r>
      <w:r w:rsidR="00BB33F2">
        <w:rPr>
          <w:b/>
          <w:bCs/>
          <w:i/>
        </w:rPr>
        <w:t xml:space="preserve">POWER PRODUCER </w:t>
      </w:r>
      <w:r>
        <w:rPr>
          <w:b/>
          <w:bCs/>
          <w:i/>
        </w:rPr>
        <w:t xml:space="preserve">SUCH AS AEPGR? </w:t>
      </w:r>
    </w:p>
    <w:p w:rsidR="00316A9E" w:rsidRDefault="00110865" w:rsidP="00110865">
      <w:pPr>
        <w:tabs>
          <w:tab w:val="num" w:pos="720"/>
        </w:tabs>
        <w:spacing w:line="480" w:lineRule="auto"/>
        <w:ind w:left="720" w:hanging="720"/>
        <w:rPr>
          <w:bCs/>
        </w:rPr>
      </w:pPr>
      <w:r w:rsidRPr="00842F67">
        <w:rPr>
          <w:b/>
          <w:bCs/>
          <w:i/>
        </w:rPr>
        <w:t>A</w:t>
      </w:r>
      <w:r w:rsidR="00804B40">
        <w:rPr>
          <w:b/>
          <w:bCs/>
          <w:i/>
        </w:rPr>
        <w:t>1</w:t>
      </w:r>
      <w:r w:rsidR="00AA3B58">
        <w:rPr>
          <w:b/>
          <w:bCs/>
          <w:i/>
        </w:rPr>
        <w:t>3</w:t>
      </w:r>
      <w:r w:rsidRPr="00842F67">
        <w:rPr>
          <w:b/>
          <w:bCs/>
          <w:i/>
        </w:rPr>
        <w:t>.</w:t>
      </w:r>
      <w:r w:rsidRPr="00842F67">
        <w:rPr>
          <w:b/>
          <w:bCs/>
          <w:i/>
        </w:rPr>
        <w:tab/>
      </w:r>
      <w:r w:rsidR="00BB33F2">
        <w:rPr>
          <w:bCs/>
        </w:rPr>
        <w:t xml:space="preserve">No.  </w:t>
      </w:r>
      <w:r w:rsidR="003D5C52">
        <w:rPr>
          <w:bCs/>
        </w:rPr>
        <w:t>There is no need and no justification to set an ROE for a</w:t>
      </w:r>
      <w:r w:rsidR="007E311E">
        <w:rPr>
          <w:bCs/>
        </w:rPr>
        <w:t>n</w:t>
      </w:r>
      <w:r w:rsidR="003D5C52">
        <w:rPr>
          <w:bCs/>
        </w:rPr>
        <w:t xml:space="preserve"> unregulated power producer.</w:t>
      </w:r>
      <w:r w:rsidR="008E0372">
        <w:rPr>
          <w:bCs/>
        </w:rPr>
        <w:t xml:space="preserve"> </w:t>
      </w:r>
      <w:r w:rsidR="00164C5E">
        <w:rPr>
          <w:bCs/>
        </w:rPr>
        <w:t xml:space="preserve"> </w:t>
      </w:r>
      <w:r w:rsidR="008E0372">
        <w:rPr>
          <w:bCs/>
        </w:rPr>
        <w:t>A</w:t>
      </w:r>
      <w:r w:rsidR="002D2682">
        <w:rPr>
          <w:bCs/>
        </w:rPr>
        <w:t>s discussed earlier, AEPGR</w:t>
      </w:r>
      <w:r w:rsidR="00226D1C">
        <w:rPr>
          <w:bCs/>
        </w:rPr>
        <w:t>,</w:t>
      </w:r>
      <w:r w:rsidR="002D2682">
        <w:rPr>
          <w:bCs/>
        </w:rPr>
        <w:t xml:space="preserve"> as a</w:t>
      </w:r>
      <w:r w:rsidR="001E0C15">
        <w:rPr>
          <w:bCs/>
        </w:rPr>
        <w:t>n</w:t>
      </w:r>
      <w:r w:rsidR="002D2682">
        <w:rPr>
          <w:bCs/>
        </w:rPr>
        <w:t xml:space="preserve"> unregulated power producer</w:t>
      </w:r>
      <w:r w:rsidR="00226D1C">
        <w:rPr>
          <w:bCs/>
        </w:rPr>
        <w:t>,</w:t>
      </w:r>
      <w:r w:rsidR="002D2682">
        <w:rPr>
          <w:bCs/>
        </w:rPr>
        <w:t xml:space="preserve"> </w:t>
      </w:r>
      <w:r w:rsidR="001E0C15">
        <w:rPr>
          <w:bCs/>
        </w:rPr>
        <w:t xml:space="preserve">has </w:t>
      </w:r>
      <w:r w:rsidR="002D2682">
        <w:rPr>
          <w:bCs/>
        </w:rPr>
        <w:t>not receive</w:t>
      </w:r>
      <w:r w:rsidR="001E0C15">
        <w:rPr>
          <w:bCs/>
        </w:rPr>
        <w:t>d</w:t>
      </w:r>
      <w:r w:rsidR="00F04774">
        <w:rPr>
          <w:bCs/>
        </w:rPr>
        <w:t xml:space="preserve"> (and is not entitled to</w:t>
      </w:r>
      <w:r w:rsidR="00FF4BEC">
        <w:rPr>
          <w:bCs/>
        </w:rPr>
        <w:t>) a</w:t>
      </w:r>
      <w:r w:rsidR="002D2682">
        <w:rPr>
          <w:bCs/>
        </w:rPr>
        <w:t xml:space="preserve"> guaranteed return from its power plants</w:t>
      </w:r>
      <w:r w:rsidR="008E0372">
        <w:rPr>
          <w:bCs/>
        </w:rPr>
        <w:t xml:space="preserve"> </w:t>
      </w:r>
      <w:r w:rsidR="00857110">
        <w:rPr>
          <w:bCs/>
        </w:rPr>
        <w:t xml:space="preserve">that </w:t>
      </w:r>
      <w:r w:rsidR="00CC5CA0">
        <w:rPr>
          <w:bCs/>
        </w:rPr>
        <w:t xml:space="preserve">operated in a deregulated marketplace </w:t>
      </w:r>
      <w:r w:rsidR="00857110">
        <w:rPr>
          <w:bCs/>
        </w:rPr>
        <w:t xml:space="preserve">such as </w:t>
      </w:r>
      <w:r w:rsidR="00D8341F">
        <w:rPr>
          <w:bCs/>
        </w:rPr>
        <w:t xml:space="preserve">PJM’s </w:t>
      </w:r>
      <w:r w:rsidR="00857110">
        <w:rPr>
          <w:bCs/>
        </w:rPr>
        <w:t xml:space="preserve">generation market.  </w:t>
      </w:r>
      <w:r w:rsidR="008E0372">
        <w:rPr>
          <w:bCs/>
        </w:rPr>
        <w:t xml:space="preserve">Furthermore, </w:t>
      </w:r>
      <w:r w:rsidR="00857110">
        <w:rPr>
          <w:bCs/>
        </w:rPr>
        <w:t xml:space="preserve">there are no </w:t>
      </w:r>
      <w:r w:rsidR="0080539B">
        <w:rPr>
          <w:bCs/>
        </w:rPr>
        <w:t>statutory</w:t>
      </w:r>
      <w:r w:rsidR="008E0372">
        <w:rPr>
          <w:bCs/>
        </w:rPr>
        <w:t xml:space="preserve"> requirements or </w:t>
      </w:r>
      <w:r w:rsidR="00857110">
        <w:rPr>
          <w:bCs/>
        </w:rPr>
        <w:t>regulatory tools under existing Ohio law that would allow the PUCO to set or to guarantee the ROE earned by an unregulated power producer such as AEPGR.</w:t>
      </w:r>
      <w:r w:rsidR="00725251">
        <w:rPr>
          <w:bCs/>
        </w:rPr>
        <w:t xml:space="preserve"> </w:t>
      </w:r>
      <w:r w:rsidR="00164C5E">
        <w:rPr>
          <w:bCs/>
        </w:rPr>
        <w:t xml:space="preserve"> </w:t>
      </w:r>
      <w:r w:rsidR="002A4D51">
        <w:rPr>
          <w:bCs/>
        </w:rPr>
        <w:t>E</w:t>
      </w:r>
      <w:r w:rsidR="00316A9E">
        <w:rPr>
          <w:bCs/>
        </w:rPr>
        <w:t>ven</w:t>
      </w:r>
      <w:r w:rsidR="008E0372">
        <w:rPr>
          <w:bCs/>
        </w:rPr>
        <w:t xml:space="preserve"> if the Commission does choose to </w:t>
      </w:r>
      <w:r w:rsidR="00725251">
        <w:rPr>
          <w:bCs/>
        </w:rPr>
        <w:t>prov</w:t>
      </w:r>
      <w:r w:rsidR="002E62AC">
        <w:rPr>
          <w:bCs/>
        </w:rPr>
        <w:t>id</w:t>
      </w:r>
      <w:r w:rsidR="008E0372">
        <w:rPr>
          <w:bCs/>
        </w:rPr>
        <w:t>e</w:t>
      </w:r>
      <w:r w:rsidR="00955D40">
        <w:rPr>
          <w:bCs/>
        </w:rPr>
        <w:t xml:space="preserve"> </w:t>
      </w:r>
      <w:r w:rsidR="002E62AC">
        <w:rPr>
          <w:bCs/>
        </w:rPr>
        <w:t xml:space="preserve">a </w:t>
      </w:r>
      <w:r w:rsidR="00725251">
        <w:rPr>
          <w:bCs/>
        </w:rPr>
        <w:t>guarantee</w:t>
      </w:r>
      <w:r w:rsidR="002E62AC">
        <w:rPr>
          <w:bCs/>
        </w:rPr>
        <w:t xml:space="preserve">d ROE </w:t>
      </w:r>
      <w:r w:rsidR="009A5AAE">
        <w:rPr>
          <w:bCs/>
        </w:rPr>
        <w:t xml:space="preserve">to AEPGR </w:t>
      </w:r>
      <w:r w:rsidR="00725251">
        <w:rPr>
          <w:bCs/>
        </w:rPr>
        <w:t xml:space="preserve">on some </w:t>
      </w:r>
      <w:r w:rsidR="009A5AAE">
        <w:rPr>
          <w:bCs/>
        </w:rPr>
        <w:t xml:space="preserve">of its </w:t>
      </w:r>
      <w:r w:rsidR="00D8341F">
        <w:rPr>
          <w:bCs/>
        </w:rPr>
        <w:t>generation units</w:t>
      </w:r>
      <w:r w:rsidR="002E62AC">
        <w:rPr>
          <w:bCs/>
        </w:rPr>
        <w:t xml:space="preserve">, </w:t>
      </w:r>
      <w:r w:rsidR="00725251">
        <w:rPr>
          <w:bCs/>
        </w:rPr>
        <w:t xml:space="preserve">the PUCO would not </w:t>
      </w:r>
      <w:r w:rsidR="002E62AC">
        <w:rPr>
          <w:bCs/>
        </w:rPr>
        <w:t xml:space="preserve">have any </w:t>
      </w:r>
      <w:r w:rsidR="00955D40">
        <w:rPr>
          <w:bCs/>
        </w:rPr>
        <w:t xml:space="preserve">additional </w:t>
      </w:r>
      <w:r w:rsidR="004D5B81">
        <w:rPr>
          <w:bCs/>
        </w:rPr>
        <w:t xml:space="preserve">statutory </w:t>
      </w:r>
      <w:r w:rsidR="00725251">
        <w:rPr>
          <w:bCs/>
        </w:rPr>
        <w:t>authority to regulate and oversee the capital investments and operation of AEPGR, an unregulated power producer.</w:t>
      </w:r>
      <w:r w:rsidR="00164C5E">
        <w:rPr>
          <w:bCs/>
        </w:rPr>
        <w:t xml:space="preserve"> </w:t>
      </w:r>
      <w:r w:rsidR="00725251">
        <w:rPr>
          <w:bCs/>
        </w:rPr>
        <w:t xml:space="preserve"> </w:t>
      </w:r>
      <w:r w:rsidR="008E0372">
        <w:rPr>
          <w:bCs/>
        </w:rPr>
        <w:t xml:space="preserve">In other words, AEPGR </w:t>
      </w:r>
      <w:r w:rsidR="0080539B">
        <w:rPr>
          <w:bCs/>
        </w:rPr>
        <w:t>would be</w:t>
      </w:r>
      <w:r w:rsidR="008E0372">
        <w:rPr>
          <w:bCs/>
        </w:rPr>
        <w:t xml:space="preserve"> treated as </w:t>
      </w:r>
      <w:r w:rsidR="009F349B">
        <w:rPr>
          <w:bCs/>
        </w:rPr>
        <w:t>an</w:t>
      </w:r>
      <w:r w:rsidR="008E0372">
        <w:rPr>
          <w:bCs/>
        </w:rPr>
        <w:t xml:space="preserve"> unregulated entity with a guaranteed return on equity</w:t>
      </w:r>
      <w:r w:rsidR="00D07A52">
        <w:rPr>
          <w:bCs/>
        </w:rPr>
        <w:t>, funded by regulated customers</w:t>
      </w:r>
      <w:r w:rsidR="008E0372">
        <w:rPr>
          <w:bCs/>
        </w:rPr>
        <w:t>.</w:t>
      </w:r>
    </w:p>
    <w:p w:rsidR="00316A9E" w:rsidRDefault="00316A9E" w:rsidP="00110865">
      <w:pPr>
        <w:tabs>
          <w:tab w:val="num" w:pos="720"/>
        </w:tabs>
        <w:spacing w:line="480" w:lineRule="auto"/>
        <w:ind w:left="720" w:hanging="720"/>
        <w:rPr>
          <w:bCs/>
        </w:rPr>
      </w:pPr>
    </w:p>
    <w:p w:rsidR="00406BD5" w:rsidRDefault="00316A9E" w:rsidP="00D03276">
      <w:pPr>
        <w:tabs>
          <w:tab w:val="num" w:pos="720"/>
        </w:tabs>
        <w:spacing w:line="480" w:lineRule="auto"/>
        <w:ind w:left="720"/>
        <w:rPr>
          <w:bCs/>
        </w:rPr>
      </w:pPr>
      <w:r>
        <w:rPr>
          <w:bCs/>
        </w:rPr>
        <w:t xml:space="preserve">In short, AEPGR is not entitled to a </w:t>
      </w:r>
      <w:r w:rsidR="00D07A52">
        <w:rPr>
          <w:bCs/>
        </w:rPr>
        <w:t xml:space="preserve">customer funded </w:t>
      </w:r>
      <w:r>
        <w:rPr>
          <w:bCs/>
        </w:rPr>
        <w:t xml:space="preserve">guaranteed return on equity.  The Commission </w:t>
      </w:r>
      <w:r w:rsidR="00706957">
        <w:rPr>
          <w:bCs/>
        </w:rPr>
        <w:t xml:space="preserve">does not regulate AEPGR and </w:t>
      </w:r>
      <w:r w:rsidR="008E0372">
        <w:rPr>
          <w:bCs/>
        </w:rPr>
        <w:t xml:space="preserve">thus </w:t>
      </w:r>
      <w:r w:rsidR="00706957">
        <w:rPr>
          <w:bCs/>
        </w:rPr>
        <w:t xml:space="preserve">should not </w:t>
      </w:r>
      <w:r w:rsidR="00D07A52">
        <w:rPr>
          <w:bCs/>
        </w:rPr>
        <w:t xml:space="preserve">require customers to fund </w:t>
      </w:r>
      <w:r w:rsidR="00706957">
        <w:rPr>
          <w:bCs/>
        </w:rPr>
        <w:t xml:space="preserve">a guaranteed return on the power plants owned by AEPGR.  </w:t>
      </w:r>
      <w:r w:rsidR="009A5AAE">
        <w:rPr>
          <w:bCs/>
        </w:rPr>
        <w:t>T</w:t>
      </w:r>
      <w:r w:rsidR="002D2682">
        <w:rPr>
          <w:bCs/>
        </w:rPr>
        <w:t xml:space="preserve">he concept </w:t>
      </w:r>
      <w:r w:rsidR="00706957">
        <w:rPr>
          <w:bCs/>
        </w:rPr>
        <w:t xml:space="preserve">of setting an ROE for a regulated electric utility </w:t>
      </w:r>
      <w:r w:rsidR="002D2682">
        <w:rPr>
          <w:bCs/>
        </w:rPr>
        <w:t>and the typical method</w:t>
      </w:r>
      <w:r w:rsidR="00955D40">
        <w:rPr>
          <w:bCs/>
        </w:rPr>
        <w:t xml:space="preserve">s </w:t>
      </w:r>
      <w:r w:rsidR="002D2682">
        <w:rPr>
          <w:bCs/>
        </w:rPr>
        <w:t xml:space="preserve">of </w:t>
      </w:r>
      <w:r w:rsidR="00706957">
        <w:rPr>
          <w:bCs/>
        </w:rPr>
        <w:t xml:space="preserve">estimating </w:t>
      </w:r>
      <w:r w:rsidR="002D2682">
        <w:rPr>
          <w:bCs/>
        </w:rPr>
        <w:t xml:space="preserve">an allowed ROE </w:t>
      </w:r>
      <w:r w:rsidR="00BB47A2">
        <w:rPr>
          <w:bCs/>
        </w:rPr>
        <w:t>are</w:t>
      </w:r>
      <w:r w:rsidR="002D2682">
        <w:rPr>
          <w:bCs/>
        </w:rPr>
        <w:t xml:space="preserve"> </w:t>
      </w:r>
      <w:r w:rsidR="008E0372">
        <w:rPr>
          <w:bCs/>
        </w:rPr>
        <w:t xml:space="preserve">not </w:t>
      </w:r>
      <w:r w:rsidR="002D2682">
        <w:rPr>
          <w:bCs/>
        </w:rPr>
        <w:t>applicable to AEPGR</w:t>
      </w:r>
      <w:r w:rsidR="008E0372">
        <w:rPr>
          <w:bCs/>
        </w:rPr>
        <w:t xml:space="preserve">, </w:t>
      </w:r>
      <w:r w:rsidR="009F349B">
        <w:rPr>
          <w:bCs/>
        </w:rPr>
        <w:t>an</w:t>
      </w:r>
      <w:r w:rsidR="008E0372">
        <w:rPr>
          <w:bCs/>
        </w:rPr>
        <w:t xml:space="preserve"> unregulated power producer</w:t>
      </w:r>
      <w:r w:rsidR="004D5B81">
        <w:rPr>
          <w:bCs/>
        </w:rPr>
        <w:t>.</w:t>
      </w:r>
    </w:p>
    <w:p w:rsidR="00D03276" w:rsidRDefault="00D03276" w:rsidP="00D03276">
      <w:pPr>
        <w:tabs>
          <w:tab w:val="num" w:pos="720"/>
        </w:tabs>
        <w:spacing w:line="480" w:lineRule="auto"/>
        <w:ind w:left="720"/>
        <w:rPr>
          <w:bCs/>
        </w:rPr>
      </w:pPr>
    </w:p>
    <w:p w:rsidR="00804B40" w:rsidRDefault="00804B40" w:rsidP="00804B40">
      <w:pPr>
        <w:tabs>
          <w:tab w:val="num" w:pos="720"/>
        </w:tabs>
        <w:spacing w:line="480" w:lineRule="auto"/>
        <w:ind w:left="720" w:hanging="720"/>
        <w:rPr>
          <w:b/>
          <w:bCs/>
          <w:i/>
        </w:rPr>
      </w:pPr>
      <w:r>
        <w:rPr>
          <w:b/>
          <w:bCs/>
          <w:i/>
        </w:rPr>
        <w:t>Q1</w:t>
      </w:r>
      <w:r w:rsidR="00AA3B58">
        <w:rPr>
          <w:b/>
          <w:bCs/>
          <w:i/>
        </w:rPr>
        <w:t>4</w:t>
      </w:r>
      <w:r>
        <w:rPr>
          <w:b/>
          <w:bCs/>
          <w:i/>
        </w:rPr>
        <w:t>.</w:t>
      </w:r>
      <w:r>
        <w:rPr>
          <w:b/>
          <w:bCs/>
          <w:i/>
        </w:rPr>
        <w:tab/>
      </w:r>
      <w:r w:rsidR="00857110">
        <w:rPr>
          <w:b/>
          <w:bCs/>
          <w:i/>
        </w:rPr>
        <w:t xml:space="preserve">ASSUMING FOR THE TIME BEING THAT THE </w:t>
      </w:r>
      <w:r w:rsidR="008E0372">
        <w:rPr>
          <w:b/>
          <w:bCs/>
          <w:i/>
        </w:rPr>
        <w:t xml:space="preserve">CONCEPT AND THE </w:t>
      </w:r>
      <w:r w:rsidR="002D2682">
        <w:rPr>
          <w:b/>
          <w:bCs/>
          <w:i/>
        </w:rPr>
        <w:t xml:space="preserve">TYPICAL </w:t>
      </w:r>
      <w:r w:rsidR="00857110">
        <w:rPr>
          <w:b/>
          <w:bCs/>
          <w:i/>
        </w:rPr>
        <w:t>METHOD</w:t>
      </w:r>
      <w:r w:rsidR="008E0372">
        <w:rPr>
          <w:b/>
          <w:bCs/>
          <w:i/>
        </w:rPr>
        <w:t xml:space="preserve">S </w:t>
      </w:r>
      <w:r w:rsidR="00857110">
        <w:rPr>
          <w:b/>
          <w:bCs/>
          <w:i/>
        </w:rPr>
        <w:t xml:space="preserve">OF ESTIMATING THE ROE FOR </w:t>
      </w:r>
      <w:r w:rsidR="002D2682">
        <w:rPr>
          <w:b/>
          <w:bCs/>
          <w:i/>
        </w:rPr>
        <w:t xml:space="preserve">A </w:t>
      </w:r>
      <w:r w:rsidR="00857110">
        <w:rPr>
          <w:b/>
          <w:bCs/>
          <w:i/>
        </w:rPr>
        <w:t>REGULATED UTILIT</w:t>
      </w:r>
      <w:r w:rsidR="002D2682">
        <w:rPr>
          <w:b/>
          <w:bCs/>
          <w:i/>
        </w:rPr>
        <w:t>Y</w:t>
      </w:r>
      <w:r w:rsidR="00857110">
        <w:rPr>
          <w:b/>
          <w:bCs/>
          <w:i/>
        </w:rPr>
        <w:t xml:space="preserve"> </w:t>
      </w:r>
      <w:r w:rsidR="008E0372">
        <w:rPr>
          <w:b/>
          <w:bCs/>
          <w:i/>
        </w:rPr>
        <w:t>WERE</w:t>
      </w:r>
      <w:r w:rsidR="00857110">
        <w:rPr>
          <w:b/>
          <w:bCs/>
          <w:i/>
        </w:rPr>
        <w:t xml:space="preserve"> APPLI</w:t>
      </w:r>
      <w:r w:rsidR="00955D40">
        <w:rPr>
          <w:b/>
          <w:bCs/>
          <w:i/>
        </w:rPr>
        <w:t>ED</w:t>
      </w:r>
      <w:r w:rsidR="00DF2E88">
        <w:rPr>
          <w:b/>
          <w:bCs/>
          <w:i/>
        </w:rPr>
        <w:t xml:space="preserve"> IN SETTING </w:t>
      </w:r>
      <w:r w:rsidR="002D2682">
        <w:rPr>
          <w:b/>
          <w:bCs/>
          <w:i/>
        </w:rPr>
        <w:t xml:space="preserve">A </w:t>
      </w:r>
      <w:r w:rsidR="00DF2E88">
        <w:rPr>
          <w:b/>
          <w:bCs/>
          <w:i/>
        </w:rPr>
        <w:t>GUARANTEED ROE OF AEPGR, IS THE PROPOSED ROE OF 11.24% REASONABLE?</w:t>
      </w:r>
    </w:p>
    <w:p w:rsidR="00226D1C" w:rsidRDefault="00804B40" w:rsidP="00804B40">
      <w:pPr>
        <w:tabs>
          <w:tab w:val="num" w:pos="720"/>
        </w:tabs>
        <w:spacing w:line="480" w:lineRule="auto"/>
        <w:ind w:left="720" w:hanging="720"/>
        <w:rPr>
          <w:bCs/>
        </w:rPr>
      </w:pPr>
      <w:r w:rsidRPr="00842F67">
        <w:rPr>
          <w:b/>
          <w:bCs/>
          <w:i/>
        </w:rPr>
        <w:t>A</w:t>
      </w:r>
      <w:r>
        <w:rPr>
          <w:b/>
          <w:bCs/>
          <w:i/>
        </w:rPr>
        <w:t>1</w:t>
      </w:r>
      <w:r w:rsidR="00AA3B58">
        <w:rPr>
          <w:b/>
          <w:bCs/>
          <w:i/>
        </w:rPr>
        <w:t>4</w:t>
      </w:r>
      <w:r w:rsidRPr="00842F67">
        <w:rPr>
          <w:b/>
          <w:bCs/>
          <w:i/>
        </w:rPr>
        <w:t>.</w:t>
      </w:r>
      <w:r w:rsidRPr="00842F67">
        <w:rPr>
          <w:b/>
          <w:bCs/>
          <w:i/>
        </w:rPr>
        <w:tab/>
      </w:r>
      <w:r w:rsidR="00226D1C">
        <w:rPr>
          <w:bCs/>
        </w:rPr>
        <w:t>No</w:t>
      </w:r>
      <w:r w:rsidR="00406BD5">
        <w:rPr>
          <w:bCs/>
        </w:rPr>
        <w:t>,</w:t>
      </w:r>
      <w:r w:rsidR="00D07A52">
        <w:rPr>
          <w:bCs/>
        </w:rPr>
        <w:t xml:space="preserve"> </w:t>
      </w:r>
      <w:r w:rsidR="00226D1C">
        <w:rPr>
          <w:bCs/>
        </w:rPr>
        <w:t>t</w:t>
      </w:r>
      <w:r w:rsidR="00DF2E88">
        <w:rPr>
          <w:bCs/>
        </w:rPr>
        <w:t xml:space="preserve">he proposed ROE of 11.24% is </w:t>
      </w:r>
      <w:r w:rsidR="00E70280">
        <w:rPr>
          <w:bCs/>
        </w:rPr>
        <w:t>inflated</w:t>
      </w:r>
      <w:r w:rsidR="00706957">
        <w:rPr>
          <w:bCs/>
        </w:rPr>
        <w:t xml:space="preserve"> and </w:t>
      </w:r>
      <w:r w:rsidR="00DF2E88">
        <w:rPr>
          <w:bCs/>
        </w:rPr>
        <w:t>unreasonable</w:t>
      </w:r>
      <w:r w:rsidR="00226D1C">
        <w:rPr>
          <w:bCs/>
        </w:rPr>
        <w:t>.</w:t>
      </w:r>
    </w:p>
    <w:p w:rsidR="00226D1C" w:rsidRDefault="00226D1C" w:rsidP="00804B40">
      <w:pPr>
        <w:tabs>
          <w:tab w:val="num" w:pos="720"/>
        </w:tabs>
        <w:spacing w:line="480" w:lineRule="auto"/>
        <w:ind w:left="720" w:hanging="720"/>
        <w:rPr>
          <w:bCs/>
        </w:rPr>
      </w:pPr>
    </w:p>
    <w:p w:rsidR="00226D1C" w:rsidRDefault="00226D1C" w:rsidP="00226D1C">
      <w:pPr>
        <w:tabs>
          <w:tab w:val="num" w:pos="720"/>
        </w:tabs>
        <w:spacing w:line="480" w:lineRule="auto"/>
        <w:ind w:left="720" w:hanging="720"/>
        <w:rPr>
          <w:b/>
          <w:bCs/>
          <w:i/>
        </w:rPr>
      </w:pPr>
      <w:r>
        <w:rPr>
          <w:b/>
          <w:bCs/>
          <w:i/>
        </w:rPr>
        <w:t>Q1</w:t>
      </w:r>
      <w:r w:rsidR="00AA3B58">
        <w:rPr>
          <w:b/>
          <w:bCs/>
          <w:i/>
        </w:rPr>
        <w:t>5</w:t>
      </w:r>
      <w:r>
        <w:rPr>
          <w:b/>
          <w:bCs/>
          <w:i/>
        </w:rPr>
        <w:t>.</w:t>
      </w:r>
      <w:r>
        <w:rPr>
          <w:b/>
          <w:bCs/>
          <w:i/>
        </w:rPr>
        <w:tab/>
        <w:t>PLEASE EXPLAIN</w:t>
      </w:r>
      <w:r w:rsidR="00A744F1">
        <w:rPr>
          <w:b/>
          <w:bCs/>
          <w:i/>
        </w:rPr>
        <w:t xml:space="preserve"> WHY THE 11.24% ROE </w:t>
      </w:r>
      <w:r w:rsidR="008E0372">
        <w:rPr>
          <w:b/>
          <w:bCs/>
          <w:i/>
        </w:rPr>
        <w:t xml:space="preserve">PROPOSED BY AEP OHIO FOR THE AFFILIATE PPA </w:t>
      </w:r>
      <w:r w:rsidR="00A744F1">
        <w:rPr>
          <w:b/>
          <w:bCs/>
          <w:i/>
        </w:rPr>
        <w:t xml:space="preserve">IS </w:t>
      </w:r>
      <w:r w:rsidR="00E70280">
        <w:rPr>
          <w:b/>
          <w:bCs/>
          <w:i/>
        </w:rPr>
        <w:t>INFLATED</w:t>
      </w:r>
      <w:r w:rsidR="00A744F1">
        <w:rPr>
          <w:b/>
          <w:bCs/>
          <w:i/>
        </w:rPr>
        <w:t xml:space="preserve"> AND UNREASONABLE</w:t>
      </w:r>
      <w:r w:rsidR="009A5AAE">
        <w:rPr>
          <w:b/>
          <w:bCs/>
          <w:i/>
        </w:rPr>
        <w:t>.</w:t>
      </w:r>
    </w:p>
    <w:p w:rsidR="0094696E" w:rsidRDefault="00226D1C" w:rsidP="0094696E">
      <w:pPr>
        <w:tabs>
          <w:tab w:val="num" w:pos="720"/>
        </w:tabs>
        <w:spacing w:line="480" w:lineRule="auto"/>
        <w:ind w:left="720" w:hanging="720"/>
        <w:rPr>
          <w:bCs/>
        </w:rPr>
      </w:pPr>
      <w:r w:rsidRPr="00842F67">
        <w:rPr>
          <w:b/>
          <w:bCs/>
          <w:i/>
        </w:rPr>
        <w:t>A</w:t>
      </w:r>
      <w:r>
        <w:rPr>
          <w:b/>
          <w:bCs/>
          <w:i/>
        </w:rPr>
        <w:t>1</w:t>
      </w:r>
      <w:r w:rsidR="00AA3B58">
        <w:rPr>
          <w:b/>
          <w:bCs/>
          <w:i/>
        </w:rPr>
        <w:t>5</w:t>
      </w:r>
      <w:r w:rsidR="00F134E2">
        <w:rPr>
          <w:b/>
          <w:bCs/>
          <w:i/>
        </w:rPr>
        <w:tab/>
      </w:r>
      <w:r w:rsidR="00F134E2">
        <w:rPr>
          <w:bCs/>
        </w:rPr>
        <w:t xml:space="preserve">As discussed above, </w:t>
      </w:r>
      <w:r w:rsidR="00E43C47">
        <w:rPr>
          <w:bCs/>
        </w:rPr>
        <w:t>I do not support the adoption of the PPA Rider</w:t>
      </w:r>
      <w:r w:rsidR="008E0372">
        <w:rPr>
          <w:bCs/>
        </w:rPr>
        <w:t xml:space="preserve"> and Affiliate PPA </w:t>
      </w:r>
      <w:r w:rsidR="00E43C47">
        <w:rPr>
          <w:bCs/>
        </w:rPr>
        <w:t>propos</w:t>
      </w:r>
      <w:r w:rsidR="00406BD5">
        <w:rPr>
          <w:bCs/>
        </w:rPr>
        <w:t>ed in the Amended Application.</w:t>
      </w:r>
      <w:r w:rsidR="0094696E">
        <w:rPr>
          <w:bCs/>
        </w:rPr>
        <w:br w:type="page"/>
      </w:r>
    </w:p>
    <w:p w:rsidR="00D07A52" w:rsidRDefault="00E43C47" w:rsidP="0094696E">
      <w:pPr>
        <w:tabs>
          <w:tab w:val="num" w:pos="720"/>
        </w:tabs>
        <w:spacing w:line="480" w:lineRule="auto"/>
        <w:ind w:left="720"/>
        <w:rPr>
          <w:bCs/>
        </w:rPr>
      </w:pPr>
      <w:r>
        <w:rPr>
          <w:bCs/>
        </w:rPr>
        <w:t>Neither do I support the a</w:t>
      </w:r>
      <w:r w:rsidR="008E0372">
        <w:rPr>
          <w:bCs/>
        </w:rPr>
        <w:t xml:space="preserve">doption </w:t>
      </w:r>
      <w:r>
        <w:rPr>
          <w:bCs/>
        </w:rPr>
        <w:t xml:space="preserve">of a guaranteed ROE for any power plants owned by AEPGR.  </w:t>
      </w:r>
      <w:r w:rsidR="005425C3">
        <w:rPr>
          <w:bCs/>
        </w:rPr>
        <w:t xml:space="preserve">There should not </w:t>
      </w:r>
      <w:r w:rsidR="0080539B">
        <w:rPr>
          <w:bCs/>
        </w:rPr>
        <w:t xml:space="preserve">be </w:t>
      </w:r>
      <w:r w:rsidR="005425C3">
        <w:rPr>
          <w:bCs/>
        </w:rPr>
        <w:t>any ROE included in the formula contract rate used in the Affiliate P</w:t>
      </w:r>
      <w:r w:rsidR="0094696E">
        <w:rPr>
          <w:bCs/>
        </w:rPr>
        <w:t>PA between AEP Ohio and AEPGR.</w:t>
      </w:r>
    </w:p>
    <w:p w:rsidR="00D07A52" w:rsidRDefault="00D07A52" w:rsidP="004A0E63">
      <w:pPr>
        <w:tabs>
          <w:tab w:val="num" w:pos="720"/>
        </w:tabs>
        <w:spacing w:line="480" w:lineRule="auto"/>
        <w:ind w:left="720" w:hanging="720"/>
        <w:rPr>
          <w:bCs/>
        </w:rPr>
      </w:pPr>
    </w:p>
    <w:p w:rsidR="00140ED3" w:rsidRDefault="001B5E75" w:rsidP="0094696E">
      <w:pPr>
        <w:tabs>
          <w:tab w:val="num" w:pos="720"/>
        </w:tabs>
        <w:spacing w:line="480" w:lineRule="auto"/>
        <w:ind w:left="720"/>
        <w:rPr>
          <w:bCs/>
        </w:rPr>
      </w:pPr>
      <w:r>
        <w:rPr>
          <w:bCs/>
        </w:rPr>
        <w:t>However, i</w:t>
      </w:r>
      <w:r w:rsidR="00E43C47">
        <w:rPr>
          <w:bCs/>
        </w:rPr>
        <w:t xml:space="preserve">f the PPA Rider </w:t>
      </w:r>
      <w:r w:rsidR="009F349B">
        <w:rPr>
          <w:bCs/>
        </w:rPr>
        <w:t>was</w:t>
      </w:r>
      <w:r w:rsidR="00E43C47">
        <w:rPr>
          <w:bCs/>
        </w:rPr>
        <w:t xml:space="preserve"> a</w:t>
      </w:r>
      <w:r w:rsidR="00955D40">
        <w:rPr>
          <w:bCs/>
        </w:rPr>
        <w:t>dopted by the Commission</w:t>
      </w:r>
      <w:r w:rsidR="009F349B">
        <w:rPr>
          <w:bCs/>
        </w:rPr>
        <w:t>, and</w:t>
      </w:r>
      <w:r w:rsidR="00E43C47">
        <w:rPr>
          <w:bCs/>
        </w:rPr>
        <w:t xml:space="preserve"> a guaranteed ROE is </w:t>
      </w:r>
      <w:r>
        <w:rPr>
          <w:bCs/>
        </w:rPr>
        <w:t xml:space="preserve">used </w:t>
      </w:r>
      <w:r w:rsidR="00955D40">
        <w:rPr>
          <w:bCs/>
        </w:rPr>
        <w:t xml:space="preserve">in </w:t>
      </w:r>
      <w:r w:rsidR="00140ED3">
        <w:rPr>
          <w:bCs/>
        </w:rPr>
        <w:t xml:space="preserve">the Affiliate PPA, the 11.24% ROE proposed by AEP Ohio is </w:t>
      </w:r>
      <w:r w:rsidR="00E70280">
        <w:rPr>
          <w:bCs/>
        </w:rPr>
        <w:t>inflated</w:t>
      </w:r>
      <w:r w:rsidR="00140ED3">
        <w:rPr>
          <w:bCs/>
        </w:rPr>
        <w:t xml:space="preserve"> and unreasonable.</w:t>
      </w:r>
    </w:p>
    <w:p w:rsidR="00140ED3" w:rsidRDefault="00140ED3" w:rsidP="004A0E63">
      <w:pPr>
        <w:tabs>
          <w:tab w:val="num" w:pos="720"/>
        </w:tabs>
        <w:spacing w:line="480" w:lineRule="auto"/>
        <w:ind w:left="720" w:hanging="720"/>
        <w:rPr>
          <w:bCs/>
        </w:rPr>
      </w:pPr>
    </w:p>
    <w:p w:rsidR="00D227CD" w:rsidRDefault="00140ED3" w:rsidP="009C7618">
      <w:pPr>
        <w:tabs>
          <w:tab w:val="num" w:pos="720"/>
        </w:tabs>
        <w:spacing w:line="480" w:lineRule="auto"/>
        <w:ind w:left="720"/>
        <w:rPr>
          <w:bCs/>
        </w:rPr>
      </w:pPr>
      <w:r>
        <w:rPr>
          <w:bCs/>
        </w:rPr>
        <w:t>T</w:t>
      </w:r>
      <w:r w:rsidR="00F134E2">
        <w:rPr>
          <w:bCs/>
        </w:rPr>
        <w:t xml:space="preserve">he 11.24% ROE proposed for </w:t>
      </w:r>
      <w:r w:rsidR="00706957">
        <w:rPr>
          <w:bCs/>
        </w:rPr>
        <w:t xml:space="preserve">the power plants included in the Affiliate PPA </w:t>
      </w:r>
      <w:r w:rsidR="00F134E2">
        <w:rPr>
          <w:bCs/>
        </w:rPr>
        <w:t xml:space="preserve">is the sum of the average Moody’s Baa Corporate Bond Index of 4.74% </w:t>
      </w:r>
      <w:r w:rsidR="00955D40">
        <w:rPr>
          <w:bCs/>
        </w:rPr>
        <w:t>(</w:t>
      </w:r>
      <w:r w:rsidR="008257CB">
        <w:rPr>
          <w:bCs/>
        </w:rPr>
        <w:t>“</w:t>
      </w:r>
      <w:r w:rsidR="00955D40">
        <w:rPr>
          <w:bCs/>
        </w:rPr>
        <w:t>Moody’s Index</w:t>
      </w:r>
      <w:r w:rsidR="008257CB">
        <w:rPr>
          <w:bCs/>
        </w:rPr>
        <w:t>”</w:t>
      </w:r>
      <w:r w:rsidR="00955D40">
        <w:rPr>
          <w:bCs/>
        </w:rPr>
        <w:t xml:space="preserve">) </w:t>
      </w:r>
      <w:r w:rsidR="00F134E2">
        <w:rPr>
          <w:bCs/>
        </w:rPr>
        <w:t xml:space="preserve">plus an estimated Equity Risk Premium of 6.5%.  </w:t>
      </w:r>
      <w:r w:rsidR="00706957">
        <w:rPr>
          <w:bCs/>
        </w:rPr>
        <w:t xml:space="preserve">This </w:t>
      </w:r>
      <w:r>
        <w:rPr>
          <w:bCs/>
        </w:rPr>
        <w:t>approach, commonly referred as a Risk Premium Model (or in its special form, a Capital Asset Pricing Model</w:t>
      </w:r>
      <w:r w:rsidR="00D227CD">
        <w:rPr>
          <w:bCs/>
        </w:rPr>
        <w:t xml:space="preserve"> (</w:t>
      </w:r>
      <w:r w:rsidR="008257CB">
        <w:rPr>
          <w:bCs/>
        </w:rPr>
        <w:t>“</w:t>
      </w:r>
      <w:r w:rsidR="00D227CD">
        <w:rPr>
          <w:bCs/>
        </w:rPr>
        <w:t>CAPM</w:t>
      </w:r>
      <w:r w:rsidR="008257CB">
        <w:rPr>
          <w:bCs/>
        </w:rPr>
        <w:t>”</w:t>
      </w:r>
      <w:r>
        <w:rPr>
          <w:bCs/>
        </w:rPr>
        <w:t>)</w:t>
      </w:r>
      <w:r w:rsidR="00D227CD">
        <w:rPr>
          <w:bCs/>
        </w:rPr>
        <w:t>)</w:t>
      </w:r>
      <w:r>
        <w:rPr>
          <w:bCs/>
        </w:rPr>
        <w:t xml:space="preserve">, is </w:t>
      </w:r>
      <w:r w:rsidR="00D227CD">
        <w:rPr>
          <w:bCs/>
        </w:rPr>
        <w:t>an established method</w:t>
      </w:r>
      <w:r w:rsidR="00955D40">
        <w:rPr>
          <w:bCs/>
        </w:rPr>
        <w:t xml:space="preserve"> </w:t>
      </w:r>
      <w:r>
        <w:rPr>
          <w:bCs/>
        </w:rPr>
        <w:t xml:space="preserve">in estimating the allowed ROE for regulated utilities.  </w:t>
      </w:r>
      <w:r w:rsidR="00D227CD">
        <w:rPr>
          <w:bCs/>
        </w:rPr>
        <w:t xml:space="preserve">In Ohio, the PUCO Staff typically uses the CAPM and another method (the Discounted Cash Flow Model) in estimating the allowed ROE for regulated Ohio utilities </w:t>
      </w:r>
      <w:r w:rsidR="00955D40">
        <w:rPr>
          <w:bCs/>
        </w:rPr>
        <w:t xml:space="preserve">in rate cases </w:t>
      </w:r>
      <w:r w:rsidR="00D227CD">
        <w:rPr>
          <w:bCs/>
        </w:rPr>
        <w:t>in recent years.  I do not have an</w:t>
      </w:r>
      <w:r w:rsidR="009A5AAE">
        <w:rPr>
          <w:bCs/>
        </w:rPr>
        <w:t>y</w:t>
      </w:r>
      <w:r w:rsidR="00D227CD">
        <w:rPr>
          <w:bCs/>
        </w:rPr>
        <w:t xml:space="preserve"> issue with using the CAPM or the Risk Premium Model to estimate the allowed ROE for regulated utilities.</w:t>
      </w:r>
    </w:p>
    <w:p w:rsidR="00D227CD" w:rsidRDefault="00D227CD" w:rsidP="004A0E63">
      <w:pPr>
        <w:tabs>
          <w:tab w:val="num" w:pos="720"/>
        </w:tabs>
        <w:spacing w:line="480" w:lineRule="auto"/>
        <w:ind w:left="720" w:hanging="720"/>
        <w:rPr>
          <w:bCs/>
        </w:rPr>
      </w:pPr>
    </w:p>
    <w:p w:rsidR="005425C3" w:rsidRDefault="00D227CD" w:rsidP="009C7618">
      <w:pPr>
        <w:tabs>
          <w:tab w:val="num" w:pos="720"/>
        </w:tabs>
        <w:spacing w:line="480" w:lineRule="auto"/>
        <w:ind w:left="720"/>
        <w:rPr>
          <w:bCs/>
        </w:rPr>
      </w:pPr>
      <w:r>
        <w:rPr>
          <w:bCs/>
        </w:rPr>
        <w:t xml:space="preserve">However, </w:t>
      </w:r>
      <w:r w:rsidR="009A5AAE">
        <w:rPr>
          <w:bCs/>
        </w:rPr>
        <w:t xml:space="preserve">the </w:t>
      </w:r>
      <w:r w:rsidR="001B5E75">
        <w:rPr>
          <w:bCs/>
        </w:rPr>
        <w:t xml:space="preserve">use of the </w:t>
      </w:r>
      <w:r w:rsidR="009A5AAE">
        <w:rPr>
          <w:bCs/>
        </w:rPr>
        <w:t xml:space="preserve">Risk Premium Model </w:t>
      </w:r>
      <w:r w:rsidR="001B5E75">
        <w:rPr>
          <w:bCs/>
        </w:rPr>
        <w:t xml:space="preserve">by AEP Ohio </w:t>
      </w:r>
      <w:r w:rsidR="009A5AAE">
        <w:rPr>
          <w:bCs/>
        </w:rPr>
        <w:t xml:space="preserve">in deriving </w:t>
      </w:r>
      <w:r w:rsidR="00902BF6">
        <w:rPr>
          <w:bCs/>
        </w:rPr>
        <w:t xml:space="preserve">its </w:t>
      </w:r>
      <w:r w:rsidR="001B5E75">
        <w:rPr>
          <w:bCs/>
        </w:rPr>
        <w:t xml:space="preserve">proposed </w:t>
      </w:r>
      <w:r w:rsidR="009A5AAE">
        <w:rPr>
          <w:bCs/>
        </w:rPr>
        <w:t>ROE of 11.24</w:t>
      </w:r>
      <w:r w:rsidR="00A87AF7">
        <w:rPr>
          <w:bCs/>
        </w:rPr>
        <w:t xml:space="preserve"> </w:t>
      </w:r>
      <w:r w:rsidR="001B5E75">
        <w:rPr>
          <w:bCs/>
        </w:rPr>
        <w:t>is prob</w:t>
      </w:r>
      <w:r w:rsidR="00955D40">
        <w:rPr>
          <w:bCs/>
        </w:rPr>
        <w:t>le</w:t>
      </w:r>
      <w:r w:rsidR="001B5E75">
        <w:rPr>
          <w:bCs/>
        </w:rPr>
        <w:t>matic</w:t>
      </w:r>
      <w:r w:rsidR="00A87AF7">
        <w:rPr>
          <w:bCs/>
        </w:rPr>
        <w:t xml:space="preserve"> and </w:t>
      </w:r>
      <w:r w:rsidR="00E70280">
        <w:rPr>
          <w:bCs/>
        </w:rPr>
        <w:t>inflates</w:t>
      </w:r>
      <w:r w:rsidR="00A87AF7">
        <w:rPr>
          <w:bCs/>
        </w:rPr>
        <w:t xml:space="preserve"> the </w:t>
      </w:r>
      <w:r w:rsidR="00902BF6">
        <w:rPr>
          <w:bCs/>
        </w:rPr>
        <w:t>resulting ROE</w:t>
      </w:r>
      <w:r w:rsidR="00A87AF7">
        <w:rPr>
          <w:bCs/>
        </w:rPr>
        <w:t>, to the detriment of customers who would be funding it</w:t>
      </w:r>
      <w:r w:rsidR="00B22259">
        <w:rPr>
          <w:bCs/>
        </w:rPr>
        <w:t xml:space="preserve">. </w:t>
      </w:r>
      <w:r w:rsidR="004A0E63">
        <w:rPr>
          <w:bCs/>
        </w:rPr>
        <w:t xml:space="preserve"> </w:t>
      </w:r>
      <w:r w:rsidR="001B5E75">
        <w:rPr>
          <w:bCs/>
        </w:rPr>
        <w:t>Essentially, the risk-free return, 4.74%, selected by AEP Ohio is too high and unreasonable</w:t>
      </w:r>
      <w:r w:rsidR="005425C3">
        <w:rPr>
          <w:bCs/>
        </w:rPr>
        <w:t xml:space="preserve"> in the current capital market condition</w:t>
      </w:r>
      <w:r w:rsidR="001B5E75">
        <w:rPr>
          <w:bCs/>
        </w:rPr>
        <w:t>.  If AEP Ohio choose</w:t>
      </w:r>
      <w:r w:rsidR="00955D40">
        <w:rPr>
          <w:bCs/>
        </w:rPr>
        <w:t>s</w:t>
      </w:r>
      <w:r w:rsidR="001B5E75">
        <w:rPr>
          <w:bCs/>
        </w:rPr>
        <w:t xml:space="preserve"> to </w:t>
      </w:r>
      <w:r w:rsidR="005425C3">
        <w:rPr>
          <w:bCs/>
        </w:rPr>
        <w:t xml:space="preserve">stick with </w:t>
      </w:r>
      <w:r w:rsidR="001B5E75">
        <w:rPr>
          <w:bCs/>
        </w:rPr>
        <w:t xml:space="preserve">this </w:t>
      </w:r>
      <w:r w:rsidR="005425C3">
        <w:rPr>
          <w:bCs/>
        </w:rPr>
        <w:t>r</w:t>
      </w:r>
      <w:r w:rsidR="001B5E75">
        <w:rPr>
          <w:bCs/>
        </w:rPr>
        <w:t xml:space="preserve">isk-free return </w:t>
      </w:r>
      <w:r w:rsidR="00955D40">
        <w:rPr>
          <w:bCs/>
        </w:rPr>
        <w:t xml:space="preserve">of 4.74% </w:t>
      </w:r>
      <w:r w:rsidR="005425C3">
        <w:rPr>
          <w:bCs/>
        </w:rPr>
        <w:t xml:space="preserve">(actually </w:t>
      </w:r>
      <w:r w:rsidR="00955D40">
        <w:rPr>
          <w:bCs/>
        </w:rPr>
        <w:t xml:space="preserve">it is </w:t>
      </w:r>
      <w:r w:rsidR="005425C3">
        <w:rPr>
          <w:bCs/>
        </w:rPr>
        <w:t>a non-risk-free return as discu</w:t>
      </w:r>
      <w:r w:rsidR="00955D40">
        <w:rPr>
          <w:bCs/>
        </w:rPr>
        <w:t>ssed</w:t>
      </w:r>
      <w:r w:rsidR="005425C3">
        <w:rPr>
          <w:bCs/>
        </w:rPr>
        <w:t xml:space="preserve"> below)</w:t>
      </w:r>
      <w:r w:rsidR="00955D40">
        <w:rPr>
          <w:bCs/>
        </w:rPr>
        <w:t>,</w:t>
      </w:r>
      <w:r w:rsidR="005425C3">
        <w:rPr>
          <w:bCs/>
        </w:rPr>
        <w:t xml:space="preserve"> </w:t>
      </w:r>
      <w:r w:rsidR="001B5E75">
        <w:rPr>
          <w:bCs/>
        </w:rPr>
        <w:t xml:space="preserve">then the equity risk premium of 6.50% </w:t>
      </w:r>
      <w:r w:rsidR="00955D40">
        <w:rPr>
          <w:bCs/>
        </w:rPr>
        <w:t xml:space="preserve">proposed by AEP Ohio </w:t>
      </w:r>
      <w:r w:rsidR="005425C3">
        <w:rPr>
          <w:bCs/>
        </w:rPr>
        <w:t xml:space="preserve">is too high and </w:t>
      </w:r>
      <w:r w:rsidR="001B5E75">
        <w:rPr>
          <w:bCs/>
        </w:rPr>
        <w:t xml:space="preserve">should be lowered.  Either way, the proposed ROE of 11.24% </w:t>
      </w:r>
      <w:r w:rsidR="005425C3">
        <w:rPr>
          <w:bCs/>
        </w:rPr>
        <w:t xml:space="preserve">is </w:t>
      </w:r>
      <w:r w:rsidR="00E70280">
        <w:rPr>
          <w:bCs/>
        </w:rPr>
        <w:t>inflated</w:t>
      </w:r>
      <w:r w:rsidR="005425C3">
        <w:rPr>
          <w:bCs/>
        </w:rPr>
        <w:t xml:space="preserve"> and unreasonable.</w:t>
      </w:r>
    </w:p>
    <w:p w:rsidR="005425C3" w:rsidRDefault="005425C3" w:rsidP="004A0E63">
      <w:pPr>
        <w:tabs>
          <w:tab w:val="num" w:pos="720"/>
        </w:tabs>
        <w:spacing w:line="480" w:lineRule="auto"/>
        <w:ind w:left="720" w:hanging="720"/>
        <w:rPr>
          <w:bCs/>
        </w:rPr>
      </w:pPr>
    </w:p>
    <w:p w:rsidR="00365778" w:rsidRDefault="00B22259" w:rsidP="009C7618">
      <w:pPr>
        <w:tabs>
          <w:tab w:val="num" w:pos="720"/>
        </w:tabs>
        <w:spacing w:line="480" w:lineRule="auto"/>
        <w:ind w:left="720"/>
        <w:rPr>
          <w:bCs/>
        </w:rPr>
      </w:pPr>
      <w:r>
        <w:rPr>
          <w:bCs/>
        </w:rPr>
        <w:t>The basic concept of the Risk Premium Model is to adjust the return associated with investing in a particular equity (such as an industrial firm, a technology start-up</w:t>
      </w:r>
      <w:r w:rsidR="005425C3">
        <w:rPr>
          <w:bCs/>
        </w:rPr>
        <w:t>,</w:t>
      </w:r>
      <w:r>
        <w:rPr>
          <w:bCs/>
        </w:rPr>
        <w:t xml:space="preserve"> or a regulated utility) to compensate for the business and financial risk associated with that particular equity investment.  The </w:t>
      </w:r>
      <w:r w:rsidR="005425C3">
        <w:rPr>
          <w:bCs/>
        </w:rPr>
        <w:t xml:space="preserve">equity </w:t>
      </w:r>
      <w:r>
        <w:rPr>
          <w:bCs/>
        </w:rPr>
        <w:t xml:space="preserve">risk premium, such as the 6.5% proposed by AEP Ohio, </w:t>
      </w:r>
      <w:r w:rsidR="005425C3">
        <w:rPr>
          <w:bCs/>
        </w:rPr>
        <w:t xml:space="preserve">is typically </w:t>
      </w:r>
      <w:r>
        <w:rPr>
          <w:bCs/>
        </w:rPr>
        <w:t xml:space="preserve">measured </w:t>
      </w:r>
      <w:r w:rsidR="0069065F">
        <w:rPr>
          <w:bCs/>
        </w:rPr>
        <w:t xml:space="preserve">as </w:t>
      </w:r>
      <w:r>
        <w:rPr>
          <w:bCs/>
        </w:rPr>
        <w:t xml:space="preserve">the difference in </w:t>
      </w:r>
      <w:r w:rsidR="005425C3">
        <w:rPr>
          <w:bCs/>
        </w:rPr>
        <w:t xml:space="preserve">the </w:t>
      </w:r>
      <w:r>
        <w:rPr>
          <w:bCs/>
        </w:rPr>
        <w:t xml:space="preserve">annualized returns between the equity </w:t>
      </w:r>
      <w:r w:rsidR="0069065F">
        <w:rPr>
          <w:bCs/>
        </w:rPr>
        <w:t xml:space="preserve">investment </w:t>
      </w:r>
      <w:r>
        <w:rPr>
          <w:bCs/>
        </w:rPr>
        <w:t xml:space="preserve">(such as </w:t>
      </w:r>
      <w:r w:rsidR="005425C3">
        <w:rPr>
          <w:bCs/>
        </w:rPr>
        <w:t xml:space="preserve">the </w:t>
      </w:r>
      <w:r>
        <w:rPr>
          <w:bCs/>
        </w:rPr>
        <w:t>stocks</w:t>
      </w:r>
      <w:r w:rsidR="005425C3">
        <w:rPr>
          <w:bCs/>
        </w:rPr>
        <w:t xml:space="preserve"> of a group of companies</w:t>
      </w:r>
      <w:r>
        <w:rPr>
          <w:bCs/>
        </w:rPr>
        <w:t xml:space="preserve">) and a risk-free investment (such as </w:t>
      </w:r>
      <w:r w:rsidR="005425C3">
        <w:rPr>
          <w:bCs/>
        </w:rPr>
        <w:t xml:space="preserve">the </w:t>
      </w:r>
      <w:r>
        <w:rPr>
          <w:bCs/>
        </w:rPr>
        <w:t>US Treasury Bonds</w:t>
      </w:r>
      <w:r w:rsidR="005425C3">
        <w:rPr>
          <w:bCs/>
        </w:rPr>
        <w:t xml:space="preserve"> with various </w:t>
      </w:r>
      <w:r w:rsidR="009F349B">
        <w:rPr>
          <w:bCs/>
        </w:rPr>
        <w:t>maturities</w:t>
      </w:r>
      <w:r>
        <w:rPr>
          <w:bCs/>
        </w:rPr>
        <w:t>).</w:t>
      </w:r>
    </w:p>
    <w:p w:rsidR="00365778" w:rsidRDefault="00365778" w:rsidP="004A0E63">
      <w:pPr>
        <w:tabs>
          <w:tab w:val="num" w:pos="720"/>
        </w:tabs>
        <w:spacing w:line="480" w:lineRule="auto"/>
        <w:ind w:left="720" w:hanging="720"/>
        <w:rPr>
          <w:bCs/>
        </w:rPr>
      </w:pPr>
    </w:p>
    <w:p w:rsidR="00C64C23" w:rsidRDefault="00365778" w:rsidP="0094696E">
      <w:pPr>
        <w:tabs>
          <w:tab w:val="num" w:pos="720"/>
        </w:tabs>
        <w:spacing w:line="480" w:lineRule="auto"/>
        <w:ind w:left="720"/>
        <w:rPr>
          <w:bCs/>
        </w:rPr>
      </w:pPr>
      <w:r>
        <w:rPr>
          <w:bCs/>
        </w:rPr>
        <w:t xml:space="preserve">The Moody’s Baa Corporate Bond Index of 4.74% used by AEP Ohio is not a reasonable measurement of risk-free return in the current capital market.  </w:t>
      </w:r>
      <w:r w:rsidR="0069065F">
        <w:rPr>
          <w:bCs/>
        </w:rPr>
        <w:t>Specifically, c</w:t>
      </w:r>
      <w:r w:rsidR="00C64C23">
        <w:rPr>
          <w:bCs/>
        </w:rPr>
        <w:t xml:space="preserve">orporate bonds, even with the highest credit rating, generally are not considered </w:t>
      </w:r>
      <w:r w:rsidR="0069065F">
        <w:rPr>
          <w:bCs/>
        </w:rPr>
        <w:t xml:space="preserve">as </w:t>
      </w:r>
      <w:r w:rsidR="00C64C23">
        <w:rPr>
          <w:bCs/>
        </w:rPr>
        <w:t xml:space="preserve">risk-free investments.  </w:t>
      </w:r>
      <w:r>
        <w:rPr>
          <w:bCs/>
        </w:rPr>
        <w:t>A</w:t>
      </w:r>
      <w:r w:rsidR="00C64C23">
        <w:rPr>
          <w:bCs/>
        </w:rPr>
        <w:t xml:space="preserve"> measurement of </w:t>
      </w:r>
      <w:r w:rsidR="005425C3">
        <w:rPr>
          <w:bCs/>
        </w:rPr>
        <w:t xml:space="preserve">the </w:t>
      </w:r>
      <w:r>
        <w:rPr>
          <w:bCs/>
        </w:rPr>
        <w:t xml:space="preserve">current </w:t>
      </w:r>
      <w:r w:rsidR="005425C3">
        <w:rPr>
          <w:bCs/>
        </w:rPr>
        <w:t xml:space="preserve">yields of </w:t>
      </w:r>
      <w:r>
        <w:rPr>
          <w:bCs/>
        </w:rPr>
        <w:t xml:space="preserve">US Treasury Bonds </w:t>
      </w:r>
      <w:r w:rsidR="005425C3">
        <w:rPr>
          <w:bCs/>
        </w:rPr>
        <w:t xml:space="preserve">with various </w:t>
      </w:r>
      <w:r>
        <w:rPr>
          <w:bCs/>
        </w:rPr>
        <w:t xml:space="preserve">years </w:t>
      </w:r>
      <w:r w:rsidR="005425C3">
        <w:rPr>
          <w:bCs/>
        </w:rPr>
        <w:t xml:space="preserve">of maturity </w:t>
      </w:r>
      <w:r w:rsidR="00C64C23">
        <w:rPr>
          <w:bCs/>
        </w:rPr>
        <w:t xml:space="preserve">is considered by financial analysts as a better measurement of the return of risk-free investments.  </w:t>
      </w:r>
      <w:r w:rsidR="0069065F">
        <w:rPr>
          <w:bCs/>
        </w:rPr>
        <w:t xml:space="preserve">The current </w:t>
      </w:r>
      <w:r w:rsidR="009F349B">
        <w:rPr>
          <w:bCs/>
        </w:rPr>
        <w:t>yields on US Treasury Bonds are</w:t>
      </w:r>
      <w:r w:rsidR="0069065F">
        <w:rPr>
          <w:bCs/>
        </w:rPr>
        <w:t xml:space="preserve"> much lower than the Moody’s Index.</w:t>
      </w:r>
    </w:p>
    <w:p w:rsidR="00C64C23" w:rsidRDefault="009C7618" w:rsidP="009C7618">
      <w:pPr>
        <w:tabs>
          <w:tab w:val="num" w:pos="720"/>
        </w:tabs>
        <w:spacing w:line="480" w:lineRule="auto"/>
        <w:ind w:left="720"/>
        <w:rPr>
          <w:bCs/>
        </w:rPr>
      </w:pPr>
      <w:r>
        <w:rPr>
          <w:bCs/>
        </w:rPr>
        <w:t>T</w:t>
      </w:r>
      <w:r w:rsidR="007A0CA0">
        <w:rPr>
          <w:bCs/>
        </w:rPr>
        <w:t xml:space="preserve">he Moody’s Baa Corporate Bond Index is also not a good measurement of the risk-adjusted return </w:t>
      </w:r>
      <w:r w:rsidR="0069065F">
        <w:rPr>
          <w:bCs/>
        </w:rPr>
        <w:t xml:space="preserve">(non-risk-free return) </w:t>
      </w:r>
      <w:r w:rsidR="007A0CA0">
        <w:rPr>
          <w:bCs/>
        </w:rPr>
        <w:t xml:space="preserve">associated with </w:t>
      </w:r>
      <w:r w:rsidR="0069065F">
        <w:rPr>
          <w:bCs/>
        </w:rPr>
        <w:t xml:space="preserve">U.S. </w:t>
      </w:r>
      <w:r w:rsidR="007A0CA0">
        <w:rPr>
          <w:bCs/>
        </w:rPr>
        <w:t>power producers of similar credit rating.  The Moody’s Corporate Bond Index includes the</w:t>
      </w:r>
      <w:r w:rsidR="0069065F">
        <w:rPr>
          <w:bCs/>
        </w:rPr>
        <w:t xml:space="preserve"> </w:t>
      </w:r>
      <w:r w:rsidR="007A0CA0">
        <w:rPr>
          <w:bCs/>
        </w:rPr>
        <w:t xml:space="preserve">yields of </w:t>
      </w:r>
      <w:r w:rsidR="00C64C23">
        <w:rPr>
          <w:bCs/>
        </w:rPr>
        <w:t xml:space="preserve">the bonds issued by many </w:t>
      </w:r>
      <w:r w:rsidR="007A0CA0">
        <w:rPr>
          <w:bCs/>
        </w:rPr>
        <w:t>compan</w:t>
      </w:r>
      <w:r w:rsidR="00C64C23">
        <w:rPr>
          <w:bCs/>
        </w:rPr>
        <w:t>ies</w:t>
      </w:r>
      <w:r w:rsidR="007A0CA0">
        <w:rPr>
          <w:bCs/>
        </w:rPr>
        <w:t xml:space="preserve"> in different industries</w:t>
      </w:r>
      <w:r w:rsidR="0069065F">
        <w:rPr>
          <w:bCs/>
        </w:rPr>
        <w:t>, not just the bonds issued by power producers</w:t>
      </w:r>
      <w:r w:rsidR="007A0CA0">
        <w:rPr>
          <w:bCs/>
        </w:rPr>
        <w:t>.</w:t>
      </w:r>
    </w:p>
    <w:p w:rsidR="00C64C23" w:rsidRDefault="00C64C23" w:rsidP="004A0E63">
      <w:pPr>
        <w:tabs>
          <w:tab w:val="num" w:pos="720"/>
        </w:tabs>
        <w:spacing w:line="480" w:lineRule="auto"/>
        <w:ind w:left="720" w:hanging="720"/>
        <w:rPr>
          <w:bCs/>
        </w:rPr>
      </w:pPr>
    </w:p>
    <w:p w:rsidR="00C64C23" w:rsidRDefault="007A0CA0" w:rsidP="009C7618">
      <w:pPr>
        <w:tabs>
          <w:tab w:val="num" w:pos="720"/>
        </w:tabs>
        <w:spacing w:line="480" w:lineRule="auto"/>
        <w:ind w:left="720"/>
        <w:rPr>
          <w:bCs/>
        </w:rPr>
      </w:pPr>
      <w:r>
        <w:rPr>
          <w:bCs/>
        </w:rPr>
        <w:t>An index of risk-adjusted return</w:t>
      </w:r>
      <w:r w:rsidR="00C64C23">
        <w:rPr>
          <w:bCs/>
        </w:rPr>
        <w:t xml:space="preserve"> (</w:t>
      </w:r>
      <w:r w:rsidR="0069065F">
        <w:rPr>
          <w:bCs/>
        </w:rPr>
        <w:t xml:space="preserve">a </w:t>
      </w:r>
      <w:r w:rsidR="00C64C23">
        <w:rPr>
          <w:bCs/>
        </w:rPr>
        <w:t>non-risk-free return such as the Moody’s Index)</w:t>
      </w:r>
      <w:r>
        <w:rPr>
          <w:bCs/>
        </w:rPr>
        <w:t xml:space="preserve"> can be used in the Risk Premium Model.  </w:t>
      </w:r>
      <w:r w:rsidR="00C64C23">
        <w:rPr>
          <w:bCs/>
        </w:rPr>
        <w:t xml:space="preserve">But in doing so, </w:t>
      </w:r>
      <w:r>
        <w:rPr>
          <w:bCs/>
        </w:rPr>
        <w:t xml:space="preserve">the </w:t>
      </w:r>
      <w:r w:rsidR="0069065F">
        <w:rPr>
          <w:bCs/>
        </w:rPr>
        <w:t xml:space="preserve">estimated </w:t>
      </w:r>
      <w:r w:rsidR="00C64C23">
        <w:rPr>
          <w:bCs/>
        </w:rPr>
        <w:t xml:space="preserve">equity </w:t>
      </w:r>
      <w:r>
        <w:rPr>
          <w:bCs/>
        </w:rPr>
        <w:t>risk premium</w:t>
      </w:r>
      <w:r w:rsidR="0069065F">
        <w:rPr>
          <w:bCs/>
        </w:rPr>
        <w:t xml:space="preserve">, such as the 6.5% used by AEP Ohio, </w:t>
      </w:r>
      <w:r>
        <w:rPr>
          <w:bCs/>
        </w:rPr>
        <w:t>should be adjusted downward to reflect the difference in annualized returns between the equity and bond investment</w:t>
      </w:r>
      <w:r w:rsidR="00C64C23">
        <w:rPr>
          <w:bCs/>
        </w:rPr>
        <w:t>s</w:t>
      </w:r>
      <w:r>
        <w:rPr>
          <w:bCs/>
        </w:rPr>
        <w:t xml:space="preserve"> in th</w:t>
      </w:r>
      <w:r w:rsidR="00C64C23">
        <w:rPr>
          <w:bCs/>
        </w:rPr>
        <w:t xml:space="preserve">at </w:t>
      </w:r>
      <w:r>
        <w:rPr>
          <w:bCs/>
        </w:rPr>
        <w:t>particular industry</w:t>
      </w:r>
      <w:r w:rsidR="00C64C23">
        <w:rPr>
          <w:bCs/>
        </w:rPr>
        <w:t xml:space="preserve"> rather than </w:t>
      </w:r>
      <w:r w:rsidR="0069065F">
        <w:rPr>
          <w:bCs/>
        </w:rPr>
        <w:t>the equity and bond investments i</w:t>
      </w:r>
      <w:r w:rsidR="00C64C23">
        <w:rPr>
          <w:bCs/>
        </w:rPr>
        <w:t>n the broader stock and bond markets.</w:t>
      </w:r>
    </w:p>
    <w:p w:rsidR="00902BF6" w:rsidRDefault="00902BF6" w:rsidP="009C7618">
      <w:pPr>
        <w:tabs>
          <w:tab w:val="num" w:pos="720"/>
        </w:tabs>
        <w:spacing w:line="480" w:lineRule="auto"/>
        <w:ind w:left="720"/>
        <w:rPr>
          <w:bCs/>
        </w:rPr>
      </w:pPr>
    </w:p>
    <w:p w:rsidR="004A0E63" w:rsidRDefault="004A0E63" w:rsidP="004A0E63">
      <w:pPr>
        <w:tabs>
          <w:tab w:val="num" w:pos="720"/>
        </w:tabs>
        <w:spacing w:line="480" w:lineRule="auto"/>
        <w:ind w:left="720" w:hanging="720"/>
        <w:rPr>
          <w:b/>
          <w:bCs/>
          <w:i/>
        </w:rPr>
      </w:pPr>
      <w:r>
        <w:rPr>
          <w:b/>
          <w:bCs/>
          <w:i/>
        </w:rPr>
        <w:t>Q1</w:t>
      </w:r>
      <w:r w:rsidR="00902BF6">
        <w:rPr>
          <w:b/>
          <w:bCs/>
          <w:i/>
        </w:rPr>
        <w:t>6</w:t>
      </w:r>
      <w:r>
        <w:rPr>
          <w:b/>
          <w:bCs/>
          <w:i/>
        </w:rPr>
        <w:t>.</w:t>
      </w:r>
      <w:r>
        <w:rPr>
          <w:b/>
          <w:bCs/>
          <w:i/>
        </w:rPr>
        <w:tab/>
        <w:t xml:space="preserve">WHAT IS YOUR RECOMMENDATION ON THE ROE TO BE USED IN THE </w:t>
      </w:r>
      <w:r w:rsidR="0013263F">
        <w:rPr>
          <w:b/>
          <w:bCs/>
          <w:i/>
        </w:rPr>
        <w:t>AFFILIATE</w:t>
      </w:r>
      <w:r>
        <w:rPr>
          <w:b/>
          <w:bCs/>
          <w:i/>
        </w:rPr>
        <w:t xml:space="preserve"> </w:t>
      </w:r>
      <w:r w:rsidR="00C64C23">
        <w:rPr>
          <w:b/>
          <w:bCs/>
          <w:i/>
        </w:rPr>
        <w:t xml:space="preserve">PPA </w:t>
      </w:r>
      <w:r>
        <w:rPr>
          <w:b/>
          <w:bCs/>
          <w:i/>
        </w:rPr>
        <w:t xml:space="preserve">IF THE </w:t>
      </w:r>
      <w:r w:rsidR="0013263F">
        <w:rPr>
          <w:b/>
          <w:bCs/>
          <w:i/>
        </w:rPr>
        <w:t>COMMISSION</w:t>
      </w:r>
      <w:r>
        <w:rPr>
          <w:b/>
          <w:bCs/>
          <w:i/>
        </w:rPr>
        <w:t xml:space="preserve"> WERE TO ADOPT </w:t>
      </w:r>
      <w:r w:rsidR="0004724F">
        <w:rPr>
          <w:b/>
          <w:bCs/>
          <w:i/>
        </w:rPr>
        <w:t>A</w:t>
      </w:r>
      <w:r>
        <w:rPr>
          <w:b/>
          <w:bCs/>
          <w:i/>
        </w:rPr>
        <w:t xml:space="preserve"> PPA RIDER</w:t>
      </w:r>
      <w:r w:rsidR="00C64C23">
        <w:rPr>
          <w:b/>
          <w:bCs/>
          <w:i/>
        </w:rPr>
        <w:t xml:space="preserve"> </w:t>
      </w:r>
      <w:r>
        <w:rPr>
          <w:b/>
          <w:bCs/>
          <w:i/>
        </w:rPr>
        <w:t>SIMILAR TO THE ON</w:t>
      </w:r>
      <w:r w:rsidR="009C7618">
        <w:rPr>
          <w:b/>
          <w:bCs/>
          <w:i/>
        </w:rPr>
        <w:t>E PROPOSED IN THIS PROCEEDING?</w:t>
      </w:r>
    </w:p>
    <w:p w:rsidR="00B65093" w:rsidRDefault="004A0E63" w:rsidP="004A0E63">
      <w:pPr>
        <w:tabs>
          <w:tab w:val="num" w:pos="720"/>
        </w:tabs>
        <w:spacing w:line="480" w:lineRule="auto"/>
        <w:ind w:left="720" w:hanging="720"/>
        <w:rPr>
          <w:bCs/>
        </w:rPr>
      </w:pPr>
      <w:r w:rsidRPr="00842F67">
        <w:rPr>
          <w:b/>
          <w:bCs/>
          <w:i/>
        </w:rPr>
        <w:t>A</w:t>
      </w:r>
      <w:r>
        <w:rPr>
          <w:b/>
          <w:bCs/>
          <w:i/>
        </w:rPr>
        <w:t>1</w:t>
      </w:r>
      <w:r w:rsidR="00902BF6">
        <w:rPr>
          <w:b/>
          <w:bCs/>
          <w:i/>
        </w:rPr>
        <w:t>6</w:t>
      </w:r>
      <w:r>
        <w:rPr>
          <w:b/>
          <w:bCs/>
          <w:i/>
        </w:rPr>
        <w:t>.</w:t>
      </w:r>
      <w:r>
        <w:rPr>
          <w:b/>
          <w:bCs/>
          <w:i/>
        </w:rPr>
        <w:tab/>
      </w:r>
      <w:r>
        <w:rPr>
          <w:bCs/>
        </w:rPr>
        <w:t>If the Commission were to adopt a PPA Rider,</w:t>
      </w:r>
      <w:r w:rsidR="00A87AF7">
        <w:rPr>
          <w:bCs/>
        </w:rPr>
        <w:t xml:space="preserve"> (which I do not recommend</w:t>
      </w:r>
      <w:r w:rsidR="00FF4BEC">
        <w:rPr>
          <w:bCs/>
        </w:rPr>
        <w:t>) it</w:t>
      </w:r>
      <w:r w:rsidR="00A87AF7">
        <w:rPr>
          <w:bCs/>
        </w:rPr>
        <w:t xml:space="preserve"> should </w:t>
      </w:r>
      <w:r w:rsidR="00760B48">
        <w:rPr>
          <w:bCs/>
        </w:rPr>
        <w:t xml:space="preserve">not </w:t>
      </w:r>
      <w:r w:rsidR="00A87AF7">
        <w:rPr>
          <w:bCs/>
        </w:rPr>
        <w:t xml:space="preserve">adopt an ROE </w:t>
      </w:r>
      <w:r w:rsidR="00760B48">
        <w:rPr>
          <w:bCs/>
        </w:rPr>
        <w:t xml:space="preserve">for the proposed Affiliate PPA </w:t>
      </w:r>
      <w:r w:rsidR="00A87AF7">
        <w:rPr>
          <w:bCs/>
        </w:rPr>
        <w:t xml:space="preserve">because customers should not be guaranteeing a return to </w:t>
      </w:r>
      <w:r w:rsidR="00760B48">
        <w:rPr>
          <w:bCs/>
        </w:rPr>
        <w:t xml:space="preserve">unregulated entities. </w:t>
      </w:r>
      <w:r w:rsidR="00A87AF7">
        <w:rPr>
          <w:bCs/>
        </w:rPr>
        <w:tab/>
      </w:r>
      <w:r w:rsidR="00B65093">
        <w:rPr>
          <w:bCs/>
        </w:rPr>
        <w:t>AEPGR is an unregulated power producer</w:t>
      </w:r>
      <w:r w:rsidR="00E81D2E">
        <w:rPr>
          <w:bCs/>
        </w:rPr>
        <w:t xml:space="preserve"> and </w:t>
      </w:r>
      <w:r>
        <w:rPr>
          <w:bCs/>
        </w:rPr>
        <w:t xml:space="preserve">is not entitled to receive any </w:t>
      </w:r>
      <w:r w:rsidR="00B65093">
        <w:rPr>
          <w:bCs/>
        </w:rPr>
        <w:t xml:space="preserve">level of </w:t>
      </w:r>
      <w:r>
        <w:rPr>
          <w:bCs/>
        </w:rPr>
        <w:t>guaranteed return on equity</w:t>
      </w:r>
      <w:r w:rsidR="00E81D2E">
        <w:rPr>
          <w:bCs/>
        </w:rPr>
        <w:t xml:space="preserve"> on its power plant investments</w:t>
      </w:r>
      <w:r>
        <w:rPr>
          <w:bCs/>
        </w:rPr>
        <w:t>.  The market price of electricity will set the floor as well as the ceiling of ROE that AEPGR can earn</w:t>
      </w:r>
      <w:r w:rsidR="00F503D3">
        <w:rPr>
          <w:bCs/>
        </w:rPr>
        <w:t>.</w:t>
      </w:r>
    </w:p>
    <w:p w:rsidR="0094696E" w:rsidRDefault="008257CB" w:rsidP="00D03276">
      <w:pPr>
        <w:tabs>
          <w:tab w:val="num" w:pos="720"/>
        </w:tabs>
        <w:spacing w:line="480" w:lineRule="auto"/>
        <w:ind w:left="720"/>
        <w:rPr>
          <w:bCs/>
        </w:rPr>
      </w:pPr>
      <w:r>
        <w:rPr>
          <w:bCs/>
        </w:rPr>
        <w:t xml:space="preserve">Alternatively, in the interest of fairness and </w:t>
      </w:r>
      <w:r w:rsidR="00E81D2E">
        <w:rPr>
          <w:bCs/>
        </w:rPr>
        <w:t>for the protection of AEP Ohio’s customers, i</w:t>
      </w:r>
      <w:r w:rsidR="00B65093">
        <w:rPr>
          <w:bCs/>
        </w:rPr>
        <w:t xml:space="preserve">f the Commission </w:t>
      </w:r>
      <w:r w:rsidR="00760B48">
        <w:rPr>
          <w:bCs/>
        </w:rPr>
        <w:t xml:space="preserve">does </w:t>
      </w:r>
      <w:r w:rsidR="00B65093">
        <w:rPr>
          <w:bCs/>
        </w:rPr>
        <w:t xml:space="preserve">choose to adopt a kind of PPA Rider and Affiliate PPA as proposed in the Amended Application, I </w:t>
      </w:r>
      <w:r>
        <w:rPr>
          <w:bCs/>
        </w:rPr>
        <w:t xml:space="preserve">recommend </w:t>
      </w:r>
      <w:r w:rsidR="00B65093">
        <w:rPr>
          <w:bCs/>
        </w:rPr>
        <w:t xml:space="preserve">that </w:t>
      </w:r>
      <w:r w:rsidR="00F503D3">
        <w:rPr>
          <w:bCs/>
        </w:rPr>
        <w:t xml:space="preserve">the ROE be set </w:t>
      </w:r>
      <w:r w:rsidR="00A87AF7">
        <w:rPr>
          <w:bCs/>
        </w:rPr>
        <w:t xml:space="preserve">as low as possible to protect customers from paying </w:t>
      </w:r>
      <w:r w:rsidR="00760B48">
        <w:rPr>
          <w:bCs/>
        </w:rPr>
        <w:t xml:space="preserve">unreasonable </w:t>
      </w:r>
      <w:r w:rsidR="00A87AF7">
        <w:rPr>
          <w:bCs/>
        </w:rPr>
        <w:t xml:space="preserve">rates.  </w:t>
      </w:r>
      <w:r w:rsidR="008849A9">
        <w:rPr>
          <w:bCs/>
        </w:rPr>
        <w:t xml:space="preserve">Under the proposed affiliate PPA, all risk associated with the operation of these units and some capital investments are transferred from AEPGR to AEP’s Ohio’s captive retail customers. </w:t>
      </w:r>
      <w:r w:rsidR="0094696E">
        <w:rPr>
          <w:bCs/>
        </w:rPr>
        <w:t xml:space="preserve"> </w:t>
      </w:r>
      <w:r w:rsidR="00A87AF7">
        <w:rPr>
          <w:bCs/>
        </w:rPr>
        <w:t xml:space="preserve">The </w:t>
      </w:r>
      <w:r w:rsidR="00760B48">
        <w:rPr>
          <w:bCs/>
        </w:rPr>
        <w:t xml:space="preserve">approved </w:t>
      </w:r>
      <w:r w:rsidR="00A87AF7">
        <w:rPr>
          <w:bCs/>
        </w:rPr>
        <w:t>R</w:t>
      </w:r>
      <w:r w:rsidR="00760B48">
        <w:rPr>
          <w:bCs/>
        </w:rPr>
        <w:t xml:space="preserve">OE </w:t>
      </w:r>
      <w:r w:rsidR="00A87AF7">
        <w:rPr>
          <w:bCs/>
        </w:rPr>
        <w:t xml:space="preserve">should be </w:t>
      </w:r>
      <w:r w:rsidR="00F503D3">
        <w:rPr>
          <w:bCs/>
        </w:rPr>
        <w:t>no higher than the current average cost of debt</w:t>
      </w:r>
      <w:r w:rsidR="00E81D2E">
        <w:rPr>
          <w:bCs/>
        </w:rPr>
        <w:t xml:space="preserve"> of AEPGR</w:t>
      </w:r>
      <w:r w:rsidR="00F503D3">
        <w:rPr>
          <w:bCs/>
        </w:rPr>
        <w:t>, including both long-term and short-term debts</w:t>
      </w:r>
      <w:r w:rsidR="00E81D2E">
        <w:rPr>
          <w:bCs/>
        </w:rPr>
        <w:t xml:space="preserve"> over the three month period before the annual filing of the PPA Rider. </w:t>
      </w:r>
      <w:r w:rsidR="00164C5E">
        <w:rPr>
          <w:bCs/>
        </w:rPr>
        <w:t xml:space="preserve"> </w:t>
      </w:r>
      <w:r w:rsidR="00B65093">
        <w:rPr>
          <w:bCs/>
        </w:rPr>
        <w:t xml:space="preserve">This is a reasonable compromise because setting the ROE </w:t>
      </w:r>
      <w:r w:rsidR="00E81D2E">
        <w:rPr>
          <w:bCs/>
        </w:rPr>
        <w:t xml:space="preserve">at </w:t>
      </w:r>
      <w:r w:rsidR="00B65093">
        <w:rPr>
          <w:bCs/>
        </w:rPr>
        <w:t xml:space="preserve">AEPGR’s current cost of debt will </w:t>
      </w:r>
      <w:r w:rsidR="00760B48">
        <w:rPr>
          <w:bCs/>
        </w:rPr>
        <w:t xml:space="preserve">allow </w:t>
      </w:r>
      <w:r w:rsidR="00B65093">
        <w:rPr>
          <w:bCs/>
        </w:rPr>
        <w:t>AEPGR to cover its current interest expenses</w:t>
      </w:r>
      <w:r w:rsidR="00760B48">
        <w:rPr>
          <w:bCs/>
        </w:rPr>
        <w:t xml:space="preserve"> on those generation units included in the affiliate PPA.</w:t>
      </w:r>
    </w:p>
    <w:p w:rsidR="00D03276" w:rsidRDefault="00D03276" w:rsidP="00D03276">
      <w:pPr>
        <w:tabs>
          <w:tab w:val="num" w:pos="720"/>
        </w:tabs>
        <w:spacing w:line="480" w:lineRule="auto"/>
        <w:ind w:left="720"/>
        <w:rPr>
          <w:bCs/>
        </w:rPr>
      </w:pPr>
    </w:p>
    <w:p w:rsidR="00770CDD" w:rsidRDefault="00770CDD" w:rsidP="00770CDD">
      <w:pPr>
        <w:tabs>
          <w:tab w:val="num" w:pos="720"/>
        </w:tabs>
        <w:spacing w:line="480" w:lineRule="auto"/>
        <w:ind w:left="720" w:hanging="720"/>
        <w:rPr>
          <w:b/>
          <w:bCs/>
          <w:i/>
        </w:rPr>
      </w:pPr>
      <w:r>
        <w:rPr>
          <w:b/>
          <w:bCs/>
          <w:i/>
        </w:rPr>
        <w:t>Q1</w:t>
      </w:r>
      <w:r w:rsidR="00760B48">
        <w:rPr>
          <w:b/>
          <w:bCs/>
          <w:i/>
        </w:rPr>
        <w:t>7</w:t>
      </w:r>
      <w:r>
        <w:rPr>
          <w:b/>
          <w:bCs/>
          <w:i/>
        </w:rPr>
        <w:t>.</w:t>
      </w:r>
      <w:r>
        <w:rPr>
          <w:b/>
          <w:bCs/>
          <w:i/>
        </w:rPr>
        <w:tab/>
        <w:t xml:space="preserve">WOULD THE SETTING </w:t>
      </w:r>
      <w:r w:rsidR="00E81D2E">
        <w:rPr>
          <w:b/>
          <w:bCs/>
          <w:i/>
        </w:rPr>
        <w:t xml:space="preserve">OF </w:t>
      </w:r>
      <w:r>
        <w:rPr>
          <w:b/>
          <w:bCs/>
          <w:i/>
        </w:rPr>
        <w:t xml:space="preserve">A GUARANTEE ROE AT THE COST OF DEBT </w:t>
      </w:r>
      <w:r w:rsidR="00E81D2E">
        <w:rPr>
          <w:b/>
          <w:bCs/>
          <w:i/>
        </w:rPr>
        <w:t>DIS</w:t>
      </w:r>
      <w:r w:rsidR="00684EB0">
        <w:rPr>
          <w:b/>
          <w:bCs/>
          <w:i/>
        </w:rPr>
        <w:t xml:space="preserve">COURAGE </w:t>
      </w:r>
      <w:r>
        <w:rPr>
          <w:b/>
          <w:bCs/>
          <w:i/>
        </w:rPr>
        <w:t xml:space="preserve">AEPGR </w:t>
      </w:r>
      <w:r w:rsidR="00E81D2E">
        <w:rPr>
          <w:b/>
          <w:bCs/>
          <w:i/>
        </w:rPr>
        <w:t xml:space="preserve">FROM MAKING NEW INVESTMENTS IN </w:t>
      </w:r>
      <w:r>
        <w:rPr>
          <w:b/>
          <w:bCs/>
          <w:i/>
        </w:rPr>
        <w:t xml:space="preserve">THOSE POWER PLANTS </w:t>
      </w:r>
      <w:r w:rsidR="009C7618">
        <w:rPr>
          <w:b/>
          <w:bCs/>
          <w:i/>
        </w:rPr>
        <w:t>INCLUDED IN THE AFFILIATE PPA?</w:t>
      </w:r>
    </w:p>
    <w:p w:rsidR="00F15E81" w:rsidRDefault="00770CDD" w:rsidP="00F503D3">
      <w:pPr>
        <w:tabs>
          <w:tab w:val="num" w:pos="720"/>
        </w:tabs>
        <w:spacing w:line="480" w:lineRule="auto"/>
        <w:ind w:left="720" w:hanging="720"/>
        <w:rPr>
          <w:bCs/>
        </w:rPr>
      </w:pPr>
      <w:r w:rsidRPr="00842F67">
        <w:rPr>
          <w:b/>
          <w:bCs/>
          <w:i/>
        </w:rPr>
        <w:t>A</w:t>
      </w:r>
      <w:r>
        <w:rPr>
          <w:b/>
          <w:bCs/>
          <w:i/>
        </w:rPr>
        <w:t>1</w:t>
      </w:r>
      <w:r w:rsidR="00760B48">
        <w:rPr>
          <w:b/>
          <w:bCs/>
          <w:i/>
        </w:rPr>
        <w:t>7</w:t>
      </w:r>
      <w:r w:rsidR="009C7618">
        <w:rPr>
          <w:b/>
          <w:bCs/>
          <w:i/>
        </w:rPr>
        <w:t>.</w:t>
      </w:r>
      <w:r w:rsidR="009C7618">
        <w:rPr>
          <w:b/>
          <w:bCs/>
          <w:i/>
        </w:rPr>
        <w:tab/>
      </w:r>
      <w:r>
        <w:rPr>
          <w:bCs/>
        </w:rPr>
        <w:t xml:space="preserve">Not necessarily.  Obviously, I do not want to speculate on what AEP or </w:t>
      </w:r>
      <w:r w:rsidR="009F349B">
        <w:rPr>
          <w:bCs/>
        </w:rPr>
        <w:t>AEPGR</w:t>
      </w:r>
      <w:r>
        <w:rPr>
          <w:bCs/>
        </w:rPr>
        <w:t xml:space="preserve"> will do regarding those power plants</w:t>
      </w:r>
      <w:r w:rsidR="00310346">
        <w:rPr>
          <w:bCs/>
        </w:rPr>
        <w:t xml:space="preserve">.  </w:t>
      </w:r>
      <w:r w:rsidR="00F503D3">
        <w:rPr>
          <w:bCs/>
        </w:rPr>
        <w:t xml:space="preserve">There are many factors to be considered in making a decision on how much, when, and where to </w:t>
      </w:r>
      <w:r w:rsidR="0094696E">
        <w:rPr>
          <w:bCs/>
        </w:rPr>
        <w:t>build new generation capacity.</w:t>
      </w:r>
    </w:p>
    <w:p w:rsidR="00F15E81" w:rsidRDefault="00F15E81" w:rsidP="00F503D3">
      <w:pPr>
        <w:tabs>
          <w:tab w:val="num" w:pos="720"/>
        </w:tabs>
        <w:spacing w:line="480" w:lineRule="auto"/>
        <w:ind w:left="720" w:hanging="720"/>
        <w:rPr>
          <w:bCs/>
        </w:rPr>
      </w:pPr>
    </w:p>
    <w:p w:rsidR="0052203F" w:rsidRDefault="00760B48" w:rsidP="0094696E">
      <w:pPr>
        <w:tabs>
          <w:tab w:val="num" w:pos="720"/>
        </w:tabs>
        <w:spacing w:line="480" w:lineRule="auto"/>
        <w:ind w:left="720"/>
        <w:rPr>
          <w:bCs/>
        </w:rPr>
      </w:pPr>
      <w:r>
        <w:rPr>
          <w:bCs/>
        </w:rPr>
        <w:t xml:space="preserve">As a regulatory economist, </w:t>
      </w:r>
      <w:r w:rsidR="00A005B6">
        <w:rPr>
          <w:bCs/>
        </w:rPr>
        <w:t xml:space="preserve">I believe it is more important to keep a market as  competitive as possible (that is a level playing field for everyone) and let the </w:t>
      </w:r>
      <w:r w:rsidR="0094696E">
        <w:rPr>
          <w:bCs/>
        </w:rPr>
        <w:t>market decide</w:t>
      </w:r>
      <w:r w:rsidR="00A005B6">
        <w:rPr>
          <w:bCs/>
        </w:rPr>
        <w:t xml:space="preserve"> how much electric generation investments, at what time,  and by whom than to financially support one market participant.  In addition</w:t>
      </w:r>
      <w:r w:rsidR="00FF4BEC">
        <w:rPr>
          <w:bCs/>
        </w:rPr>
        <w:t>, no</w:t>
      </w:r>
      <w:r w:rsidR="00F503D3">
        <w:rPr>
          <w:bCs/>
        </w:rPr>
        <w:t xml:space="preserve"> unregulated power producers, including AEPGR, are receiving a </w:t>
      </w:r>
      <w:r w:rsidR="00F503D3" w:rsidRPr="00AD239B">
        <w:rPr>
          <w:b/>
          <w:bCs/>
        </w:rPr>
        <w:t>guaranteed</w:t>
      </w:r>
      <w:r w:rsidR="00F503D3">
        <w:rPr>
          <w:bCs/>
        </w:rPr>
        <w:t xml:space="preserve"> return from </w:t>
      </w:r>
      <w:r w:rsidR="00AD239B">
        <w:rPr>
          <w:bCs/>
        </w:rPr>
        <w:t xml:space="preserve">their investments in power plants.  </w:t>
      </w:r>
      <w:r w:rsidR="00A005B6">
        <w:rPr>
          <w:bCs/>
        </w:rPr>
        <w:t xml:space="preserve">AEPGR should not be incentivized or discouraged from making investments.  </w:t>
      </w:r>
      <w:r w:rsidR="00FF4BEC">
        <w:rPr>
          <w:bCs/>
        </w:rPr>
        <w:t>Furthermore</w:t>
      </w:r>
      <w:r w:rsidR="00A005B6">
        <w:rPr>
          <w:bCs/>
        </w:rPr>
        <w:t xml:space="preserve">, </w:t>
      </w:r>
      <w:r w:rsidR="00AD239B">
        <w:rPr>
          <w:bCs/>
        </w:rPr>
        <w:t>AEPGR is not the only entity that is allowed to build new power plants or other new sources of electricity</w:t>
      </w:r>
      <w:r w:rsidR="00310346">
        <w:rPr>
          <w:bCs/>
        </w:rPr>
        <w:t xml:space="preserve"> in Ohio</w:t>
      </w:r>
      <w:r w:rsidR="00AD239B">
        <w:rPr>
          <w:bCs/>
        </w:rPr>
        <w:t>.  If AEPGR choose</w:t>
      </w:r>
      <w:r w:rsidR="00AE3F8C">
        <w:rPr>
          <w:bCs/>
        </w:rPr>
        <w:t>s</w:t>
      </w:r>
      <w:r w:rsidR="00AD239B">
        <w:rPr>
          <w:bCs/>
        </w:rPr>
        <w:t xml:space="preserve"> not to build new generation plants in Ohio or other states, other business entit</w:t>
      </w:r>
      <w:r w:rsidR="00AE3F8C">
        <w:rPr>
          <w:bCs/>
        </w:rPr>
        <w:t>ies</w:t>
      </w:r>
      <w:r w:rsidR="00AD239B">
        <w:rPr>
          <w:bCs/>
        </w:rPr>
        <w:t xml:space="preserve"> will</w:t>
      </w:r>
      <w:r w:rsidR="00AE3F8C">
        <w:rPr>
          <w:bCs/>
        </w:rPr>
        <w:t xml:space="preserve"> build new generation plants</w:t>
      </w:r>
      <w:r w:rsidR="00AD239B">
        <w:rPr>
          <w:bCs/>
        </w:rPr>
        <w:t xml:space="preserve"> as long as the market price of electricity can provide (</w:t>
      </w:r>
      <w:r w:rsidR="00310346">
        <w:rPr>
          <w:bCs/>
        </w:rPr>
        <w:t xml:space="preserve">but </w:t>
      </w:r>
      <w:r w:rsidR="00AD239B">
        <w:rPr>
          <w:bCs/>
        </w:rPr>
        <w:t xml:space="preserve">without </w:t>
      </w:r>
      <w:r w:rsidR="00310346">
        <w:rPr>
          <w:bCs/>
        </w:rPr>
        <w:t xml:space="preserve">a </w:t>
      </w:r>
      <w:r w:rsidR="00AD239B">
        <w:rPr>
          <w:bCs/>
        </w:rPr>
        <w:t>guarantee) sufficie</w:t>
      </w:r>
      <w:r w:rsidR="00164C5E">
        <w:rPr>
          <w:bCs/>
        </w:rPr>
        <w:t>nt return to their investments.</w:t>
      </w:r>
    </w:p>
    <w:p w:rsidR="0052203F" w:rsidRDefault="0052203F" w:rsidP="00F503D3">
      <w:pPr>
        <w:tabs>
          <w:tab w:val="num" w:pos="720"/>
        </w:tabs>
        <w:spacing w:line="480" w:lineRule="auto"/>
        <w:ind w:left="720" w:hanging="720"/>
        <w:rPr>
          <w:bCs/>
        </w:rPr>
      </w:pPr>
    </w:p>
    <w:p w:rsidR="0052203F" w:rsidRDefault="0052203F" w:rsidP="0052203F">
      <w:pPr>
        <w:tabs>
          <w:tab w:val="num" w:pos="720"/>
        </w:tabs>
        <w:spacing w:line="480" w:lineRule="auto"/>
        <w:ind w:left="720" w:hanging="720"/>
        <w:rPr>
          <w:b/>
          <w:bCs/>
          <w:i/>
        </w:rPr>
      </w:pPr>
      <w:r>
        <w:rPr>
          <w:b/>
          <w:bCs/>
          <w:i/>
        </w:rPr>
        <w:t>Q1</w:t>
      </w:r>
      <w:r w:rsidR="00A005B6">
        <w:rPr>
          <w:b/>
          <w:bCs/>
          <w:i/>
        </w:rPr>
        <w:t>8</w:t>
      </w:r>
      <w:r>
        <w:rPr>
          <w:b/>
          <w:bCs/>
          <w:i/>
        </w:rPr>
        <w:t>.</w:t>
      </w:r>
      <w:r>
        <w:rPr>
          <w:b/>
          <w:bCs/>
          <w:i/>
        </w:rPr>
        <w:tab/>
        <w:t xml:space="preserve">FROM THE PERSPECTIVE OF </w:t>
      </w:r>
      <w:r w:rsidR="00274381">
        <w:rPr>
          <w:b/>
          <w:bCs/>
          <w:i/>
        </w:rPr>
        <w:t xml:space="preserve">INVESTMENT ANALYSIS, </w:t>
      </w:r>
      <w:r>
        <w:rPr>
          <w:b/>
          <w:bCs/>
          <w:i/>
        </w:rPr>
        <w:t xml:space="preserve">DO YOU HAVE CONFIDENCE </w:t>
      </w:r>
      <w:r w:rsidR="0004724F">
        <w:rPr>
          <w:b/>
          <w:bCs/>
          <w:i/>
        </w:rPr>
        <w:t>I</w:t>
      </w:r>
      <w:r>
        <w:rPr>
          <w:b/>
          <w:bCs/>
          <w:i/>
        </w:rPr>
        <w:t>N THE FORECASTED PPA RIDER IMPACTS ESTIMATED BY AEP OHIO, IN</w:t>
      </w:r>
      <w:r w:rsidR="00274381">
        <w:rPr>
          <w:b/>
          <w:bCs/>
          <w:i/>
        </w:rPr>
        <w:t xml:space="preserve"> </w:t>
      </w:r>
      <w:r>
        <w:rPr>
          <w:b/>
          <w:bCs/>
          <w:i/>
        </w:rPr>
        <w:t xml:space="preserve">PARTICULAR </w:t>
      </w:r>
      <w:r w:rsidR="00274381">
        <w:rPr>
          <w:b/>
          <w:bCs/>
          <w:i/>
        </w:rPr>
        <w:t>EXHIBIT KDP-2?</w:t>
      </w:r>
    </w:p>
    <w:p w:rsidR="0094696E" w:rsidRDefault="0052203F" w:rsidP="00AD1D2A">
      <w:pPr>
        <w:tabs>
          <w:tab w:val="num" w:pos="720"/>
        </w:tabs>
        <w:spacing w:line="480" w:lineRule="auto"/>
        <w:ind w:left="720" w:hanging="720"/>
        <w:rPr>
          <w:bCs/>
        </w:rPr>
      </w:pPr>
      <w:r w:rsidRPr="00842F67">
        <w:rPr>
          <w:b/>
          <w:bCs/>
          <w:i/>
        </w:rPr>
        <w:t>A</w:t>
      </w:r>
      <w:r>
        <w:rPr>
          <w:b/>
          <w:bCs/>
          <w:i/>
        </w:rPr>
        <w:t>1</w:t>
      </w:r>
      <w:r w:rsidR="00A005B6">
        <w:rPr>
          <w:b/>
          <w:bCs/>
          <w:i/>
        </w:rPr>
        <w:t>8</w:t>
      </w:r>
      <w:r>
        <w:rPr>
          <w:b/>
          <w:bCs/>
          <w:i/>
        </w:rPr>
        <w:t>.</w:t>
      </w:r>
      <w:r w:rsidR="009C7618">
        <w:rPr>
          <w:b/>
          <w:bCs/>
          <w:i/>
        </w:rPr>
        <w:tab/>
      </w:r>
      <w:r w:rsidR="00274381">
        <w:rPr>
          <w:bCs/>
        </w:rPr>
        <w:t xml:space="preserve">First of all, I want to state that I do not directly own any stock or bonds of American Electric Power </w:t>
      </w:r>
      <w:r w:rsidR="009E3B83">
        <w:rPr>
          <w:bCs/>
        </w:rPr>
        <w:t>or</w:t>
      </w:r>
      <w:r w:rsidR="00274381">
        <w:rPr>
          <w:bCs/>
        </w:rPr>
        <w:t xml:space="preserve"> its subsidiaries.  But if I were </w:t>
      </w:r>
      <w:r w:rsidR="007D6C68">
        <w:rPr>
          <w:bCs/>
        </w:rPr>
        <w:t>asked to evaluate the proposed PPA Rider</w:t>
      </w:r>
      <w:r w:rsidR="009C6A20">
        <w:rPr>
          <w:bCs/>
        </w:rPr>
        <w:t>, from the perspective of AEP or AEPGR,</w:t>
      </w:r>
      <w:r w:rsidR="007D6C68">
        <w:rPr>
          <w:bCs/>
        </w:rPr>
        <w:t xml:space="preserve"> as a capital investment project, I </w:t>
      </w:r>
      <w:r w:rsidR="009E3B83">
        <w:rPr>
          <w:bCs/>
        </w:rPr>
        <w:t>would</w:t>
      </w:r>
      <w:r w:rsidR="007D6C68">
        <w:rPr>
          <w:bCs/>
        </w:rPr>
        <w:t xml:space="preserve"> have little confidence </w:t>
      </w:r>
      <w:r w:rsidR="009E3B83">
        <w:rPr>
          <w:bCs/>
        </w:rPr>
        <w:t>in</w:t>
      </w:r>
      <w:r w:rsidR="007D6C68">
        <w:rPr>
          <w:bCs/>
        </w:rPr>
        <w:t xml:space="preserve"> the PPA Rider impact numbers presented by AEP Ohio in KDP-2.</w:t>
      </w:r>
      <w:r w:rsidR="00AC3C4B">
        <w:rPr>
          <w:bCs/>
        </w:rPr>
        <w:t xml:space="preserve"> </w:t>
      </w:r>
      <w:r w:rsidR="007D6C68">
        <w:rPr>
          <w:bCs/>
        </w:rPr>
        <w:t xml:space="preserve"> If I </w:t>
      </w:r>
      <w:r w:rsidR="00792AA1">
        <w:rPr>
          <w:bCs/>
        </w:rPr>
        <w:t xml:space="preserve">were to </w:t>
      </w:r>
      <w:r w:rsidR="007D6C68">
        <w:rPr>
          <w:bCs/>
        </w:rPr>
        <w:t xml:space="preserve">believe </w:t>
      </w:r>
      <w:r w:rsidR="009E3B83">
        <w:rPr>
          <w:bCs/>
        </w:rPr>
        <w:t xml:space="preserve">that the </w:t>
      </w:r>
      <w:r w:rsidR="007D6C68">
        <w:rPr>
          <w:bCs/>
        </w:rPr>
        <w:t>PPA Rider impac</w:t>
      </w:r>
      <w:r w:rsidR="009E3B83">
        <w:rPr>
          <w:bCs/>
        </w:rPr>
        <w:t>ts</w:t>
      </w:r>
      <w:r w:rsidR="007D6C68">
        <w:rPr>
          <w:bCs/>
        </w:rPr>
        <w:t xml:space="preserve"> </w:t>
      </w:r>
      <w:r w:rsidR="00792AA1">
        <w:rPr>
          <w:bCs/>
        </w:rPr>
        <w:t xml:space="preserve">as presented by AEP Ohio </w:t>
      </w:r>
      <w:r w:rsidR="007D6C68">
        <w:rPr>
          <w:bCs/>
        </w:rPr>
        <w:t xml:space="preserve">were reasonable, I must conclude that AEP </w:t>
      </w:r>
      <w:r w:rsidR="00792AA1">
        <w:rPr>
          <w:bCs/>
        </w:rPr>
        <w:t xml:space="preserve">or AEP Ohio </w:t>
      </w:r>
      <w:r w:rsidR="007D6C68">
        <w:rPr>
          <w:bCs/>
        </w:rPr>
        <w:t xml:space="preserve">is not doing </w:t>
      </w:r>
      <w:r w:rsidR="009E3B83">
        <w:rPr>
          <w:bCs/>
        </w:rPr>
        <w:t>a good job in managing investor</w:t>
      </w:r>
      <w:r w:rsidR="007D6C68">
        <w:rPr>
          <w:bCs/>
        </w:rPr>
        <w:t>s</w:t>
      </w:r>
      <w:r w:rsidR="009E3B83">
        <w:rPr>
          <w:bCs/>
        </w:rPr>
        <w:t>’</w:t>
      </w:r>
      <w:r w:rsidR="007D6C68">
        <w:rPr>
          <w:bCs/>
        </w:rPr>
        <w:t xml:space="preserve"> money.  According to the Average of High Load and Low load Forecast in Exhibit KDP-2, </w:t>
      </w:r>
      <w:r w:rsidR="00792AA1">
        <w:rPr>
          <w:bCs/>
        </w:rPr>
        <w:t xml:space="preserve">under the PPA Rider, AEPGR or </w:t>
      </w:r>
      <w:r w:rsidR="007D6C68">
        <w:rPr>
          <w:bCs/>
        </w:rPr>
        <w:t xml:space="preserve">AEP Ohio </w:t>
      </w:r>
      <w:r w:rsidR="00792AA1">
        <w:rPr>
          <w:bCs/>
        </w:rPr>
        <w:t xml:space="preserve">is </w:t>
      </w:r>
      <w:r w:rsidR="007D6C68">
        <w:rPr>
          <w:bCs/>
        </w:rPr>
        <w:t xml:space="preserve">essentially </w:t>
      </w:r>
      <w:r w:rsidR="00792AA1">
        <w:rPr>
          <w:bCs/>
        </w:rPr>
        <w:t>“</w:t>
      </w:r>
      <w:r w:rsidR="007D6C68">
        <w:rPr>
          <w:bCs/>
        </w:rPr>
        <w:t>borrowing</w:t>
      </w:r>
      <w:r w:rsidR="00792AA1">
        <w:rPr>
          <w:bCs/>
        </w:rPr>
        <w:t>”</w:t>
      </w:r>
      <w:r w:rsidR="007D6C68">
        <w:rPr>
          <w:bCs/>
        </w:rPr>
        <w:t xml:space="preserve"> $4</w:t>
      </w:r>
      <w:r w:rsidR="00792AA1">
        <w:rPr>
          <w:bCs/>
        </w:rPr>
        <w:t>8</w:t>
      </w:r>
      <w:r w:rsidR="007D6C68">
        <w:rPr>
          <w:bCs/>
        </w:rPr>
        <w:t xml:space="preserve"> million from its </w:t>
      </w:r>
      <w:r w:rsidR="00EE67C9">
        <w:rPr>
          <w:bCs/>
        </w:rPr>
        <w:t xml:space="preserve">retail </w:t>
      </w:r>
      <w:r w:rsidR="007D6C68">
        <w:rPr>
          <w:bCs/>
        </w:rPr>
        <w:t xml:space="preserve">customers in 2015 and then will </w:t>
      </w:r>
      <w:r w:rsidR="00792AA1">
        <w:rPr>
          <w:bCs/>
        </w:rPr>
        <w:t xml:space="preserve">be </w:t>
      </w:r>
      <w:r w:rsidR="007D6C68">
        <w:rPr>
          <w:bCs/>
        </w:rPr>
        <w:t>pay</w:t>
      </w:r>
      <w:r w:rsidR="00792AA1">
        <w:rPr>
          <w:bCs/>
        </w:rPr>
        <w:t>ing</w:t>
      </w:r>
      <w:r w:rsidR="007D6C68">
        <w:rPr>
          <w:bCs/>
        </w:rPr>
        <w:t xml:space="preserve"> back this </w:t>
      </w:r>
      <w:r w:rsidR="00792AA1">
        <w:rPr>
          <w:bCs/>
        </w:rPr>
        <w:t xml:space="preserve">$48 million </w:t>
      </w:r>
      <w:r w:rsidR="007D6C68">
        <w:rPr>
          <w:bCs/>
        </w:rPr>
        <w:t xml:space="preserve">loan every year </w:t>
      </w:r>
      <w:r w:rsidR="00792AA1">
        <w:rPr>
          <w:bCs/>
        </w:rPr>
        <w:t>from 2016 to 20</w:t>
      </w:r>
      <w:r w:rsidR="009C6A20">
        <w:rPr>
          <w:bCs/>
        </w:rPr>
        <w:t>2</w:t>
      </w:r>
      <w:r w:rsidR="00792AA1">
        <w:rPr>
          <w:bCs/>
        </w:rPr>
        <w:t xml:space="preserve">4 for a total sum </w:t>
      </w:r>
      <w:r w:rsidR="009F349B">
        <w:rPr>
          <w:bCs/>
        </w:rPr>
        <w:t>of $</w:t>
      </w:r>
      <w:r w:rsidR="00792AA1">
        <w:rPr>
          <w:bCs/>
        </w:rPr>
        <w:t xml:space="preserve">622 million.  This </w:t>
      </w:r>
      <w:r w:rsidR="009C6A20">
        <w:rPr>
          <w:bCs/>
        </w:rPr>
        <w:t xml:space="preserve">apparently </w:t>
      </w:r>
      <w:r w:rsidR="00792AA1">
        <w:rPr>
          <w:bCs/>
        </w:rPr>
        <w:t xml:space="preserve">is </w:t>
      </w:r>
      <w:r w:rsidR="00FF4BEC">
        <w:rPr>
          <w:bCs/>
        </w:rPr>
        <w:t>neither good nor</w:t>
      </w:r>
      <w:r w:rsidR="00EE67C9">
        <w:rPr>
          <w:bCs/>
        </w:rPr>
        <w:t xml:space="preserve"> competent </w:t>
      </w:r>
      <w:r w:rsidR="00792AA1">
        <w:rPr>
          <w:bCs/>
        </w:rPr>
        <w:t>corporate financial management.</w:t>
      </w:r>
      <w:r w:rsidR="009C6A20">
        <w:rPr>
          <w:bCs/>
        </w:rPr>
        <w:t xml:space="preserve">  By not proposing </w:t>
      </w:r>
      <w:r w:rsidR="00FF4BEC">
        <w:rPr>
          <w:bCs/>
        </w:rPr>
        <w:t>a</w:t>
      </w:r>
      <w:r w:rsidR="009C6A20">
        <w:rPr>
          <w:bCs/>
        </w:rPr>
        <w:t xml:space="preserve"> PPA Rider, AEP or AEPGR can fund this $48 million by shareholders or by borrowing in the open market in 2015 and keep</w:t>
      </w:r>
      <w:r w:rsidR="00807B52">
        <w:rPr>
          <w:bCs/>
        </w:rPr>
        <w:t xml:space="preserve"> or “earn”</w:t>
      </w:r>
      <w:r w:rsidR="009C6A20">
        <w:rPr>
          <w:bCs/>
        </w:rPr>
        <w:t xml:space="preserve"> the “credit” of $622 million.</w:t>
      </w:r>
    </w:p>
    <w:p w:rsidR="00842F67" w:rsidRDefault="00842F67" w:rsidP="00842F67">
      <w:pPr>
        <w:spacing w:line="480" w:lineRule="auto"/>
      </w:pPr>
    </w:p>
    <w:p w:rsidR="00AA6FB9" w:rsidRDefault="009211D5" w:rsidP="00804B40">
      <w:pPr>
        <w:autoSpaceDE w:val="0"/>
        <w:autoSpaceDN w:val="0"/>
        <w:adjustRightInd w:val="0"/>
        <w:spacing w:line="480" w:lineRule="auto"/>
        <w:ind w:left="720" w:hanging="720"/>
        <w:rPr>
          <w:b/>
          <w:bCs/>
          <w:i/>
        </w:rPr>
      </w:pPr>
      <w:bookmarkStart w:id="9" w:name="_Toc329611146"/>
      <w:r>
        <w:rPr>
          <w:b/>
          <w:i/>
        </w:rPr>
        <w:t>Q</w:t>
      </w:r>
      <w:r w:rsidR="00807B52">
        <w:rPr>
          <w:b/>
          <w:i/>
        </w:rPr>
        <w:t>19</w:t>
      </w:r>
      <w:r>
        <w:rPr>
          <w:b/>
          <w:i/>
        </w:rPr>
        <w:t>.</w:t>
      </w:r>
      <w:r>
        <w:rPr>
          <w:b/>
          <w:i/>
        </w:rPr>
        <w:tab/>
      </w:r>
      <w:bookmarkEnd w:id="9"/>
      <w:r>
        <w:rPr>
          <w:b/>
          <w:i/>
        </w:rPr>
        <w:t>DOES THIS CONCLUDE YOUR TESTIMONY?</w:t>
      </w:r>
    </w:p>
    <w:p w:rsidR="00AA6FB9" w:rsidRDefault="009211D5">
      <w:pPr>
        <w:pStyle w:val="BodyText"/>
        <w:ind w:hanging="720"/>
      </w:pPr>
      <w:r>
        <w:rPr>
          <w:b/>
          <w:bCs/>
          <w:i/>
        </w:rPr>
        <w:t>A</w:t>
      </w:r>
      <w:r w:rsidR="00807B52">
        <w:rPr>
          <w:b/>
          <w:bCs/>
          <w:i/>
        </w:rPr>
        <w:t>19</w:t>
      </w:r>
      <w:r>
        <w:rPr>
          <w:b/>
          <w:bCs/>
          <w:i/>
        </w:rPr>
        <w:t>.</w:t>
      </w:r>
      <w:r>
        <w:rPr>
          <w:b/>
          <w:bCs/>
          <w:i/>
        </w:rPr>
        <w:tab/>
      </w:r>
      <w:r>
        <w:t xml:space="preserve">Yes.  However, I reserve the right to supplement my testimony in the event that additional </w:t>
      </w:r>
      <w:r w:rsidR="009E3B83">
        <w:t>testimony is filed</w:t>
      </w:r>
      <w:r>
        <w:t>, or if new information or data in connection with this proceeding becomes available.</w:t>
      </w:r>
    </w:p>
    <w:p w:rsidR="00AA6FB9" w:rsidRDefault="00AA6FB9">
      <w:pPr>
        <w:spacing w:line="480" w:lineRule="auto"/>
        <w:sectPr w:rsidR="00AA6FB9">
          <w:headerReference w:type="even" r:id="rId18"/>
          <w:headerReference w:type="default" r:id="rId19"/>
          <w:footerReference w:type="default" r:id="rId20"/>
          <w:headerReference w:type="first" r:id="rId21"/>
          <w:pgSz w:w="12240" w:h="15840" w:code="1"/>
          <w:pgMar w:top="1440" w:right="1800" w:bottom="1440" w:left="1800" w:header="720" w:footer="720" w:gutter="0"/>
          <w:lnNumType w:countBy="1"/>
          <w:pgNumType w:start="1"/>
          <w:cols w:space="720"/>
          <w:docGrid w:linePitch="360"/>
        </w:sectPr>
      </w:pPr>
    </w:p>
    <w:p w:rsidR="00AA6FB9" w:rsidRDefault="009211D5">
      <w:pPr>
        <w:pStyle w:val="BodyText"/>
        <w:ind w:left="0"/>
        <w:jc w:val="center"/>
        <w:rPr>
          <w:b/>
          <w:u w:val="single"/>
        </w:rPr>
      </w:pPr>
      <w:r>
        <w:rPr>
          <w:b/>
          <w:u w:val="single"/>
        </w:rPr>
        <w:t>CERTIFICATE OF SERVICE</w:t>
      </w:r>
    </w:p>
    <w:p w:rsidR="00565748" w:rsidRDefault="00565748" w:rsidP="00F37EEA">
      <w:pPr>
        <w:spacing w:before="240" w:line="480" w:lineRule="auto"/>
        <w:ind w:firstLine="720"/>
      </w:pPr>
      <w:r w:rsidRPr="00871D0B">
        <w:t xml:space="preserve">I hereby certify that a true copy of the foregoing </w:t>
      </w:r>
      <w:r w:rsidRPr="00871D0B">
        <w:rPr>
          <w:i/>
        </w:rPr>
        <w:t>Direct</w:t>
      </w:r>
      <w:r w:rsidRPr="00871D0B">
        <w:t xml:space="preserve"> </w:t>
      </w:r>
      <w:r w:rsidRPr="00871D0B">
        <w:rPr>
          <w:i/>
        </w:rPr>
        <w:t xml:space="preserve">Testimony of </w:t>
      </w:r>
      <w:r>
        <w:rPr>
          <w:i/>
        </w:rPr>
        <w:t xml:space="preserve">Daniel J. Duann, Ph.D. </w:t>
      </w:r>
      <w:r w:rsidRPr="00871D0B">
        <w:rPr>
          <w:i/>
        </w:rPr>
        <w:t xml:space="preserve">on Behalf of the Office of the Ohio Consumers’ Counsel’s, </w:t>
      </w:r>
      <w:r w:rsidRPr="00871D0B">
        <w:t xml:space="preserve">was served via electronic transmission to the persons listed below on this </w:t>
      </w:r>
      <w:r>
        <w:t>11</w:t>
      </w:r>
      <w:r w:rsidRPr="00871D0B">
        <w:t xml:space="preserve">th day of </w:t>
      </w:r>
      <w:r>
        <w:t xml:space="preserve">September </w:t>
      </w:r>
      <w:r w:rsidRPr="00871D0B">
        <w:t>2015.</w:t>
      </w:r>
    </w:p>
    <w:p w:rsidR="00780392" w:rsidRPr="00F37EEA" w:rsidRDefault="00780392" w:rsidP="00F37EEA">
      <w:pPr>
        <w:ind w:firstLine="720"/>
      </w:pPr>
    </w:p>
    <w:p w:rsidR="00565748" w:rsidRPr="00871D0B" w:rsidRDefault="00565748" w:rsidP="00780392">
      <w:pPr>
        <w:tabs>
          <w:tab w:val="left" w:pos="5040"/>
        </w:tabs>
        <w:rPr>
          <w:i/>
          <w:u w:val="single"/>
        </w:rPr>
      </w:pPr>
      <w:r w:rsidRPr="00871D0B">
        <w:tab/>
      </w:r>
      <w:r w:rsidRPr="00871D0B">
        <w:rPr>
          <w:i/>
          <w:u w:val="single"/>
        </w:rPr>
        <w:t>/s/ William J. Michael</w:t>
      </w:r>
    </w:p>
    <w:p w:rsidR="00565748" w:rsidRPr="00871D0B" w:rsidRDefault="00565748" w:rsidP="00780392">
      <w:pPr>
        <w:tabs>
          <w:tab w:val="left" w:pos="5040"/>
        </w:tabs>
      </w:pPr>
      <w:r w:rsidRPr="00871D0B">
        <w:tab/>
        <w:t>William J. Michael</w:t>
      </w:r>
    </w:p>
    <w:p w:rsidR="00565748" w:rsidRPr="00871D0B" w:rsidRDefault="00565748" w:rsidP="00780392">
      <w:pPr>
        <w:tabs>
          <w:tab w:val="left" w:pos="5040"/>
        </w:tabs>
      </w:pPr>
      <w:r w:rsidRPr="00871D0B">
        <w:tab/>
        <w:t>Assistant Consumers’ Counsel</w:t>
      </w:r>
    </w:p>
    <w:p w:rsidR="00565748" w:rsidRPr="00871D0B" w:rsidRDefault="00565748" w:rsidP="00565748">
      <w:pPr>
        <w:tabs>
          <w:tab w:val="left" w:pos="-720"/>
        </w:tabs>
        <w:suppressAutoHyphens/>
        <w:ind w:left="4320" w:hanging="4320"/>
        <w:rPr>
          <w:b/>
          <w:color w:val="000000"/>
          <w:u w:val="single"/>
        </w:rPr>
      </w:pPr>
    </w:p>
    <w:p w:rsidR="00565748" w:rsidRPr="00C034B3" w:rsidRDefault="00565748" w:rsidP="00565748">
      <w:pPr>
        <w:jc w:val="center"/>
        <w:rPr>
          <w:b/>
          <w:u w:val="single"/>
        </w:rPr>
      </w:pPr>
      <w:r w:rsidRPr="00C034B3">
        <w:rPr>
          <w:b/>
          <w:u w:val="single"/>
        </w:rPr>
        <w:t>SERVICE LIST</w:t>
      </w:r>
    </w:p>
    <w:p w:rsidR="00565748" w:rsidRDefault="00565748" w:rsidP="00565748">
      <w:pPr>
        <w:pStyle w:val="CommentText"/>
        <w:jc w:val="center"/>
        <w:rPr>
          <w:b/>
          <w:sz w:val="24"/>
          <w:szCs w:val="24"/>
          <w:u w:val="single"/>
        </w:rPr>
      </w:pPr>
    </w:p>
    <w:tbl>
      <w:tblPr>
        <w:tblW w:w="0" w:type="auto"/>
        <w:tblLook w:val="01E0" w:firstRow="1" w:lastRow="1" w:firstColumn="1" w:lastColumn="1" w:noHBand="0" w:noVBand="0"/>
      </w:tblPr>
      <w:tblGrid>
        <w:gridCol w:w="4428"/>
        <w:gridCol w:w="4428"/>
      </w:tblGrid>
      <w:tr w:rsidR="00F37EEA" w:rsidRPr="00887E0B" w:rsidTr="002C607C">
        <w:tc>
          <w:tcPr>
            <w:tcW w:w="4428" w:type="dxa"/>
            <w:shd w:val="clear" w:color="auto" w:fill="auto"/>
          </w:tcPr>
          <w:p w:rsidR="00F37EEA" w:rsidRPr="00887E0B" w:rsidRDefault="00F37EEA" w:rsidP="002C607C">
            <w:pPr>
              <w:autoSpaceDE w:val="0"/>
              <w:autoSpaceDN w:val="0"/>
              <w:adjustRightInd w:val="0"/>
              <w:rPr>
                <w:color w:val="000000"/>
              </w:rPr>
            </w:pPr>
            <w:r w:rsidRPr="00EE0A62">
              <w:t>Steven.beeler@puc.state.oh.us</w:t>
            </w:r>
          </w:p>
          <w:p w:rsidR="00F37EEA" w:rsidRPr="00887E0B" w:rsidRDefault="00F37EEA" w:rsidP="002C607C">
            <w:pPr>
              <w:autoSpaceDE w:val="0"/>
              <w:autoSpaceDN w:val="0"/>
              <w:adjustRightInd w:val="0"/>
              <w:rPr>
                <w:color w:val="000000"/>
              </w:rPr>
            </w:pPr>
            <w:r w:rsidRPr="00EE0A62">
              <w:t>Werner.margard@puc.state.oh.us</w:t>
            </w:r>
          </w:p>
          <w:p w:rsidR="00F37EEA" w:rsidRPr="00887E0B" w:rsidRDefault="00F37EEA" w:rsidP="002C607C">
            <w:pPr>
              <w:autoSpaceDE w:val="0"/>
              <w:autoSpaceDN w:val="0"/>
              <w:adjustRightInd w:val="0"/>
              <w:rPr>
                <w:color w:val="000000"/>
              </w:rPr>
            </w:pPr>
            <w:r w:rsidRPr="00EE0A62">
              <w:t>haydenm@firstenergycorp.com</w:t>
            </w:r>
          </w:p>
          <w:p w:rsidR="00F37EEA" w:rsidRPr="00887E0B" w:rsidRDefault="00F37EEA" w:rsidP="002C607C">
            <w:pPr>
              <w:autoSpaceDE w:val="0"/>
              <w:autoSpaceDN w:val="0"/>
              <w:adjustRightInd w:val="0"/>
              <w:rPr>
                <w:color w:val="000000"/>
              </w:rPr>
            </w:pPr>
            <w:r w:rsidRPr="00EE0A62">
              <w:t>jmcdermott@firstenergycorp.com</w:t>
            </w:r>
          </w:p>
          <w:p w:rsidR="00F37EEA" w:rsidRPr="00887E0B" w:rsidRDefault="00F37EEA" w:rsidP="002C607C">
            <w:pPr>
              <w:autoSpaceDE w:val="0"/>
              <w:autoSpaceDN w:val="0"/>
              <w:adjustRightInd w:val="0"/>
              <w:rPr>
                <w:color w:val="000000"/>
              </w:rPr>
            </w:pPr>
            <w:r w:rsidRPr="00EE0A62">
              <w:t>scasto@firstenergycorp.com</w:t>
            </w:r>
          </w:p>
          <w:p w:rsidR="00F37EEA" w:rsidRPr="00887E0B" w:rsidRDefault="00F37EEA" w:rsidP="002C607C">
            <w:pPr>
              <w:autoSpaceDE w:val="0"/>
              <w:autoSpaceDN w:val="0"/>
              <w:adjustRightInd w:val="0"/>
              <w:rPr>
                <w:color w:val="000000"/>
              </w:rPr>
            </w:pPr>
            <w:r w:rsidRPr="00EE0A62">
              <w:t>jlang@calfee.com</w:t>
            </w:r>
          </w:p>
          <w:p w:rsidR="00F37EEA" w:rsidRPr="00887E0B" w:rsidRDefault="00F37EEA" w:rsidP="002C607C">
            <w:pPr>
              <w:autoSpaceDE w:val="0"/>
              <w:autoSpaceDN w:val="0"/>
              <w:adjustRightInd w:val="0"/>
              <w:rPr>
                <w:color w:val="000000"/>
              </w:rPr>
            </w:pPr>
            <w:r w:rsidRPr="00EE0A62">
              <w:t>talexander@calfee.com</w:t>
            </w:r>
          </w:p>
          <w:p w:rsidR="00F37EEA" w:rsidRPr="00887E0B" w:rsidRDefault="00F37EEA" w:rsidP="002C607C">
            <w:pPr>
              <w:autoSpaceDE w:val="0"/>
              <w:autoSpaceDN w:val="0"/>
              <w:adjustRightInd w:val="0"/>
              <w:rPr>
                <w:color w:val="000000"/>
              </w:rPr>
            </w:pPr>
            <w:r w:rsidRPr="00EE0A62">
              <w:t>myurick@taftlaw.com</w:t>
            </w:r>
          </w:p>
          <w:p w:rsidR="00F37EEA" w:rsidRPr="00887E0B" w:rsidRDefault="00F37EEA" w:rsidP="002C607C">
            <w:pPr>
              <w:autoSpaceDE w:val="0"/>
              <w:autoSpaceDN w:val="0"/>
              <w:adjustRightInd w:val="0"/>
              <w:rPr>
                <w:color w:val="000000"/>
              </w:rPr>
            </w:pPr>
            <w:r w:rsidRPr="00EE0A62">
              <w:t>tony.mendoza@sierraclub.org</w:t>
            </w:r>
          </w:p>
          <w:p w:rsidR="00F37EEA" w:rsidRPr="00887E0B" w:rsidRDefault="00F37EEA" w:rsidP="002C607C">
            <w:pPr>
              <w:autoSpaceDE w:val="0"/>
              <w:autoSpaceDN w:val="0"/>
              <w:adjustRightInd w:val="0"/>
              <w:rPr>
                <w:color w:val="000000"/>
              </w:rPr>
            </w:pPr>
            <w:r w:rsidRPr="00EE0A62">
              <w:t>todonnell@dickinsonwright.com</w:t>
            </w:r>
          </w:p>
          <w:p w:rsidR="00F37EEA" w:rsidRPr="00887E0B" w:rsidRDefault="00F37EEA" w:rsidP="002C607C">
            <w:pPr>
              <w:autoSpaceDE w:val="0"/>
              <w:autoSpaceDN w:val="0"/>
              <w:adjustRightInd w:val="0"/>
              <w:rPr>
                <w:color w:val="000000"/>
              </w:rPr>
            </w:pPr>
            <w:r w:rsidRPr="00EE0A62">
              <w:t>tdougherty@theOEC.org</w:t>
            </w:r>
          </w:p>
          <w:p w:rsidR="00F37EEA" w:rsidRPr="00887E0B" w:rsidRDefault="00F37EEA" w:rsidP="002C607C">
            <w:pPr>
              <w:autoSpaceDE w:val="0"/>
              <w:autoSpaceDN w:val="0"/>
              <w:adjustRightInd w:val="0"/>
              <w:rPr>
                <w:color w:val="000000"/>
              </w:rPr>
            </w:pPr>
            <w:r w:rsidRPr="00EE0A62">
              <w:t>twilliams@snhslaw.com</w:t>
            </w:r>
          </w:p>
          <w:p w:rsidR="00F37EEA" w:rsidRPr="00887E0B" w:rsidRDefault="00F37EEA" w:rsidP="002C607C">
            <w:pPr>
              <w:autoSpaceDE w:val="0"/>
              <w:autoSpaceDN w:val="0"/>
              <w:adjustRightInd w:val="0"/>
              <w:rPr>
                <w:color w:val="000000"/>
              </w:rPr>
            </w:pPr>
            <w:r w:rsidRPr="00EE0A62">
              <w:t>jeffrey.mayes@monitoringanalytics.com</w:t>
            </w:r>
          </w:p>
          <w:p w:rsidR="00F37EEA" w:rsidRPr="00887E0B" w:rsidRDefault="00F37EEA" w:rsidP="002C607C">
            <w:pPr>
              <w:autoSpaceDE w:val="0"/>
              <w:autoSpaceDN w:val="0"/>
              <w:adjustRightInd w:val="0"/>
              <w:rPr>
                <w:color w:val="000000"/>
              </w:rPr>
            </w:pPr>
            <w:r w:rsidRPr="00EE0A62">
              <w:t>ricks@ohanet.org</w:t>
            </w:r>
          </w:p>
          <w:p w:rsidR="00F37EEA" w:rsidRPr="00887E0B" w:rsidRDefault="00F37EEA" w:rsidP="002C607C">
            <w:pPr>
              <w:autoSpaceDE w:val="0"/>
              <w:autoSpaceDN w:val="0"/>
              <w:adjustRightInd w:val="0"/>
              <w:rPr>
                <w:color w:val="000000"/>
              </w:rPr>
            </w:pPr>
            <w:r w:rsidRPr="00EE0A62">
              <w:t>tobrien@bricker.com</w:t>
            </w:r>
          </w:p>
          <w:p w:rsidR="00F37EEA" w:rsidRPr="00887E0B" w:rsidRDefault="00F37EEA" w:rsidP="002C607C">
            <w:pPr>
              <w:autoSpaceDE w:val="0"/>
              <w:autoSpaceDN w:val="0"/>
              <w:adjustRightInd w:val="0"/>
              <w:rPr>
                <w:color w:val="0000FF"/>
              </w:rPr>
            </w:pPr>
            <w:r w:rsidRPr="00887E0B">
              <w:rPr>
                <w:color w:val="0000FF"/>
              </w:rPr>
              <w:t>mhpetricoff@vorys.com</w:t>
            </w:r>
          </w:p>
          <w:p w:rsidR="00F37EEA" w:rsidRPr="00887E0B" w:rsidRDefault="00F37EEA" w:rsidP="002C607C">
            <w:pPr>
              <w:autoSpaceDE w:val="0"/>
              <w:autoSpaceDN w:val="0"/>
              <w:adjustRightInd w:val="0"/>
              <w:rPr>
                <w:color w:val="0000FF"/>
              </w:rPr>
            </w:pPr>
            <w:r w:rsidRPr="00887E0B">
              <w:rPr>
                <w:color w:val="0000FF"/>
              </w:rPr>
              <w:t>mjsettineri@vorys.com</w:t>
            </w:r>
          </w:p>
          <w:p w:rsidR="00F37EEA" w:rsidRPr="00887E0B" w:rsidRDefault="00F37EEA" w:rsidP="002C607C">
            <w:pPr>
              <w:autoSpaceDE w:val="0"/>
              <w:autoSpaceDN w:val="0"/>
              <w:adjustRightInd w:val="0"/>
              <w:rPr>
                <w:color w:val="0000FF"/>
              </w:rPr>
            </w:pPr>
            <w:r w:rsidRPr="00887E0B">
              <w:rPr>
                <w:color w:val="0000FF"/>
              </w:rPr>
              <w:t>glpetrucci@vorys.com</w:t>
            </w:r>
          </w:p>
          <w:p w:rsidR="00F37EEA" w:rsidRPr="00887E0B" w:rsidRDefault="00F37EEA" w:rsidP="002C607C">
            <w:pPr>
              <w:autoSpaceDE w:val="0"/>
              <w:autoSpaceDN w:val="0"/>
              <w:adjustRightInd w:val="0"/>
            </w:pPr>
            <w:r w:rsidRPr="00EE0A62">
              <w:t>mdortch@kravitzllc.com</w:t>
            </w:r>
          </w:p>
          <w:p w:rsidR="00F37EEA" w:rsidRPr="00887E0B" w:rsidRDefault="00F37EEA" w:rsidP="002C607C">
            <w:pPr>
              <w:autoSpaceDE w:val="0"/>
              <w:autoSpaceDN w:val="0"/>
              <w:adjustRightInd w:val="0"/>
            </w:pPr>
            <w:r w:rsidRPr="00EE0A62">
              <w:t>joliker@igsenergy.com</w:t>
            </w:r>
          </w:p>
          <w:p w:rsidR="00F37EEA" w:rsidRPr="00887E0B" w:rsidRDefault="00F37EEA" w:rsidP="002C607C">
            <w:pPr>
              <w:autoSpaceDE w:val="0"/>
              <w:autoSpaceDN w:val="0"/>
              <w:adjustRightInd w:val="0"/>
            </w:pPr>
            <w:r w:rsidRPr="00EE0A62">
              <w:t>mswhite@igsenergy.com</w:t>
            </w:r>
          </w:p>
          <w:p w:rsidR="00F37EEA" w:rsidRPr="00887E0B" w:rsidRDefault="00F37EEA" w:rsidP="002C607C">
            <w:pPr>
              <w:autoSpaceDE w:val="0"/>
              <w:autoSpaceDN w:val="0"/>
              <w:adjustRightInd w:val="0"/>
            </w:pPr>
            <w:r w:rsidRPr="00EE0A62">
              <w:t>sechler@carpenterlipps.com</w:t>
            </w:r>
          </w:p>
          <w:p w:rsidR="00F37EEA" w:rsidRPr="00887E0B" w:rsidRDefault="00F37EEA" w:rsidP="002C607C">
            <w:pPr>
              <w:autoSpaceDE w:val="0"/>
              <w:autoSpaceDN w:val="0"/>
              <w:adjustRightInd w:val="0"/>
            </w:pPr>
            <w:r w:rsidRPr="00EE0A62">
              <w:t>gpoulos@enernoc.com</w:t>
            </w:r>
          </w:p>
          <w:p w:rsidR="00F37EEA" w:rsidRPr="00887E0B" w:rsidRDefault="00F37EEA" w:rsidP="002C607C">
            <w:pPr>
              <w:autoSpaceDE w:val="0"/>
              <w:autoSpaceDN w:val="0"/>
              <w:adjustRightInd w:val="0"/>
            </w:pPr>
            <w:r w:rsidRPr="00EE0A62">
              <w:t>sfisk@earthjustice.org</w:t>
            </w:r>
          </w:p>
          <w:p w:rsidR="00F37EEA" w:rsidRPr="00887E0B" w:rsidRDefault="00F37EEA" w:rsidP="002C607C">
            <w:pPr>
              <w:autoSpaceDE w:val="0"/>
              <w:autoSpaceDN w:val="0"/>
              <w:adjustRightInd w:val="0"/>
            </w:pPr>
            <w:r w:rsidRPr="00EE0A62">
              <w:t>Kristin.henry@sierraclub.org</w:t>
            </w:r>
          </w:p>
          <w:p w:rsidR="00F37EEA" w:rsidRPr="00A221BA" w:rsidRDefault="00F37EEA" w:rsidP="002C607C">
            <w:pPr>
              <w:autoSpaceDE w:val="0"/>
              <w:autoSpaceDN w:val="0"/>
              <w:adjustRightInd w:val="0"/>
              <w:rPr>
                <w:color w:val="0000FF"/>
              </w:rPr>
            </w:pPr>
            <w:r w:rsidRPr="00EE0A62">
              <w:t>chris@envlaw.com</w:t>
            </w:r>
          </w:p>
          <w:p w:rsidR="00F37EEA" w:rsidRPr="00887E0B" w:rsidRDefault="00F37EEA" w:rsidP="002C607C">
            <w:pPr>
              <w:autoSpaceDE w:val="0"/>
              <w:autoSpaceDN w:val="0"/>
              <w:adjustRightInd w:val="0"/>
            </w:pPr>
          </w:p>
          <w:p w:rsidR="00F37EEA" w:rsidRPr="00887E0B" w:rsidRDefault="00F37EEA" w:rsidP="002C607C">
            <w:pPr>
              <w:autoSpaceDE w:val="0"/>
              <w:autoSpaceDN w:val="0"/>
              <w:adjustRightInd w:val="0"/>
              <w:rPr>
                <w:color w:val="000000"/>
              </w:rPr>
            </w:pPr>
            <w:r w:rsidRPr="00887E0B">
              <w:rPr>
                <w:color w:val="000000"/>
              </w:rPr>
              <w:t>Attorney Examiners:</w:t>
            </w:r>
          </w:p>
          <w:p w:rsidR="00F37EEA" w:rsidRPr="00887E0B" w:rsidRDefault="00F37EEA" w:rsidP="002C607C">
            <w:pPr>
              <w:autoSpaceDE w:val="0"/>
              <w:autoSpaceDN w:val="0"/>
              <w:adjustRightInd w:val="0"/>
              <w:rPr>
                <w:color w:val="000000"/>
              </w:rPr>
            </w:pPr>
          </w:p>
          <w:p w:rsidR="00F37EEA" w:rsidRPr="00887E0B" w:rsidRDefault="00F37EEA" w:rsidP="002C607C">
            <w:pPr>
              <w:autoSpaceDE w:val="0"/>
              <w:autoSpaceDN w:val="0"/>
              <w:adjustRightInd w:val="0"/>
              <w:rPr>
                <w:color w:val="000000"/>
              </w:rPr>
            </w:pPr>
            <w:r w:rsidRPr="00EE0A62">
              <w:t>Sarah.parrot@puc.state.oh.us</w:t>
            </w:r>
          </w:p>
          <w:p w:rsidR="00F37EEA" w:rsidRPr="00887E0B" w:rsidRDefault="00F37EEA" w:rsidP="002C607C">
            <w:pPr>
              <w:autoSpaceDE w:val="0"/>
              <w:autoSpaceDN w:val="0"/>
              <w:adjustRightInd w:val="0"/>
              <w:rPr>
                <w:color w:val="000000"/>
              </w:rPr>
            </w:pPr>
            <w:r w:rsidRPr="00EE0A62">
              <w:t>Greta.see@puc.state.oh.us</w:t>
            </w:r>
          </w:p>
        </w:tc>
        <w:tc>
          <w:tcPr>
            <w:tcW w:w="4428" w:type="dxa"/>
            <w:shd w:val="clear" w:color="auto" w:fill="auto"/>
          </w:tcPr>
          <w:p w:rsidR="00F37EEA" w:rsidRPr="00887E0B" w:rsidRDefault="00F37EEA" w:rsidP="002C607C">
            <w:pPr>
              <w:autoSpaceDE w:val="0"/>
              <w:autoSpaceDN w:val="0"/>
              <w:adjustRightInd w:val="0"/>
              <w:rPr>
                <w:color w:val="000000"/>
              </w:rPr>
            </w:pPr>
            <w:r w:rsidRPr="00EE0A62">
              <w:t>stnourse@aep.com</w:t>
            </w:r>
          </w:p>
          <w:p w:rsidR="00F37EEA" w:rsidRPr="00887E0B" w:rsidRDefault="00F37EEA" w:rsidP="002C607C">
            <w:pPr>
              <w:autoSpaceDE w:val="0"/>
              <w:autoSpaceDN w:val="0"/>
              <w:adjustRightInd w:val="0"/>
              <w:rPr>
                <w:color w:val="000000"/>
              </w:rPr>
            </w:pPr>
            <w:r w:rsidRPr="00EE0A62">
              <w:t>mjsatterwhite@aep.com</w:t>
            </w:r>
          </w:p>
          <w:p w:rsidR="00F37EEA" w:rsidRPr="00887E0B" w:rsidRDefault="00F37EEA" w:rsidP="002C607C">
            <w:pPr>
              <w:autoSpaceDE w:val="0"/>
              <w:autoSpaceDN w:val="0"/>
              <w:adjustRightInd w:val="0"/>
              <w:rPr>
                <w:color w:val="000000"/>
              </w:rPr>
            </w:pPr>
            <w:r w:rsidRPr="00EE0A62">
              <w:t>msmckenzie@aep.com</w:t>
            </w:r>
          </w:p>
          <w:p w:rsidR="00F37EEA" w:rsidRPr="00887E0B" w:rsidRDefault="00F37EEA" w:rsidP="002C607C">
            <w:pPr>
              <w:autoSpaceDE w:val="0"/>
              <w:autoSpaceDN w:val="0"/>
              <w:adjustRightInd w:val="0"/>
              <w:rPr>
                <w:color w:val="000000"/>
              </w:rPr>
            </w:pPr>
            <w:r w:rsidRPr="00EE0A62">
              <w:t>mkurtz@BKLlawfirm.com</w:t>
            </w:r>
          </w:p>
          <w:p w:rsidR="00F37EEA" w:rsidRPr="00887E0B" w:rsidRDefault="00F37EEA" w:rsidP="002C607C">
            <w:pPr>
              <w:autoSpaceDE w:val="0"/>
              <w:autoSpaceDN w:val="0"/>
              <w:adjustRightInd w:val="0"/>
              <w:rPr>
                <w:color w:val="000000"/>
              </w:rPr>
            </w:pPr>
            <w:r w:rsidRPr="00EE0A62">
              <w:t>kboehm@BKLlawfirm.com</w:t>
            </w:r>
          </w:p>
          <w:p w:rsidR="00F37EEA" w:rsidRPr="00887E0B" w:rsidRDefault="00F37EEA" w:rsidP="002C607C">
            <w:pPr>
              <w:autoSpaceDE w:val="0"/>
              <w:autoSpaceDN w:val="0"/>
              <w:adjustRightInd w:val="0"/>
              <w:rPr>
                <w:color w:val="000000"/>
              </w:rPr>
            </w:pPr>
            <w:r w:rsidRPr="00EE0A62">
              <w:t>jkylercohn@BKLlawfirm.com</w:t>
            </w:r>
          </w:p>
          <w:p w:rsidR="00F37EEA" w:rsidRPr="00887E0B" w:rsidRDefault="00F37EEA" w:rsidP="002C607C">
            <w:pPr>
              <w:autoSpaceDE w:val="0"/>
              <w:autoSpaceDN w:val="0"/>
              <w:adjustRightInd w:val="0"/>
              <w:rPr>
                <w:color w:val="000000"/>
              </w:rPr>
            </w:pPr>
            <w:r w:rsidRPr="00EE0A62">
              <w:t>sam@mwncmh.com</w:t>
            </w:r>
          </w:p>
          <w:p w:rsidR="00F37EEA" w:rsidRPr="00887E0B" w:rsidRDefault="00F37EEA" w:rsidP="002C607C">
            <w:pPr>
              <w:autoSpaceDE w:val="0"/>
              <w:autoSpaceDN w:val="0"/>
              <w:adjustRightInd w:val="0"/>
              <w:rPr>
                <w:color w:val="000000"/>
              </w:rPr>
            </w:pPr>
            <w:r w:rsidRPr="00EE0A62">
              <w:t>fdarr@mwncmh.com</w:t>
            </w:r>
          </w:p>
          <w:p w:rsidR="00F37EEA" w:rsidRPr="00887E0B" w:rsidRDefault="00F37EEA" w:rsidP="002C607C">
            <w:pPr>
              <w:autoSpaceDE w:val="0"/>
              <w:autoSpaceDN w:val="0"/>
              <w:adjustRightInd w:val="0"/>
              <w:rPr>
                <w:color w:val="000000"/>
              </w:rPr>
            </w:pPr>
            <w:r w:rsidRPr="00EE0A62">
              <w:t>mpritchard@mwncmh.com</w:t>
            </w:r>
          </w:p>
          <w:p w:rsidR="00F37EEA" w:rsidRPr="00887E0B" w:rsidRDefault="00F37EEA" w:rsidP="002C607C">
            <w:pPr>
              <w:autoSpaceDE w:val="0"/>
              <w:autoSpaceDN w:val="0"/>
              <w:adjustRightInd w:val="0"/>
              <w:rPr>
                <w:color w:val="000000"/>
              </w:rPr>
            </w:pPr>
            <w:r w:rsidRPr="00EE0A62">
              <w:t>Kurt.Helfrich@ThompsonHine.com</w:t>
            </w:r>
          </w:p>
          <w:p w:rsidR="00F37EEA" w:rsidRPr="00887E0B" w:rsidRDefault="00F37EEA" w:rsidP="002C607C">
            <w:pPr>
              <w:autoSpaceDE w:val="0"/>
              <w:autoSpaceDN w:val="0"/>
              <w:adjustRightInd w:val="0"/>
              <w:rPr>
                <w:color w:val="000000"/>
              </w:rPr>
            </w:pPr>
            <w:r w:rsidRPr="00EE0A62">
              <w:t>Scott.Campbell@ThompsonHine.com</w:t>
            </w:r>
          </w:p>
          <w:p w:rsidR="00F37EEA" w:rsidRPr="00887E0B" w:rsidRDefault="00F37EEA" w:rsidP="002C607C">
            <w:pPr>
              <w:autoSpaceDE w:val="0"/>
              <w:autoSpaceDN w:val="0"/>
              <w:adjustRightInd w:val="0"/>
              <w:rPr>
                <w:color w:val="000000"/>
              </w:rPr>
            </w:pPr>
            <w:r w:rsidRPr="00EE0A62">
              <w:t>Stephanie.Chmiel@ThompsonHine.com</w:t>
            </w:r>
          </w:p>
          <w:p w:rsidR="00F37EEA" w:rsidRPr="00887E0B" w:rsidRDefault="00F37EEA" w:rsidP="002C607C">
            <w:pPr>
              <w:autoSpaceDE w:val="0"/>
              <w:autoSpaceDN w:val="0"/>
              <w:adjustRightInd w:val="0"/>
              <w:rPr>
                <w:color w:val="000000"/>
              </w:rPr>
            </w:pPr>
            <w:r w:rsidRPr="00EE0A62">
              <w:t>lhawrot@spilmanlaw.com</w:t>
            </w:r>
          </w:p>
          <w:p w:rsidR="00F37EEA" w:rsidRPr="00887E0B" w:rsidRDefault="00F37EEA" w:rsidP="002C607C">
            <w:pPr>
              <w:autoSpaceDE w:val="0"/>
              <w:autoSpaceDN w:val="0"/>
              <w:adjustRightInd w:val="0"/>
              <w:rPr>
                <w:color w:val="000000"/>
              </w:rPr>
            </w:pPr>
            <w:r w:rsidRPr="00EE0A62">
              <w:t>dwilliamson@spilmanlaw.com</w:t>
            </w:r>
          </w:p>
          <w:p w:rsidR="00F37EEA" w:rsidRPr="00887E0B" w:rsidRDefault="00F37EEA" w:rsidP="002C607C">
            <w:pPr>
              <w:autoSpaceDE w:val="0"/>
              <w:autoSpaceDN w:val="0"/>
              <w:adjustRightInd w:val="0"/>
              <w:rPr>
                <w:color w:val="000000"/>
              </w:rPr>
            </w:pPr>
            <w:r w:rsidRPr="00EE0A62">
              <w:t>charris@spilmanlaw.com</w:t>
            </w:r>
          </w:p>
          <w:p w:rsidR="00F37EEA" w:rsidRPr="00887E0B" w:rsidRDefault="00F37EEA" w:rsidP="002C607C">
            <w:pPr>
              <w:autoSpaceDE w:val="0"/>
              <w:autoSpaceDN w:val="0"/>
              <w:adjustRightInd w:val="0"/>
              <w:rPr>
                <w:color w:val="000000"/>
              </w:rPr>
            </w:pPr>
            <w:r w:rsidRPr="00EE0A62">
              <w:t>Stephen.Chriss@walmart.com</w:t>
            </w:r>
          </w:p>
          <w:p w:rsidR="00F37EEA" w:rsidRPr="00887E0B" w:rsidRDefault="00F37EEA" w:rsidP="002C607C">
            <w:pPr>
              <w:autoSpaceDE w:val="0"/>
              <w:autoSpaceDN w:val="0"/>
              <w:adjustRightInd w:val="0"/>
              <w:rPr>
                <w:color w:val="000000"/>
              </w:rPr>
            </w:pPr>
            <w:r w:rsidRPr="00EE0A62">
              <w:t>Schmidt@sppgrp.com</w:t>
            </w:r>
          </w:p>
          <w:p w:rsidR="00F37EEA" w:rsidRPr="00887E0B" w:rsidRDefault="00F37EEA" w:rsidP="002C607C">
            <w:pPr>
              <w:autoSpaceDE w:val="0"/>
              <w:autoSpaceDN w:val="0"/>
              <w:adjustRightInd w:val="0"/>
              <w:rPr>
                <w:color w:val="000000"/>
              </w:rPr>
            </w:pPr>
            <w:r w:rsidRPr="00EE0A62">
              <w:t>Bojko@carpenterlipps.com</w:t>
            </w:r>
          </w:p>
          <w:p w:rsidR="00F37EEA" w:rsidRPr="00887E0B" w:rsidRDefault="00F37EEA" w:rsidP="002C607C">
            <w:pPr>
              <w:autoSpaceDE w:val="0"/>
              <w:autoSpaceDN w:val="0"/>
              <w:adjustRightInd w:val="0"/>
            </w:pPr>
            <w:r w:rsidRPr="00EE0A62">
              <w:t>hussey@carpenterlipps.com</w:t>
            </w:r>
          </w:p>
          <w:p w:rsidR="00F37EEA" w:rsidRPr="00887E0B" w:rsidRDefault="00F37EEA" w:rsidP="002C607C">
            <w:pPr>
              <w:autoSpaceDE w:val="0"/>
              <w:autoSpaceDN w:val="0"/>
              <w:adjustRightInd w:val="0"/>
              <w:rPr>
                <w:color w:val="0000FF"/>
              </w:rPr>
            </w:pPr>
            <w:r w:rsidRPr="00887E0B">
              <w:rPr>
                <w:color w:val="0000FF"/>
              </w:rPr>
              <w:t>mfleisher@elpc.org</w:t>
            </w:r>
          </w:p>
          <w:p w:rsidR="00F37EEA" w:rsidRPr="00887E0B" w:rsidRDefault="00F37EEA" w:rsidP="002C607C">
            <w:pPr>
              <w:autoSpaceDE w:val="0"/>
              <w:autoSpaceDN w:val="0"/>
              <w:adjustRightInd w:val="0"/>
              <w:rPr>
                <w:color w:val="0000FF"/>
              </w:rPr>
            </w:pPr>
            <w:r w:rsidRPr="00887E0B">
              <w:rPr>
                <w:color w:val="0000FF"/>
              </w:rPr>
              <w:t>msmalz@ohiopovertylaw.org</w:t>
            </w:r>
          </w:p>
          <w:p w:rsidR="00F37EEA" w:rsidRPr="00887E0B" w:rsidRDefault="00F37EEA" w:rsidP="002C607C">
            <w:pPr>
              <w:autoSpaceDE w:val="0"/>
              <w:autoSpaceDN w:val="0"/>
              <w:adjustRightInd w:val="0"/>
              <w:rPr>
                <w:color w:val="0000FF"/>
              </w:rPr>
            </w:pPr>
            <w:r w:rsidRPr="00887E0B">
              <w:rPr>
                <w:color w:val="0000FF"/>
              </w:rPr>
              <w:t>cmooney@ohiopartners.org</w:t>
            </w:r>
          </w:p>
          <w:p w:rsidR="00F37EEA" w:rsidRPr="00887E0B" w:rsidRDefault="00F37EEA" w:rsidP="002C607C">
            <w:pPr>
              <w:autoSpaceDE w:val="0"/>
              <w:autoSpaceDN w:val="0"/>
              <w:adjustRightInd w:val="0"/>
              <w:rPr>
                <w:color w:val="0000FF"/>
              </w:rPr>
            </w:pPr>
            <w:r w:rsidRPr="00887E0B">
              <w:rPr>
                <w:color w:val="0000FF"/>
              </w:rPr>
              <w:t>ghull@eckertseamans.com</w:t>
            </w:r>
          </w:p>
          <w:p w:rsidR="00F37EEA" w:rsidRPr="00887E0B" w:rsidRDefault="00F37EEA" w:rsidP="002C607C">
            <w:pPr>
              <w:autoSpaceDE w:val="0"/>
              <w:autoSpaceDN w:val="0"/>
              <w:adjustRightInd w:val="0"/>
              <w:rPr>
                <w:color w:val="0000FF"/>
              </w:rPr>
            </w:pPr>
            <w:r w:rsidRPr="00EE0A62">
              <w:t>msoules@earthjustice.org</w:t>
            </w:r>
          </w:p>
          <w:p w:rsidR="00F37EEA" w:rsidRPr="00887E0B" w:rsidRDefault="00F37EEA" w:rsidP="002C607C">
            <w:pPr>
              <w:autoSpaceDE w:val="0"/>
              <w:autoSpaceDN w:val="0"/>
              <w:adjustRightInd w:val="0"/>
              <w:rPr>
                <w:color w:val="0000FF"/>
              </w:rPr>
            </w:pPr>
            <w:r w:rsidRPr="00EE0A62">
              <w:t>jennifer.spinosi@directenergy.com</w:t>
            </w:r>
          </w:p>
          <w:p w:rsidR="00F37EEA" w:rsidRDefault="00F37EEA" w:rsidP="002C607C">
            <w:pPr>
              <w:autoSpaceDE w:val="0"/>
              <w:autoSpaceDN w:val="0"/>
              <w:adjustRightInd w:val="0"/>
              <w:rPr>
                <w:color w:val="0000FF"/>
              </w:rPr>
            </w:pPr>
            <w:r w:rsidRPr="00EE0A62">
              <w:t>laurie.williams@sierraclub.org</w:t>
            </w:r>
          </w:p>
          <w:p w:rsidR="00F37EEA" w:rsidRPr="00887E0B" w:rsidRDefault="00F37EEA" w:rsidP="002C607C">
            <w:pPr>
              <w:autoSpaceDE w:val="0"/>
              <w:autoSpaceDN w:val="0"/>
              <w:adjustRightInd w:val="0"/>
              <w:rPr>
                <w:color w:val="0000FF"/>
              </w:rPr>
            </w:pPr>
          </w:p>
          <w:p w:rsidR="00F37EEA" w:rsidRPr="00887E0B" w:rsidRDefault="00F37EEA" w:rsidP="002C607C">
            <w:pPr>
              <w:autoSpaceDE w:val="0"/>
              <w:autoSpaceDN w:val="0"/>
              <w:adjustRightInd w:val="0"/>
              <w:rPr>
                <w:color w:val="0000FF"/>
              </w:rPr>
            </w:pPr>
          </w:p>
          <w:p w:rsidR="00F37EEA" w:rsidRPr="00887E0B" w:rsidRDefault="00F37EEA" w:rsidP="002C607C">
            <w:pPr>
              <w:autoSpaceDE w:val="0"/>
              <w:autoSpaceDN w:val="0"/>
              <w:adjustRightInd w:val="0"/>
              <w:rPr>
                <w:color w:val="000000"/>
              </w:rPr>
            </w:pPr>
          </w:p>
        </w:tc>
      </w:tr>
    </w:tbl>
    <w:p w:rsidR="000F43E8" w:rsidRDefault="000F43E8" w:rsidP="000F43E8">
      <w:pPr>
        <w:ind w:left="720" w:hanging="720"/>
        <w:jc w:val="right"/>
        <w:rPr>
          <w:b/>
        </w:rPr>
      </w:pPr>
      <w:r>
        <w:rPr>
          <w:b/>
        </w:rPr>
        <w:t>ATTACHMENT DJD-1</w:t>
      </w:r>
    </w:p>
    <w:p w:rsidR="000F43E8" w:rsidRDefault="000F43E8" w:rsidP="000F43E8">
      <w:pPr>
        <w:jc w:val="right"/>
      </w:pPr>
      <w:r>
        <w:t>Page 1 of 2</w:t>
      </w:r>
    </w:p>
    <w:p w:rsidR="000F43E8" w:rsidRDefault="000F43E8" w:rsidP="000F43E8">
      <w:pPr>
        <w:rPr>
          <w:b/>
        </w:rPr>
      </w:pPr>
    </w:p>
    <w:p w:rsidR="000F43E8" w:rsidRDefault="000F43E8" w:rsidP="000F43E8">
      <w:pPr>
        <w:jc w:val="center"/>
        <w:rPr>
          <w:b/>
        </w:rPr>
      </w:pPr>
      <w:bookmarkStart w:id="10" w:name="_Toc249780404"/>
      <w:bookmarkStart w:id="11" w:name="_Toc249782130"/>
      <w:r>
        <w:rPr>
          <w:b/>
        </w:rPr>
        <w:t xml:space="preserve">Daniel J. Duann, Ph.D. </w:t>
      </w:r>
    </w:p>
    <w:p w:rsidR="000F43E8" w:rsidRDefault="000F43E8" w:rsidP="000F43E8">
      <w:pPr>
        <w:jc w:val="center"/>
        <w:rPr>
          <w:b/>
        </w:rPr>
      </w:pPr>
      <w:r>
        <w:rPr>
          <w:b/>
        </w:rPr>
        <w:t xml:space="preserve">List of Testimonies Filed Before PUCO </w:t>
      </w:r>
      <w:bookmarkEnd w:id="10"/>
      <w:bookmarkEnd w:id="11"/>
    </w:p>
    <w:p w:rsidR="000F43E8" w:rsidRDefault="000F43E8" w:rsidP="000F43E8">
      <w:pPr>
        <w:pStyle w:val="FootnoteText"/>
        <w:spacing w:after="120"/>
      </w:pPr>
    </w:p>
    <w:p w:rsidR="000F43E8" w:rsidRDefault="000F43E8" w:rsidP="000F43E8">
      <w:pPr>
        <w:pStyle w:val="FootnoteText"/>
        <w:numPr>
          <w:ilvl w:val="0"/>
          <w:numId w:val="9"/>
        </w:numPr>
        <w:tabs>
          <w:tab w:val="clear" w:pos="360"/>
        </w:tabs>
        <w:spacing w:before="0" w:after="180"/>
        <w:ind w:left="720" w:hanging="720"/>
        <w:rPr>
          <w:sz w:val="24"/>
          <w:szCs w:val="24"/>
        </w:rPr>
      </w:pPr>
      <w:r>
        <w:rPr>
          <w:i/>
          <w:sz w:val="24"/>
          <w:szCs w:val="24"/>
        </w:rPr>
        <w:t>Application of The Dayton Power and Light Company for Approval of Its Electric Security Plan</w:t>
      </w:r>
      <w:r>
        <w:rPr>
          <w:sz w:val="24"/>
          <w:szCs w:val="24"/>
        </w:rPr>
        <w:t>, Case No. 08-1094-EL-SSO (January 26, 2009).</w:t>
      </w:r>
    </w:p>
    <w:p w:rsidR="000F43E8" w:rsidRDefault="000F43E8" w:rsidP="000F43E8">
      <w:pPr>
        <w:pStyle w:val="FootnoteText"/>
        <w:numPr>
          <w:ilvl w:val="0"/>
          <w:numId w:val="9"/>
        </w:numPr>
        <w:tabs>
          <w:tab w:val="clear" w:pos="360"/>
        </w:tabs>
        <w:spacing w:before="0" w:after="180"/>
        <w:ind w:left="720" w:hanging="720"/>
        <w:rPr>
          <w:sz w:val="24"/>
          <w:szCs w:val="24"/>
        </w:rPr>
      </w:pPr>
      <w:r>
        <w:rPr>
          <w:i/>
          <w:sz w:val="24"/>
          <w:szCs w:val="24"/>
        </w:rPr>
        <w:t>Application of Ohio American Water Company to Increase Its Rates for Water and Sewer Service Provided to Its Entire Service Area</w:t>
      </w:r>
      <w:r>
        <w:rPr>
          <w:sz w:val="24"/>
          <w:szCs w:val="24"/>
        </w:rPr>
        <w:t>, Case No. 09-391-WS-AIR (January 4,2010).</w:t>
      </w:r>
    </w:p>
    <w:p w:rsidR="000F43E8" w:rsidRDefault="000F43E8" w:rsidP="000F43E8">
      <w:pPr>
        <w:pStyle w:val="FootnoteText"/>
        <w:numPr>
          <w:ilvl w:val="0"/>
          <w:numId w:val="9"/>
        </w:numPr>
        <w:tabs>
          <w:tab w:val="clear" w:pos="360"/>
        </w:tabs>
        <w:spacing w:before="0" w:after="180"/>
        <w:ind w:left="720" w:hanging="720"/>
        <w:rPr>
          <w:sz w:val="24"/>
          <w:szCs w:val="24"/>
        </w:rPr>
      </w:pPr>
      <w:r>
        <w:rPr>
          <w:i/>
          <w:sz w:val="24"/>
          <w:szCs w:val="24"/>
        </w:rPr>
        <w:t>Application of Aqua Ohio, Inc. for Authority to Increase its Rates and Charges in its Masury Division</w:t>
      </w:r>
      <w:r>
        <w:rPr>
          <w:sz w:val="24"/>
          <w:szCs w:val="24"/>
        </w:rPr>
        <w:t>, Case No. 09-560-WW-AIR (February 22, 2010).</w:t>
      </w:r>
    </w:p>
    <w:p w:rsidR="000F43E8" w:rsidRDefault="000F43E8" w:rsidP="000F43E8">
      <w:pPr>
        <w:pStyle w:val="FootnoteText"/>
        <w:numPr>
          <w:ilvl w:val="0"/>
          <w:numId w:val="9"/>
        </w:numPr>
        <w:tabs>
          <w:tab w:val="clear" w:pos="360"/>
        </w:tabs>
        <w:spacing w:before="0" w:after="180"/>
        <w:ind w:left="720" w:hanging="720"/>
        <w:rPr>
          <w:sz w:val="24"/>
          <w:szCs w:val="24"/>
        </w:rPr>
      </w:pPr>
      <w:r>
        <w:rPr>
          <w:i/>
          <w:sz w:val="24"/>
          <w:szCs w:val="24"/>
        </w:rPr>
        <w:t>Application of Aqua Ohio, Inc. for Authority to increase its Rates and Charges in its Lake Erie Division</w:t>
      </w:r>
      <w:r>
        <w:rPr>
          <w:sz w:val="24"/>
          <w:szCs w:val="24"/>
        </w:rPr>
        <w:t>, Case No. 09-1044-WW-AIR (June 21, 2010).</w:t>
      </w:r>
    </w:p>
    <w:p w:rsidR="000F43E8" w:rsidRDefault="000F43E8" w:rsidP="000F43E8">
      <w:pPr>
        <w:pStyle w:val="FootnoteText"/>
        <w:numPr>
          <w:ilvl w:val="0"/>
          <w:numId w:val="9"/>
        </w:numPr>
        <w:tabs>
          <w:tab w:val="clear" w:pos="360"/>
        </w:tabs>
        <w:spacing w:before="0" w:after="180"/>
        <w:ind w:left="720" w:hanging="720"/>
        <w:rPr>
          <w:sz w:val="24"/>
          <w:szCs w:val="24"/>
        </w:rPr>
      </w:pPr>
      <w:r>
        <w:rPr>
          <w:i/>
          <w:sz w:val="24"/>
          <w:szCs w:val="24"/>
        </w:rPr>
        <w:t>In the Matter of the Fuel Adjustment Clauses for Columbus Southern Power Company and Ohio Power Company</w:t>
      </w:r>
      <w:r>
        <w:rPr>
          <w:sz w:val="24"/>
          <w:szCs w:val="24"/>
        </w:rPr>
        <w:t>, Case Nos. 09-872-EL-FAC and 09-873-EL-FAC (August 16, 2010).</w:t>
      </w:r>
    </w:p>
    <w:p w:rsidR="000F43E8" w:rsidRDefault="000F43E8" w:rsidP="000F43E8">
      <w:pPr>
        <w:pStyle w:val="FootnoteText"/>
        <w:numPr>
          <w:ilvl w:val="0"/>
          <w:numId w:val="9"/>
        </w:numPr>
        <w:tabs>
          <w:tab w:val="clear" w:pos="360"/>
        </w:tabs>
        <w:spacing w:before="0" w:after="180"/>
        <w:ind w:left="720" w:hanging="720"/>
        <w:rPr>
          <w:sz w:val="24"/>
          <w:szCs w:val="24"/>
        </w:rPr>
      </w:pPr>
      <w:r>
        <w:rPr>
          <w:i/>
          <w:sz w:val="24"/>
          <w:szCs w:val="24"/>
        </w:rPr>
        <w:t>In the Matter of the Application of Columbus Southern Power Company for Approval of an Electric Security Plan; an Amendment to its Corporate Separation Plan; and the Sale or Transfer of Certain Generating Asset (Remand)</w:t>
      </w:r>
      <w:r>
        <w:rPr>
          <w:sz w:val="24"/>
          <w:szCs w:val="24"/>
        </w:rPr>
        <w:t>, Case Nos. 08-917-EL-SSO et al (June 30, 2011).</w:t>
      </w:r>
    </w:p>
    <w:p w:rsidR="000F43E8" w:rsidRDefault="000F43E8" w:rsidP="000F43E8">
      <w:pPr>
        <w:pStyle w:val="FootnoteText"/>
        <w:numPr>
          <w:ilvl w:val="0"/>
          <w:numId w:val="9"/>
        </w:numPr>
        <w:tabs>
          <w:tab w:val="clear" w:pos="360"/>
        </w:tabs>
        <w:spacing w:before="0" w:after="180"/>
        <w:ind w:left="720" w:hanging="720"/>
        <w:rPr>
          <w:sz w:val="24"/>
          <w:szCs w:val="24"/>
        </w:rPr>
      </w:pPr>
      <w:r>
        <w:rPr>
          <w:i/>
          <w:sz w:val="24"/>
          <w:szCs w:val="24"/>
        </w:rPr>
        <w:t>In the Matter of the Application of The East Ohio Gas Company d/b/a Dominion East Ohio for Approval of Tariffs to Modify and further Accelerate its Pipeline Infrastructure Replacement Program and to Recover the Associated Costs et al.</w:t>
      </w:r>
      <w:r>
        <w:rPr>
          <w:sz w:val="24"/>
          <w:szCs w:val="24"/>
        </w:rPr>
        <w:t>, Case Nos. 11-2401-GA-ALT and 08-169-GA-ALT (July 15, 2011).</w:t>
      </w:r>
    </w:p>
    <w:p w:rsidR="000F43E8" w:rsidRDefault="000F43E8" w:rsidP="000F43E8">
      <w:pPr>
        <w:pStyle w:val="FootnoteText"/>
        <w:numPr>
          <w:ilvl w:val="0"/>
          <w:numId w:val="9"/>
        </w:numPr>
        <w:tabs>
          <w:tab w:val="clear" w:pos="360"/>
        </w:tabs>
        <w:spacing w:before="0" w:after="180"/>
        <w:ind w:left="720" w:hanging="720"/>
        <w:rPr>
          <w:sz w:val="24"/>
          <w:szCs w:val="24"/>
        </w:rPr>
      </w:pPr>
      <w:r>
        <w:rPr>
          <w:i/>
          <w:sz w:val="24"/>
          <w:szCs w:val="24"/>
        </w:rPr>
        <w:t>In the Matter of the Application of Columbus Southern Power Company and Ohio Power Company for Authority to Establish a Standard Service Offer Pursuant to 4928.143, Ohio Rev. Code in the Form of an Electric Security Plan (ESP)</w:t>
      </w:r>
      <w:r>
        <w:rPr>
          <w:sz w:val="24"/>
          <w:szCs w:val="24"/>
        </w:rPr>
        <w:t>, Case Nos. 11-346-EL-SSO, et al (July 25,2011).</w:t>
      </w:r>
    </w:p>
    <w:p w:rsidR="000F43E8" w:rsidRDefault="000F43E8" w:rsidP="000F43E8">
      <w:pPr>
        <w:pStyle w:val="FootnoteText"/>
        <w:numPr>
          <w:ilvl w:val="0"/>
          <w:numId w:val="9"/>
        </w:numPr>
        <w:tabs>
          <w:tab w:val="clear" w:pos="360"/>
        </w:tabs>
        <w:spacing w:before="0" w:after="180"/>
        <w:ind w:left="720" w:hanging="720"/>
        <w:rPr>
          <w:sz w:val="24"/>
          <w:szCs w:val="24"/>
        </w:rPr>
      </w:pPr>
      <w:r>
        <w:rPr>
          <w:i/>
          <w:sz w:val="24"/>
          <w:szCs w:val="24"/>
        </w:rPr>
        <w:t>In the Matter of the Application of Columbus Southern Power Company and Ohio Power Company for Authority to Merge and Related Approval (ESP Stipulation)</w:t>
      </w:r>
      <w:r>
        <w:rPr>
          <w:sz w:val="24"/>
          <w:szCs w:val="24"/>
        </w:rPr>
        <w:t>, Case Nos. 10-2376-EL-UNC, et al (September 27, 2011).</w:t>
      </w:r>
    </w:p>
    <w:p w:rsidR="000F43E8" w:rsidRDefault="000F43E8" w:rsidP="000F43E8">
      <w:pPr>
        <w:pStyle w:val="FootnoteText"/>
        <w:numPr>
          <w:ilvl w:val="0"/>
          <w:numId w:val="9"/>
        </w:numPr>
        <w:tabs>
          <w:tab w:val="clear" w:pos="360"/>
        </w:tabs>
        <w:spacing w:before="0" w:after="180"/>
        <w:ind w:left="720" w:hanging="720"/>
        <w:rPr>
          <w:sz w:val="24"/>
          <w:szCs w:val="24"/>
        </w:rPr>
      </w:pPr>
      <w:r>
        <w:rPr>
          <w:i/>
          <w:sz w:val="24"/>
          <w:szCs w:val="24"/>
        </w:rPr>
        <w:t xml:space="preserve">In the Matter of the 2010 Annual Filing of Columbus Southern Power Company and Ohio Power Company Required by Rule 4901:1-35-10, Ohio Administrative Code, </w:t>
      </w:r>
      <w:r>
        <w:rPr>
          <w:sz w:val="24"/>
          <w:szCs w:val="24"/>
        </w:rPr>
        <w:t>Case Nos. 11-4571-EL-UNC and 11-4572-EL-UNC (October 12, 2011).</w:t>
      </w:r>
    </w:p>
    <w:p w:rsidR="000F43E8" w:rsidRDefault="000F43E8" w:rsidP="000F43E8">
      <w:pPr>
        <w:pStyle w:val="FootnoteText"/>
        <w:numPr>
          <w:ilvl w:val="0"/>
          <w:numId w:val="9"/>
        </w:numPr>
        <w:tabs>
          <w:tab w:val="clear" w:pos="360"/>
        </w:tabs>
        <w:spacing w:before="0" w:after="180"/>
        <w:ind w:left="720" w:hanging="720"/>
        <w:rPr>
          <w:sz w:val="24"/>
        </w:rPr>
      </w:pPr>
      <w:r>
        <w:rPr>
          <w:i/>
          <w:sz w:val="24"/>
        </w:rPr>
        <w:t>In the Matter of the Application of Ohio American Water Company to Increase Its Rates for Water and Sewer Service Provided to Its Entire Service Area</w:t>
      </w:r>
      <w:r>
        <w:rPr>
          <w:sz w:val="24"/>
        </w:rPr>
        <w:t>, Case No. 11-4161-WS-AIR (March 1, 2012).</w:t>
      </w:r>
    </w:p>
    <w:p w:rsidR="000F43E8" w:rsidRDefault="000F43E8" w:rsidP="000F43E8">
      <w:pPr>
        <w:ind w:left="630"/>
        <w:jc w:val="right"/>
        <w:rPr>
          <w:b/>
        </w:rPr>
      </w:pPr>
      <w:r>
        <w:rPr>
          <w:b/>
        </w:rPr>
        <w:t>ATTACHMENT DJD-1</w:t>
      </w:r>
    </w:p>
    <w:p w:rsidR="000F43E8" w:rsidRDefault="000F43E8" w:rsidP="000F43E8">
      <w:pPr>
        <w:ind w:left="630"/>
        <w:jc w:val="right"/>
      </w:pPr>
      <w:r>
        <w:t>Page 2 of 2</w:t>
      </w:r>
    </w:p>
    <w:p w:rsidR="000F43E8" w:rsidRDefault="000F43E8" w:rsidP="000F43E8">
      <w:pPr>
        <w:pStyle w:val="FootnoteText"/>
        <w:spacing w:after="180"/>
        <w:ind w:left="720"/>
        <w:rPr>
          <w:sz w:val="24"/>
          <w:szCs w:val="24"/>
        </w:rPr>
      </w:pPr>
    </w:p>
    <w:p w:rsidR="000F43E8" w:rsidRDefault="000F43E8" w:rsidP="000F43E8">
      <w:pPr>
        <w:pStyle w:val="FootnoteText"/>
        <w:numPr>
          <w:ilvl w:val="0"/>
          <w:numId w:val="9"/>
        </w:numPr>
        <w:tabs>
          <w:tab w:val="clear" w:pos="360"/>
        </w:tabs>
        <w:spacing w:before="0" w:after="180"/>
        <w:ind w:left="720" w:hanging="720"/>
        <w:rPr>
          <w:sz w:val="24"/>
          <w:szCs w:val="24"/>
        </w:rPr>
      </w:pPr>
      <w:r>
        <w:rPr>
          <w:i/>
          <w:sz w:val="24"/>
          <w:szCs w:val="24"/>
        </w:rPr>
        <w:t>In the Matter of the Application of Columbus Southern Power Company and Ohio Power Company for Authority to Establish a Standard Service Offer Pursuant to 4928.143, Ohio Rev. Code in the Form of an Electric Security Plan (Modified ESP)</w:t>
      </w:r>
      <w:r>
        <w:rPr>
          <w:sz w:val="24"/>
          <w:szCs w:val="24"/>
        </w:rPr>
        <w:t>, Case Nos. 11-346-EL-SSO, et al (May 4, 2012).</w:t>
      </w:r>
    </w:p>
    <w:p w:rsidR="000F43E8" w:rsidRDefault="000F43E8" w:rsidP="000F43E8">
      <w:pPr>
        <w:numPr>
          <w:ilvl w:val="0"/>
          <w:numId w:val="9"/>
        </w:numPr>
        <w:tabs>
          <w:tab w:val="clear" w:pos="360"/>
          <w:tab w:val="num" w:pos="720"/>
        </w:tabs>
        <w:autoSpaceDE w:val="0"/>
        <w:autoSpaceDN w:val="0"/>
        <w:adjustRightInd w:val="0"/>
        <w:spacing w:after="180"/>
        <w:ind w:left="720" w:hanging="720"/>
      </w:pPr>
      <w:r>
        <w:rPr>
          <w:i/>
        </w:rPr>
        <w:t xml:space="preserve">In the Matter of the Application of Ohio Edison Company, The Cleveland Electric Illuminating Company, and The Toledo Edison Company For Authority to Establish a Standard Service Offer Pursuant to R.C. § 4928.143 in the Form Of an Electric Security Plan, </w:t>
      </w:r>
      <w:r>
        <w:t>Case No. 12-1230-EL-SSO (May 21, 2012).</w:t>
      </w:r>
    </w:p>
    <w:p w:rsidR="000F43E8" w:rsidRDefault="000F43E8" w:rsidP="000F43E8">
      <w:pPr>
        <w:numPr>
          <w:ilvl w:val="0"/>
          <w:numId w:val="9"/>
        </w:numPr>
        <w:tabs>
          <w:tab w:val="clear" w:pos="360"/>
          <w:tab w:val="num" w:pos="720"/>
        </w:tabs>
        <w:autoSpaceDE w:val="0"/>
        <w:autoSpaceDN w:val="0"/>
        <w:adjustRightInd w:val="0"/>
        <w:spacing w:after="180"/>
        <w:ind w:left="720" w:hanging="720"/>
      </w:pPr>
      <w:r>
        <w:rPr>
          <w:i/>
        </w:rPr>
        <w:t xml:space="preserve">In the Matter of the Application of Duke Energy Ohio, Inc., for an Increase in Electric Distribution Rates, et al. </w:t>
      </w:r>
      <w:r>
        <w:t xml:space="preserve">Case Nos. 12-1682-EL-AIR (February 19, 2013). </w:t>
      </w:r>
    </w:p>
    <w:p w:rsidR="000F43E8" w:rsidRDefault="000F43E8" w:rsidP="000F43E8">
      <w:pPr>
        <w:numPr>
          <w:ilvl w:val="0"/>
          <w:numId w:val="9"/>
        </w:numPr>
        <w:tabs>
          <w:tab w:val="clear" w:pos="360"/>
          <w:tab w:val="num" w:pos="720"/>
        </w:tabs>
        <w:autoSpaceDE w:val="0"/>
        <w:autoSpaceDN w:val="0"/>
        <w:adjustRightInd w:val="0"/>
        <w:spacing w:after="180"/>
        <w:ind w:left="720" w:hanging="720"/>
      </w:pPr>
      <w:r>
        <w:rPr>
          <w:i/>
        </w:rPr>
        <w:t xml:space="preserve">In the Matter of the Application of Duke Energy Ohio, Inc., for an Increase in Gas Rates, </w:t>
      </w:r>
      <w:r>
        <w:t>Case Nos. 12-1685-GA-AIR, et al (February 25, 2013).</w:t>
      </w:r>
    </w:p>
    <w:p w:rsidR="000F43E8" w:rsidRDefault="000F43E8" w:rsidP="000F43E8">
      <w:pPr>
        <w:numPr>
          <w:ilvl w:val="0"/>
          <w:numId w:val="9"/>
        </w:numPr>
        <w:tabs>
          <w:tab w:val="clear" w:pos="360"/>
          <w:tab w:val="num" w:pos="720"/>
        </w:tabs>
        <w:autoSpaceDE w:val="0"/>
        <w:autoSpaceDN w:val="0"/>
        <w:adjustRightInd w:val="0"/>
        <w:spacing w:after="180"/>
        <w:ind w:left="720" w:hanging="720"/>
      </w:pPr>
      <w:r w:rsidRPr="000C34C6">
        <w:rPr>
          <w:i/>
        </w:rPr>
        <w:t xml:space="preserve">In the Matter of the Application of Dayton Power &amp; Light Company for Authority to Establish a Standard Service Offer in the Form Of an Electric Security Plan Pursuant to R.C. 4928.143, </w:t>
      </w:r>
      <w:r>
        <w:t>Case No. 12-426-EL-SSO et al. (March 1, 2013).</w:t>
      </w:r>
    </w:p>
    <w:p w:rsidR="000F43E8" w:rsidRDefault="000F43E8" w:rsidP="000F43E8">
      <w:pPr>
        <w:numPr>
          <w:ilvl w:val="0"/>
          <w:numId w:val="9"/>
        </w:numPr>
        <w:tabs>
          <w:tab w:val="clear" w:pos="360"/>
          <w:tab w:val="num" w:pos="720"/>
        </w:tabs>
        <w:autoSpaceDE w:val="0"/>
        <w:autoSpaceDN w:val="0"/>
        <w:adjustRightInd w:val="0"/>
        <w:spacing w:after="180"/>
        <w:ind w:left="720" w:hanging="720"/>
      </w:pPr>
      <w:r w:rsidRPr="000C34C6">
        <w:rPr>
          <w:i/>
        </w:rPr>
        <w:t xml:space="preserve">In the Matter of the Application of The Dayton Power and Light Company for Authority to Recover of Certain Storm-related Service Restoration Costs, </w:t>
      </w:r>
      <w:r>
        <w:t xml:space="preserve">Case Nos. 12-3062-EL-RDR, et al. (January 31, 2014). </w:t>
      </w:r>
    </w:p>
    <w:p w:rsidR="000F43E8" w:rsidRPr="00122265" w:rsidRDefault="000F43E8" w:rsidP="000F43E8">
      <w:pPr>
        <w:numPr>
          <w:ilvl w:val="0"/>
          <w:numId w:val="9"/>
        </w:numPr>
        <w:tabs>
          <w:tab w:val="clear" w:pos="360"/>
          <w:tab w:val="num" w:pos="720"/>
        </w:tabs>
        <w:autoSpaceDE w:val="0"/>
        <w:autoSpaceDN w:val="0"/>
        <w:adjustRightInd w:val="0"/>
        <w:spacing w:after="180"/>
        <w:ind w:left="720" w:hanging="720"/>
      </w:pPr>
      <w:r>
        <w:rPr>
          <w:i/>
        </w:rPr>
        <w:t xml:space="preserve">In the Matter of the Application of The Dayton Power and Light Company for Authority to Recover of Certain Storm-related Service Restoration Costs, </w:t>
      </w:r>
      <w:r>
        <w:t xml:space="preserve">Case Nos. 12-3062-EL-RDR, et al. (May 23, 2014). </w:t>
      </w:r>
    </w:p>
    <w:p w:rsidR="000F43E8" w:rsidRDefault="000F43E8" w:rsidP="000F43E8">
      <w:pPr>
        <w:numPr>
          <w:ilvl w:val="0"/>
          <w:numId w:val="9"/>
        </w:numPr>
        <w:tabs>
          <w:tab w:val="clear" w:pos="360"/>
          <w:tab w:val="num" w:pos="720"/>
        </w:tabs>
        <w:autoSpaceDE w:val="0"/>
        <w:autoSpaceDN w:val="0"/>
        <w:adjustRightInd w:val="0"/>
        <w:spacing w:after="180"/>
        <w:ind w:left="720" w:hanging="720"/>
      </w:pPr>
      <w:r>
        <w:rPr>
          <w:i/>
        </w:rPr>
        <w:t xml:space="preserve">In the Matter of the Application of Aqua Ohio, Inc. to Increase Its Rates and Charges for Its Waterworks Service, </w:t>
      </w:r>
      <w:r>
        <w:t>Case No. 13-2124-WW-AIR (August 4, 2014).</w:t>
      </w:r>
    </w:p>
    <w:p w:rsidR="000F43E8" w:rsidRDefault="000F43E8" w:rsidP="000F43E8">
      <w:pPr>
        <w:autoSpaceDE w:val="0"/>
        <w:autoSpaceDN w:val="0"/>
        <w:adjustRightInd w:val="0"/>
        <w:spacing w:after="180"/>
        <w:ind w:left="630" w:hanging="630"/>
      </w:pPr>
    </w:p>
    <w:p w:rsidR="000F43E8" w:rsidRDefault="000F43E8" w:rsidP="000F43E8">
      <w:pPr>
        <w:autoSpaceDE w:val="0"/>
        <w:autoSpaceDN w:val="0"/>
        <w:adjustRightInd w:val="0"/>
        <w:spacing w:after="180"/>
        <w:ind w:left="630"/>
      </w:pPr>
      <w:r>
        <w:rPr>
          <w:i/>
        </w:rPr>
        <w:t xml:space="preserve"> </w:t>
      </w:r>
    </w:p>
    <w:p w:rsidR="000F43E8" w:rsidRDefault="000F43E8" w:rsidP="000F43E8">
      <w:pPr>
        <w:jc w:val="right"/>
        <w:rPr>
          <w:b/>
        </w:rPr>
      </w:pPr>
      <w:r>
        <w:br w:type="page"/>
      </w:r>
      <w:r>
        <w:rPr>
          <w:b/>
        </w:rPr>
        <w:t>ATTACHMENT DJD-2</w:t>
      </w:r>
    </w:p>
    <w:p w:rsidR="000F43E8" w:rsidRDefault="000F43E8" w:rsidP="000F43E8">
      <w:pPr>
        <w:jc w:val="right"/>
      </w:pPr>
      <w:r>
        <w:t>Page 1 of 2</w:t>
      </w:r>
    </w:p>
    <w:p w:rsidR="000F43E8" w:rsidRDefault="000F43E8" w:rsidP="000F43E8"/>
    <w:p w:rsidR="000F43E8" w:rsidRDefault="000F43E8" w:rsidP="000F43E8">
      <w:pPr>
        <w:jc w:val="center"/>
        <w:rPr>
          <w:b/>
        </w:rPr>
      </w:pPr>
      <w:r>
        <w:rPr>
          <w:b/>
        </w:rPr>
        <w:t xml:space="preserve">Daniel J. Duann, Ph.D. </w:t>
      </w:r>
    </w:p>
    <w:p w:rsidR="000F43E8" w:rsidRDefault="000F43E8" w:rsidP="000F43E8">
      <w:pPr>
        <w:jc w:val="center"/>
        <w:rPr>
          <w:b/>
        </w:rPr>
      </w:pPr>
      <w:r>
        <w:rPr>
          <w:b/>
        </w:rPr>
        <w:t xml:space="preserve">List of Professional Publications </w:t>
      </w:r>
    </w:p>
    <w:p w:rsidR="000F43E8" w:rsidRDefault="000F43E8" w:rsidP="000F43E8"/>
    <w:p w:rsidR="000F43E8" w:rsidRDefault="000F43E8" w:rsidP="000F43E8">
      <w:pPr>
        <w:spacing w:after="180"/>
        <w:rPr>
          <w:b/>
        </w:rPr>
      </w:pPr>
      <w:r>
        <w:rPr>
          <w:b/>
        </w:rPr>
        <w:t>Journal Articles</w:t>
      </w:r>
    </w:p>
    <w:p w:rsidR="000F43E8" w:rsidRDefault="000F43E8" w:rsidP="000F43E8">
      <w:pPr>
        <w:spacing w:after="180"/>
      </w:pPr>
      <w:r>
        <w:rPr>
          <w:i/>
        </w:rPr>
        <w:t>Regulation, The Cato Review of Business &amp; Government</w:t>
      </w:r>
      <w:r>
        <w:t xml:space="preserve">, “Turning up the Heat in the Natural Gas Industry,” Vol. 19, 1996, (with Kenneth W. Costello).  </w:t>
      </w:r>
    </w:p>
    <w:p w:rsidR="000F43E8" w:rsidRDefault="000F43E8" w:rsidP="000F43E8">
      <w:pPr>
        <w:spacing w:after="180"/>
      </w:pPr>
      <w:r>
        <w:rPr>
          <w:i/>
        </w:rPr>
        <w:t>Managerial And Decision Economics</w:t>
      </w:r>
      <w:r>
        <w:t>, “Designing a Preferred Bidding Procedure for Securing Electric Generating Capacity,” Vol. 12, 1991.</w:t>
      </w:r>
    </w:p>
    <w:p w:rsidR="000F43E8" w:rsidRDefault="000F43E8" w:rsidP="000F43E8">
      <w:pPr>
        <w:spacing w:after="180"/>
      </w:pPr>
      <w:r>
        <w:rPr>
          <w:i/>
        </w:rPr>
        <w:t>The Journal of Energy and Development</w:t>
      </w:r>
      <w:r>
        <w:t>, “Direct Gas Purchases by Local Distribution Companies: Supply Reliability and Cost Implications,” Vol. 14, 1989.</w:t>
      </w:r>
    </w:p>
    <w:p w:rsidR="000F43E8" w:rsidRDefault="000F43E8" w:rsidP="000F43E8">
      <w:pPr>
        <w:spacing w:after="180"/>
      </w:pPr>
      <w:r>
        <w:rPr>
          <w:i/>
        </w:rPr>
        <w:t>Public Utilities Fortnightly</w:t>
      </w:r>
      <w:r>
        <w:t>, “Alternative Searching and Maximum Benefit in Electric Least-Cost Planning,” December 21, 1989.</w:t>
      </w:r>
    </w:p>
    <w:p w:rsidR="000F43E8" w:rsidRDefault="000F43E8" w:rsidP="000F43E8"/>
    <w:p w:rsidR="000F43E8" w:rsidRDefault="000F43E8" w:rsidP="000F43E8">
      <w:bookmarkStart w:id="12" w:name="_Toc249780406"/>
      <w:bookmarkStart w:id="13" w:name="_Toc249782132"/>
    </w:p>
    <w:p w:rsidR="000F43E8" w:rsidRDefault="000F43E8" w:rsidP="000F43E8">
      <w:pPr>
        <w:rPr>
          <w:b/>
        </w:rPr>
      </w:pPr>
      <w:r>
        <w:rPr>
          <w:b/>
        </w:rPr>
        <w:t>Research Reports and Presentations</w:t>
      </w:r>
      <w:bookmarkEnd w:id="12"/>
      <w:bookmarkEnd w:id="13"/>
    </w:p>
    <w:p w:rsidR="000F43E8" w:rsidRDefault="000F43E8" w:rsidP="000F43E8"/>
    <w:p w:rsidR="000F43E8" w:rsidRDefault="000F43E8" w:rsidP="000F43E8">
      <w:pPr>
        <w:spacing w:after="180"/>
      </w:pPr>
      <w:bookmarkStart w:id="14" w:name="_Toc249780407"/>
      <w:bookmarkStart w:id="15" w:name="_Toc249782133"/>
      <w:r>
        <w:t xml:space="preserve">The National Regulatory Research Institute, </w:t>
      </w:r>
      <w:r>
        <w:rPr>
          <w:i/>
        </w:rPr>
        <w:t>Pricing Local Distribution Services in a Competitive Market</w:t>
      </w:r>
      <w:r>
        <w:t>, 1995</w:t>
      </w:r>
      <w:bookmarkEnd w:id="14"/>
      <w:bookmarkEnd w:id="15"/>
      <w:r>
        <w:t xml:space="preserve">. </w:t>
      </w:r>
    </w:p>
    <w:p w:rsidR="000F43E8" w:rsidRDefault="000F43E8" w:rsidP="000F43E8">
      <w:pPr>
        <w:spacing w:after="180"/>
      </w:pPr>
      <w:r>
        <w:t xml:space="preserve">Ninth NARUC Biennial Regulatory Information Conference, Ohio State University, </w:t>
      </w:r>
      <w:r>
        <w:rPr>
          <w:i/>
        </w:rPr>
        <w:t>The Unbundling and Restructuring of Local Distribution Services in the Post-636 Gas Market</w:t>
      </w:r>
      <w:r>
        <w:t>, 1994.</w:t>
      </w:r>
    </w:p>
    <w:p w:rsidR="000F43E8" w:rsidRDefault="000F43E8" w:rsidP="000F43E8">
      <w:pPr>
        <w:spacing w:after="180"/>
      </w:pPr>
      <w:r>
        <w:t xml:space="preserve">The National Regulatory Research Institute, </w:t>
      </w:r>
      <w:r>
        <w:rPr>
          <w:i/>
        </w:rPr>
        <w:t>A Survey of Recent State Initiatives on EPACT and FERC Order 636</w:t>
      </w:r>
      <w:r>
        <w:t>, 1994 (with Belle Chen).</w:t>
      </w:r>
    </w:p>
    <w:p w:rsidR="000F43E8" w:rsidRDefault="000F43E8" w:rsidP="000F43E8">
      <w:pPr>
        <w:spacing w:after="180"/>
      </w:pPr>
      <w:r>
        <w:t xml:space="preserve">The National Regulatory Research Institute, </w:t>
      </w:r>
      <w:r>
        <w:rPr>
          <w:i/>
        </w:rPr>
        <w:t>Restructuring Local Distribution Services: Possibilities and Limitations</w:t>
      </w:r>
      <w:r>
        <w:t>, 1994.</w:t>
      </w:r>
    </w:p>
    <w:p w:rsidR="000F43E8" w:rsidRDefault="000F43E8" w:rsidP="000F43E8">
      <w:pPr>
        <w:spacing w:after="180"/>
      </w:pPr>
      <w:r>
        <w:t xml:space="preserve">The National Regulatory Research Institute, </w:t>
      </w:r>
      <w:r>
        <w:rPr>
          <w:i/>
        </w:rPr>
        <w:t>The FERC Restructuring Rule: Implications for Local Distribution Companies and State Public Utilities Commissions</w:t>
      </w:r>
      <w:r>
        <w:t>, 1993.</w:t>
      </w:r>
    </w:p>
    <w:p w:rsidR="000F43E8" w:rsidRDefault="000F43E8" w:rsidP="000F43E8">
      <w:pPr>
        <w:spacing w:after="180"/>
      </w:pPr>
      <w:r>
        <w:t xml:space="preserve">The National Regulatory Research Institute, </w:t>
      </w:r>
      <w:r>
        <w:rPr>
          <w:i/>
        </w:rPr>
        <w:t>A Synopsis of the Energy Policy Act of 1992: New Tasks for State Public Utility Commissions</w:t>
      </w:r>
      <w:r>
        <w:t xml:space="preserve">, 1993.  </w:t>
      </w:r>
    </w:p>
    <w:p w:rsidR="000F43E8" w:rsidRDefault="000F43E8" w:rsidP="000F43E8">
      <w:pPr>
        <w:spacing w:after="180"/>
      </w:pPr>
    </w:p>
    <w:p w:rsidR="000F43E8" w:rsidRDefault="000F43E8" w:rsidP="000F43E8"/>
    <w:p w:rsidR="000F43E8" w:rsidRDefault="000F43E8" w:rsidP="000F43E8"/>
    <w:p w:rsidR="000F43E8" w:rsidRDefault="000F43E8" w:rsidP="000F43E8">
      <w:pPr>
        <w:pStyle w:val="Header"/>
      </w:pPr>
      <w:r>
        <w:br w:type="page"/>
      </w:r>
    </w:p>
    <w:p w:rsidR="000F43E8" w:rsidRDefault="000F43E8" w:rsidP="000F43E8">
      <w:pPr>
        <w:jc w:val="right"/>
        <w:rPr>
          <w:b/>
        </w:rPr>
      </w:pPr>
      <w:r>
        <w:rPr>
          <w:b/>
        </w:rPr>
        <w:t>ATTACHMENT DJD-2</w:t>
      </w:r>
    </w:p>
    <w:p w:rsidR="000F43E8" w:rsidRDefault="000F43E8" w:rsidP="000F43E8">
      <w:pPr>
        <w:jc w:val="right"/>
      </w:pPr>
      <w:r>
        <w:t>Page 2 of 2</w:t>
      </w:r>
    </w:p>
    <w:p w:rsidR="000F43E8" w:rsidRDefault="000F43E8" w:rsidP="000F43E8"/>
    <w:p w:rsidR="000F43E8" w:rsidRDefault="000F43E8" w:rsidP="000F43E8"/>
    <w:p w:rsidR="000F43E8" w:rsidRDefault="000F43E8" w:rsidP="000F43E8">
      <w:pPr>
        <w:spacing w:after="180"/>
      </w:pPr>
      <w:r>
        <w:t xml:space="preserve">International Symposium on Energy, Environment &amp; Information Management, Argonne National Laboratory, </w:t>
      </w:r>
      <w:r>
        <w:rPr>
          <w:i/>
        </w:rPr>
        <w:t>Natural Gas Vehicles: Barriers, Potentials, and Government Policies</w:t>
      </w:r>
      <w:r>
        <w:t>, 1992.</w:t>
      </w:r>
    </w:p>
    <w:p w:rsidR="000F43E8" w:rsidRDefault="000F43E8" w:rsidP="000F43E8">
      <w:pPr>
        <w:spacing w:after="180"/>
      </w:pPr>
      <w:r>
        <w:t xml:space="preserve">The National Regulatory Research Institute, </w:t>
      </w:r>
      <w:r>
        <w:rPr>
          <w:i/>
        </w:rPr>
        <w:t>Natural Gas Vehicles and the Role of State Public Service Commissions</w:t>
      </w:r>
      <w:r>
        <w:t>, 1992 (with Youssef Hegazy).</w:t>
      </w:r>
    </w:p>
    <w:p w:rsidR="000F43E8" w:rsidRDefault="000F43E8" w:rsidP="000F43E8">
      <w:pPr>
        <w:spacing w:after="180"/>
      </w:pPr>
      <w:r>
        <w:t xml:space="preserve">The National Regulatory Research Institute, </w:t>
      </w:r>
      <w:r>
        <w:rPr>
          <w:i/>
        </w:rPr>
        <w:t>Incentive Regulation for Local Gas Distribution Companies under Changing Industry Structure</w:t>
      </w:r>
      <w:r>
        <w:t>, 1991 (with Mohammad Harunuzzaman, Kenneth W. Costello, and Sung-Bong Cho).</w:t>
      </w:r>
    </w:p>
    <w:p w:rsidR="000F43E8" w:rsidRDefault="000F43E8" w:rsidP="000F43E8">
      <w:pPr>
        <w:spacing w:after="180"/>
      </w:pPr>
      <w:r>
        <w:t xml:space="preserve">The National Regulatory Research Institute, </w:t>
      </w:r>
      <w:r>
        <w:rPr>
          <w:i/>
        </w:rPr>
        <w:t>Discussion Papers on Competitive Bidding and Transmission Access and Pricing issues in the Context of Integrated Resource Planning</w:t>
      </w:r>
      <w:r>
        <w:t>, 1990 (with Robert E. Burns, Kenneth Rose, Kevin Kelly, and Narayan Rau).</w:t>
      </w:r>
    </w:p>
    <w:p w:rsidR="000F43E8" w:rsidRDefault="000F43E8" w:rsidP="000F43E8">
      <w:pPr>
        <w:spacing w:after="180"/>
      </w:pPr>
      <w:r>
        <w:t xml:space="preserve">The National Regulatory Research Institute, </w:t>
      </w:r>
      <w:r>
        <w:rPr>
          <w:i/>
        </w:rPr>
        <w:t>Gas Storage: Strategy, Regulation, and Some Competitive Implications</w:t>
      </w:r>
      <w:r>
        <w:t>, 1990 (with Peter A. Nagler, Mohammad Harunuzzaman, and Govindarajan Iyyuni).</w:t>
      </w:r>
    </w:p>
    <w:p w:rsidR="000F43E8" w:rsidRDefault="000F43E8" w:rsidP="000F43E8">
      <w:pPr>
        <w:spacing w:after="180"/>
      </w:pPr>
      <w:r>
        <w:t xml:space="preserve">The National Regulatory Research Institute, </w:t>
      </w:r>
      <w:r>
        <w:rPr>
          <w:i/>
        </w:rPr>
        <w:t>State Gas Transportation Policies: An Evaluation of Approaches</w:t>
      </w:r>
      <w:r>
        <w:t>, 1989 (with Robert E. Burns and Peter A. Nagler).</w:t>
      </w:r>
    </w:p>
    <w:p w:rsidR="000F43E8" w:rsidRDefault="000F43E8" w:rsidP="000F43E8">
      <w:pPr>
        <w:pStyle w:val="BodyText"/>
        <w:spacing w:after="180"/>
      </w:pPr>
      <w:r>
        <w:t xml:space="preserve">The National Regulatory Research Institute, </w:t>
      </w:r>
      <w:r>
        <w:rPr>
          <w:i/>
        </w:rPr>
        <w:t>Direct Gas Purchases by Gas Distribution Companies: Supply Reliability and Cost Implications</w:t>
      </w:r>
      <w:r>
        <w:t>, 1989, (with Robert E. Burns and Peter A. Nagler).</w:t>
      </w:r>
    </w:p>
    <w:p w:rsidR="000F43E8" w:rsidRDefault="000F43E8" w:rsidP="000F43E8">
      <w:pPr>
        <w:spacing w:after="180"/>
        <w:rPr>
          <w:b/>
          <w:u w:val="single"/>
        </w:rPr>
      </w:pPr>
      <w:r>
        <w:t xml:space="preserve">The National Regulatory Research Institute, </w:t>
      </w:r>
      <w:r>
        <w:rPr>
          <w:i/>
        </w:rPr>
        <w:t>Competitive Bidding for Electric Generating Capacity: Application and Implementation</w:t>
      </w:r>
      <w:r>
        <w:t>, 1988 (with Robert E. Burns, Douglas N. Jones, and Mark Eifert).</w:t>
      </w:r>
      <w:r>
        <w:rPr>
          <w:b/>
          <w:u w:val="single"/>
        </w:rPr>
        <w:t xml:space="preserve"> </w:t>
      </w:r>
    </w:p>
    <w:p w:rsidR="000F43E8" w:rsidRDefault="000F43E8" w:rsidP="000F43E8">
      <w:pPr>
        <w:pStyle w:val="NoSpacing"/>
      </w:pPr>
    </w:p>
    <w:p w:rsidR="00AA6FB9" w:rsidRDefault="00AA6FB9" w:rsidP="000F43E8">
      <w:pPr>
        <w:ind w:left="720" w:hanging="720"/>
        <w:jc w:val="right"/>
      </w:pPr>
    </w:p>
    <w:sectPr w:rsidR="00AA6FB9" w:rsidSect="006F2EEF">
      <w:headerReference w:type="even" r:id="rId22"/>
      <w:headerReference w:type="default" r:id="rId23"/>
      <w:footerReference w:type="default" r:id="rId24"/>
      <w:headerReference w:type="first" r:id="rId25"/>
      <w:footerReference w:type="first" r:id="rId26"/>
      <w:pgSz w:w="12240" w:h="15840" w:code="1"/>
      <w:pgMar w:top="1440" w:right="1800" w:bottom="1440" w:left="180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9AA849" w15:done="0"/>
  <w15:commentEx w15:paraId="5736DEB8" w15:paraIdParent="5B9AA849" w15:done="0"/>
  <w15:commentEx w15:paraId="6F0B2F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FA2" w:rsidRDefault="00D30FA2">
      <w:r>
        <w:separator/>
      </w:r>
    </w:p>
  </w:endnote>
  <w:endnote w:type="continuationSeparator" w:id="0">
    <w:p w:rsidR="00D30FA2" w:rsidRDefault="00D3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4D3" w:rsidRDefault="008C04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50" w:rsidRDefault="0090705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4D3" w:rsidRDefault="008C04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50" w:rsidRDefault="00907050">
    <w:pPr>
      <w:pStyle w:val="Footer"/>
      <w:jc w:val="center"/>
    </w:pPr>
    <w:r>
      <w:t>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475329"/>
      <w:docPartObj>
        <w:docPartGallery w:val="Page Numbers (Bottom of Page)"/>
        <w:docPartUnique/>
      </w:docPartObj>
    </w:sdtPr>
    <w:sdtEndPr>
      <w:rPr>
        <w:noProof/>
      </w:rPr>
    </w:sdtEndPr>
    <w:sdtContent>
      <w:p w:rsidR="00907050" w:rsidRDefault="00907050">
        <w:pPr>
          <w:pStyle w:val="Footer"/>
          <w:jc w:val="center"/>
        </w:pPr>
        <w:r>
          <w:fldChar w:fldCharType="begin"/>
        </w:r>
        <w:r>
          <w:instrText xml:space="preserve"> PAGE   \* MERGEFORMAT </w:instrText>
        </w:r>
        <w:r>
          <w:fldChar w:fldCharType="separate"/>
        </w:r>
        <w:r w:rsidR="002177B8">
          <w:rPr>
            <w:noProof/>
          </w:rPr>
          <w:t>19</w:t>
        </w:r>
        <w:r>
          <w:rPr>
            <w:noProof/>
          </w:rPr>
          <w:fldChar w:fldCharType="end"/>
        </w:r>
      </w:p>
    </w:sdtContent>
  </w:sdt>
  <w:p w:rsidR="00907050" w:rsidRDefault="00907050">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50" w:rsidRDefault="00907050">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50" w:rsidRDefault="00907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FA2" w:rsidRDefault="00D30FA2">
      <w:r>
        <w:separator/>
      </w:r>
    </w:p>
  </w:footnote>
  <w:footnote w:type="continuationSeparator" w:id="0">
    <w:p w:rsidR="00D30FA2" w:rsidRDefault="00D30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50" w:rsidRDefault="008C17DD">
    <w:pPr>
      <w:pStyle w:val="Header"/>
    </w:pPr>
    <w:r>
      <w:rPr>
        <w:noProof/>
      </w:rPr>
      <w:pict w14:anchorId="25ADFC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61635" o:spid="_x0000_s2065" type="#_x0000_t136" style="position:absolute;margin-left:0;margin-top:0;width:522.05pt;height:87pt;rotation:315;z-index:-251655168;mso-position-horizontal:center;mso-position-horizontal-relative:margin;mso-position-vertical:center;mso-position-vertical-relative:margin" o:allowincell="f" fillcolor="#00b0f0" stroked="f">
          <v:fill opacity=".5"/>
          <v:textpath style="font-family:&quot;Times New Roman&quot;;font-size:1pt" string="CONFIDENTIAL"/>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50" w:rsidRDefault="008C17DD">
    <w:pPr>
      <w:pStyle w:val="Header"/>
    </w:pPr>
    <w:r>
      <w:rPr>
        <w:noProof/>
      </w:rPr>
      <w:pict w14:anchorId="19F44D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61644" o:spid="_x0000_s2074" type="#_x0000_t136" style="position:absolute;margin-left:0;margin-top:0;width:522.05pt;height:87pt;rotation:315;z-index:-251636736;mso-position-horizontal:center;mso-position-horizontal-relative:margin;mso-position-vertical:center;mso-position-vertical-relative:margin" o:allowincell="f" fillcolor="#00b0f0" stroked="f">
          <v:fill opacity=".5"/>
          <v:textpath style="font-family:&quot;Times New Roman&quot;;font-size:1pt" string="CONFIDENTIAL"/>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50" w:rsidRDefault="0090705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50" w:rsidRDefault="009070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50" w:rsidRDefault="00907050">
    <w:pPr>
      <w:pStyle w:val="Header"/>
    </w:pPr>
  </w:p>
  <w:p w:rsidR="00907050" w:rsidRDefault="009070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50" w:rsidRDefault="008C17DD">
    <w:pPr>
      <w:pStyle w:val="Header"/>
    </w:pPr>
    <w:r>
      <w:rPr>
        <w:noProof/>
      </w:rPr>
      <w:pict w14:anchorId="0259AE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61634" o:spid="_x0000_s2064" type="#_x0000_t136" style="position:absolute;margin-left:0;margin-top:0;width:522.05pt;height:87pt;rotation:315;z-index:-251657216;mso-position-horizontal:center;mso-position-horizontal-relative:margin;mso-position-vertical:center;mso-position-vertical-relative:margin" o:allowincell="f" fillcolor="#00b0f0" stroked="f">
          <v:fill opacity=".5"/>
          <v:textpath style="font-family:&quot;Times New Roman&quot;;font-size:1pt" string="CONFIDENTI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50" w:rsidRDefault="008C17DD">
    <w:pPr>
      <w:pStyle w:val="Header"/>
    </w:pPr>
    <w:r>
      <w:rPr>
        <w:noProof/>
      </w:rPr>
      <w:pict w14:anchorId="458971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61638" o:spid="_x0000_s2068" type="#_x0000_t136" style="position:absolute;margin-left:0;margin-top:0;width:522.05pt;height:87pt;rotation:315;z-index:-251649024;mso-position-horizontal:center;mso-position-horizontal-relative:margin;mso-position-vertical:center;mso-position-vertical-relative:margin" o:allowincell="f" fillcolor="#00b0f0" stroked="f">
          <v:fill opacity=".5"/>
          <v:textpath style="font-family:&quot;Times New Roman&quot;;font-size:1pt" string="CONFIDENTI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50" w:rsidRDefault="008C17DD">
    <w:pPr>
      <w:pStyle w:val="Header"/>
    </w:pPr>
    <w:r>
      <w:rPr>
        <w:noProof/>
      </w:rPr>
      <w:pict w14:anchorId="44CD2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61639" o:spid="_x0000_s2069" type="#_x0000_t136" style="position:absolute;margin-left:0;margin-top:0;width:522.05pt;height:87pt;rotation:315;z-index:-251646976;mso-position-horizontal:center;mso-position-horizontal-relative:margin;mso-position-vertical:center;mso-position-vertical-relative:margin" o:allowincell="f" fillcolor="#00b0f0" stroked="f">
          <v:fill opacity=".5"/>
          <v:textpath style="font-family:&quot;Times New Roman&quot;;font-size:1pt" string="CONFIDENTIAL"/>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50" w:rsidRDefault="0090705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50" w:rsidRDefault="008C17DD">
    <w:pPr>
      <w:pStyle w:val="Header"/>
    </w:pPr>
    <w:r>
      <w:rPr>
        <w:noProof/>
      </w:rPr>
      <w:pict w14:anchorId="640172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61641" o:spid="_x0000_s2071" type="#_x0000_t136" style="position:absolute;margin-left:0;margin-top:0;width:522.05pt;height:87pt;rotation:315;z-index:-251642880;mso-position-horizontal:center;mso-position-horizontal-relative:margin;mso-position-vertical:center;mso-position-vertical-relative:margin" o:allowincell="f" fillcolor="#00b0f0" stroked="f">
          <v:fill opacity=".5"/>
          <v:textpath style="font-family:&quot;Times New Roman&quot;;font-size:1pt" string="CONFIDENTIAL"/>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50" w:rsidRDefault="00907050">
    <w:pPr>
      <w:pStyle w:val="Header"/>
      <w:tabs>
        <w:tab w:val="left" w:pos="6937"/>
      </w:tabs>
      <w:jc w:val="center"/>
      <w:rPr>
        <w:b/>
        <w:i/>
        <w:iCs/>
        <w:sz w:val="20"/>
        <w:szCs w:val="20"/>
      </w:rPr>
    </w:pPr>
    <w:r>
      <w:rPr>
        <w:i/>
        <w:iCs/>
        <w:sz w:val="20"/>
        <w:szCs w:val="20"/>
      </w:rPr>
      <w:t>Testimony of Daniel J. Duann, Ph.D.</w:t>
    </w:r>
  </w:p>
  <w:p w:rsidR="00907050" w:rsidRDefault="00907050" w:rsidP="007C7553">
    <w:pPr>
      <w:pStyle w:val="Header"/>
      <w:tabs>
        <w:tab w:val="left" w:pos="6937"/>
      </w:tabs>
      <w:jc w:val="center"/>
      <w:rPr>
        <w:i/>
        <w:iCs/>
        <w:sz w:val="20"/>
        <w:szCs w:val="20"/>
      </w:rPr>
    </w:pPr>
    <w:r>
      <w:rPr>
        <w:i/>
        <w:iCs/>
        <w:sz w:val="20"/>
        <w:szCs w:val="20"/>
      </w:rPr>
      <w:t xml:space="preserve">On Behalf of The Office of the Ohio Consumers’ Counsel, </w:t>
    </w:r>
  </w:p>
  <w:p w:rsidR="00907050" w:rsidRDefault="00907050" w:rsidP="007C7553">
    <w:pPr>
      <w:pStyle w:val="Header"/>
      <w:tabs>
        <w:tab w:val="left" w:pos="6937"/>
      </w:tabs>
      <w:jc w:val="center"/>
      <w:rPr>
        <w:i/>
        <w:iCs/>
        <w:sz w:val="20"/>
        <w:szCs w:val="20"/>
      </w:rPr>
    </w:pPr>
    <w:r>
      <w:rPr>
        <w:i/>
        <w:iCs/>
        <w:sz w:val="20"/>
        <w:szCs w:val="20"/>
      </w:rPr>
      <w:t>PUCO Case No. 14-1693-EL-RDR, et al.</w:t>
    </w:r>
  </w:p>
  <w:p w:rsidR="00907050" w:rsidRDefault="0090705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50" w:rsidRDefault="008C17DD">
    <w:pPr>
      <w:pStyle w:val="Header"/>
    </w:pPr>
    <w:r>
      <w:rPr>
        <w:noProof/>
      </w:rPr>
      <w:pict w14:anchorId="618081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61640" o:spid="_x0000_s2070" type="#_x0000_t136" style="position:absolute;margin-left:0;margin-top:0;width:522.05pt;height:87pt;rotation:315;z-index:-251644928;mso-position-horizontal:center;mso-position-horizontal-relative:margin;mso-position-vertical:center;mso-position-vertical-relative:margin" o:allowincell="f" fillcolor="#00b0f0" stroked="f">
          <v:fill opacity=".5"/>
          <v:textpath style="font-family:&quot;Times New Roman&quot;;font-size:1pt" string="CONFIDENT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EE452"/>
    <w:lvl w:ilvl="0">
      <w:start w:val="1"/>
      <w:numFmt w:val="decimal"/>
      <w:lvlText w:val="%1."/>
      <w:lvlJc w:val="left"/>
      <w:pPr>
        <w:tabs>
          <w:tab w:val="num" w:pos="1800"/>
        </w:tabs>
        <w:ind w:left="1800" w:hanging="360"/>
      </w:pPr>
    </w:lvl>
  </w:abstractNum>
  <w:abstractNum w:abstractNumId="1">
    <w:nsid w:val="FFFFFF7D"/>
    <w:multiLevelType w:val="singleLevel"/>
    <w:tmpl w:val="9B940BE0"/>
    <w:lvl w:ilvl="0">
      <w:start w:val="1"/>
      <w:numFmt w:val="decimal"/>
      <w:lvlText w:val="%1."/>
      <w:lvlJc w:val="left"/>
      <w:pPr>
        <w:tabs>
          <w:tab w:val="num" w:pos="1440"/>
        </w:tabs>
        <w:ind w:left="1440" w:hanging="360"/>
      </w:pPr>
    </w:lvl>
  </w:abstractNum>
  <w:abstractNum w:abstractNumId="2">
    <w:nsid w:val="FFFFFF7E"/>
    <w:multiLevelType w:val="singleLevel"/>
    <w:tmpl w:val="C624DD22"/>
    <w:lvl w:ilvl="0">
      <w:start w:val="1"/>
      <w:numFmt w:val="decimal"/>
      <w:lvlText w:val="%1."/>
      <w:lvlJc w:val="left"/>
      <w:pPr>
        <w:tabs>
          <w:tab w:val="num" w:pos="1080"/>
        </w:tabs>
        <w:ind w:left="1080" w:hanging="360"/>
      </w:pPr>
    </w:lvl>
  </w:abstractNum>
  <w:abstractNum w:abstractNumId="3">
    <w:nsid w:val="FFFFFF7F"/>
    <w:multiLevelType w:val="singleLevel"/>
    <w:tmpl w:val="B516A5F6"/>
    <w:lvl w:ilvl="0">
      <w:start w:val="1"/>
      <w:numFmt w:val="decimal"/>
      <w:lvlText w:val="%1."/>
      <w:lvlJc w:val="left"/>
      <w:pPr>
        <w:tabs>
          <w:tab w:val="num" w:pos="720"/>
        </w:tabs>
        <w:ind w:left="720" w:hanging="360"/>
      </w:pPr>
    </w:lvl>
  </w:abstractNum>
  <w:abstractNum w:abstractNumId="4">
    <w:nsid w:val="FFFFFF80"/>
    <w:multiLevelType w:val="singleLevel"/>
    <w:tmpl w:val="DB3C0F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C68E7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44669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C1266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5C3B0C"/>
    <w:lvl w:ilvl="0">
      <w:start w:val="1"/>
      <w:numFmt w:val="decimal"/>
      <w:lvlText w:val="%1."/>
      <w:lvlJc w:val="left"/>
      <w:pPr>
        <w:tabs>
          <w:tab w:val="num" w:pos="360"/>
        </w:tabs>
        <w:ind w:left="360" w:hanging="360"/>
      </w:pPr>
    </w:lvl>
  </w:abstractNum>
  <w:abstractNum w:abstractNumId="9">
    <w:nsid w:val="FFFFFF89"/>
    <w:multiLevelType w:val="singleLevel"/>
    <w:tmpl w:val="C2BE66F0"/>
    <w:lvl w:ilvl="0">
      <w:start w:val="1"/>
      <w:numFmt w:val="bullet"/>
      <w:lvlText w:val=""/>
      <w:lvlJc w:val="left"/>
      <w:pPr>
        <w:tabs>
          <w:tab w:val="num" w:pos="360"/>
        </w:tabs>
        <w:ind w:left="360" w:hanging="360"/>
      </w:pPr>
      <w:rPr>
        <w:rFonts w:ascii="Symbol" w:hAnsi="Symbol" w:hint="default"/>
      </w:rPr>
    </w:lvl>
  </w:abstractNum>
  <w:abstractNum w:abstractNumId="10">
    <w:nsid w:val="0127689A"/>
    <w:multiLevelType w:val="hybridMultilevel"/>
    <w:tmpl w:val="C1405798"/>
    <w:lvl w:ilvl="0" w:tplc="E1B8FD72">
      <w:start w:val="1"/>
      <w:numFmt w:val="upperRoman"/>
      <w:lvlText w:val="%1."/>
      <w:lvlJc w:val="left"/>
      <w:pPr>
        <w:tabs>
          <w:tab w:val="num" w:pos="180"/>
        </w:tabs>
        <w:ind w:left="1260" w:hanging="10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74B06B0"/>
    <w:multiLevelType w:val="hybridMultilevel"/>
    <w:tmpl w:val="5EEC0AC2"/>
    <w:lvl w:ilvl="0" w:tplc="2B3616DE">
      <w:start w:val="1"/>
      <w:numFmt w:val="upperLetter"/>
      <w:pStyle w:val="Heading2"/>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AE81CAB"/>
    <w:multiLevelType w:val="hybridMultilevel"/>
    <w:tmpl w:val="29FE4E56"/>
    <w:lvl w:ilvl="0" w:tplc="E60E4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DDB4DBF"/>
    <w:multiLevelType w:val="hybridMultilevel"/>
    <w:tmpl w:val="67848F66"/>
    <w:lvl w:ilvl="0" w:tplc="86422B08">
      <w:start w:val="1"/>
      <w:numFmt w:val="decimal"/>
      <w:lvlText w:val="%1."/>
      <w:lvlJc w:val="left"/>
      <w:pPr>
        <w:tabs>
          <w:tab w:val="num" w:pos="360"/>
        </w:tabs>
        <w:ind w:left="360" w:hanging="360"/>
      </w:pPr>
      <w:rPr>
        <w:rFonts w:hint="default"/>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00B346B"/>
    <w:multiLevelType w:val="hybridMultilevel"/>
    <w:tmpl w:val="B9A6B5D6"/>
    <w:lvl w:ilvl="0" w:tplc="FCC84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5F93916"/>
    <w:multiLevelType w:val="hybridMultilevel"/>
    <w:tmpl w:val="A77CC0D4"/>
    <w:lvl w:ilvl="0" w:tplc="15B4F998">
      <w:start w:val="1"/>
      <w:numFmt w:val="decimal"/>
      <w:lvlText w:val="(%1)"/>
      <w:lvlJc w:val="left"/>
      <w:pPr>
        <w:ind w:left="1080" w:hanging="360"/>
      </w:pPr>
      <w:rPr>
        <w:rFonts w:ascii="Times New Roman" w:hAnsi="Times New Roman" w:cs="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CB87AF4"/>
    <w:multiLevelType w:val="multilevel"/>
    <w:tmpl w:val="059699D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DC0032E"/>
    <w:multiLevelType w:val="hybridMultilevel"/>
    <w:tmpl w:val="189EE3E6"/>
    <w:lvl w:ilvl="0" w:tplc="9F68C2E2">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EFA174D"/>
    <w:multiLevelType w:val="hybridMultilevel"/>
    <w:tmpl w:val="6F6E43C8"/>
    <w:lvl w:ilvl="0" w:tplc="C096DA00">
      <w:start w:val="1"/>
      <w:numFmt w:val="decimal"/>
      <w:lvlText w:val="(%1)"/>
      <w:lvlJc w:val="left"/>
      <w:pPr>
        <w:ind w:left="1710" w:hanging="360"/>
      </w:pPr>
      <w:rPr>
        <w:rFonts w:ascii="Times New Roman" w:hAnsi="Times New Roman" w:cs="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23262FD7"/>
    <w:multiLevelType w:val="hybridMultilevel"/>
    <w:tmpl w:val="BC8E0648"/>
    <w:lvl w:ilvl="0" w:tplc="2C24D9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B4C38C3"/>
    <w:multiLevelType w:val="hybridMultilevel"/>
    <w:tmpl w:val="0A26ADDE"/>
    <w:lvl w:ilvl="0" w:tplc="45E6E128">
      <w:start w:val="1"/>
      <w:numFmt w:val="upperRoman"/>
      <w:lvlText w:val="%1."/>
      <w:lvlJc w:val="righ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2675BB5"/>
    <w:multiLevelType w:val="hybridMultilevel"/>
    <w:tmpl w:val="2CEA58F2"/>
    <w:lvl w:ilvl="0" w:tplc="C414D1AE">
      <w:start w:val="2"/>
      <w:numFmt w:val="upperRoman"/>
      <w:lvlText w:val="%1."/>
      <w:lvlJc w:val="left"/>
      <w:pPr>
        <w:ind w:left="1170" w:hanging="720"/>
      </w:pPr>
      <w:rPr>
        <w:rFonts w:hint="default"/>
        <w:b/>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3BDE6D69"/>
    <w:multiLevelType w:val="hybridMultilevel"/>
    <w:tmpl w:val="E544E180"/>
    <w:lvl w:ilvl="0" w:tplc="6B58756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nsid w:val="3C611D82"/>
    <w:multiLevelType w:val="hybridMultilevel"/>
    <w:tmpl w:val="0A26ADDE"/>
    <w:lvl w:ilvl="0" w:tplc="45E6E128">
      <w:start w:val="1"/>
      <w:numFmt w:val="upperRoman"/>
      <w:lvlText w:val="%1."/>
      <w:lvlJc w:val="righ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D564447"/>
    <w:multiLevelType w:val="hybridMultilevel"/>
    <w:tmpl w:val="41D4BBE0"/>
    <w:lvl w:ilvl="0" w:tplc="85A0B5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3AA1A49"/>
    <w:multiLevelType w:val="hybridMultilevel"/>
    <w:tmpl w:val="FE44FED8"/>
    <w:lvl w:ilvl="0" w:tplc="74625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952C5A"/>
    <w:multiLevelType w:val="hybridMultilevel"/>
    <w:tmpl w:val="9A901568"/>
    <w:lvl w:ilvl="0" w:tplc="ADAAC906">
      <w:start w:val="5"/>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D5B64EF"/>
    <w:multiLevelType w:val="hybridMultilevel"/>
    <w:tmpl w:val="BBE01C08"/>
    <w:lvl w:ilvl="0" w:tplc="81ECCAC0">
      <w:start w:val="1"/>
      <w:numFmt w:val="decimal"/>
      <w:lvlText w:val="(%1)"/>
      <w:lvlJc w:val="left"/>
      <w:pPr>
        <w:ind w:left="1800" w:hanging="360"/>
      </w:pPr>
      <w:rPr>
        <w:rFonts w:hint="default"/>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28">
    <w:nsid w:val="526666F6"/>
    <w:multiLevelType w:val="hybridMultilevel"/>
    <w:tmpl w:val="DA96595A"/>
    <w:lvl w:ilvl="0" w:tplc="74625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DE063B"/>
    <w:multiLevelType w:val="hybridMultilevel"/>
    <w:tmpl w:val="54BAF8C4"/>
    <w:lvl w:ilvl="0" w:tplc="C686BF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9C76E4A"/>
    <w:multiLevelType w:val="hybridMultilevel"/>
    <w:tmpl w:val="D3B0875A"/>
    <w:lvl w:ilvl="0" w:tplc="74625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F726A6"/>
    <w:multiLevelType w:val="hybridMultilevel"/>
    <w:tmpl w:val="E702DA64"/>
    <w:lvl w:ilvl="0" w:tplc="86422B08">
      <w:start w:val="1"/>
      <w:numFmt w:val="decimal"/>
      <w:lvlText w:val="%1."/>
      <w:lvlJc w:val="left"/>
      <w:pPr>
        <w:tabs>
          <w:tab w:val="num" w:pos="630"/>
        </w:tabs>
        <w:ind w:left="630" w:hanging="360"/>
      </w:pPr>
      <w:rPr>
        <w:rFonts w:hint="default"/>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6A38A4"/>
    <w:multiLevelType w:val="hybridMultilevel"/>
    <w:tmpl w:val="DA96595A"/>
    <w:lvl w:ilvl="0" w:tplc="74625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CC20E68"/>
    <w:multiLevelType w:val="hybridMultilevel"/>
    <w:tmpl w:val="194CBE1A"/>
    <w:lvl w:ilvl="0" w:tplc="74625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21E2DA2"/>
    <w:multiLevelType w:val="hybridMultilevel"/>
    <w:tmpl w:val="CEB46412"/>
    <w:lvl w:ilvl="0" w:tplc="7462516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7A310270"/>
    <w:multiLevelType w:val="hybridMultilevel"/>
    <w:tmpl w:val="CB923B06"/>
    <w:lvl w:ilvl="0" w:tplc="C37C165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E777433"/>
    <w:multiLevelType w:val="hybridMultilevel"/>
    <w:tmpl w:val="4614018C"/>
    <w:lvl w:ilvl="0" w:tplc="264C8D6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3"/>
  </w:num>
  <w:num w:numId="2">
    <w:abstractNumId w:val="20"/>
  </w:num>
  <w:num w:numId="3">
    <w:abstractNumId w:val="22"/>
  </w:num>
  <w:num w:numId="4">
    <w:abstractNumId w:val="35"/>
  </w:num>
  <w:num w:numId="5">
    <w:abstractNumId w:val="29"/>
  </w:num>
  <w:num w:numId="6">
    <w:abstractNumId w:val="10"/>
  </w:num>
  <w:num w:numId="7">
    <w:abstractNumId w:val="16"/>
  </w:num>
  <w:num w:numId="8">
    <w:abstractNumId w:val="27"/>
  </w:num>
  <w:num w:numId="9">
    <w:abstractNumId w:val="13"/>
  </w:num>
  <w:num w:numId="10">
    <w:abstractNumId w:val="24"/>
  </w:num>
  <w:num w:numId="11">
    <w:abstractNumId w:val="2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31"/>
  </w:num>
  <w:num w:numId="24">
    <w:abstractNumId w:val="36"/>
  </w:num>
  <w:num w:numId="25">
    <w:abstractNumId w:val="19"/>
  </w:num>
  <w:num w:numId="26">
    <w:abstractNumId w:val="14"/>
  </w:num>
  <w:num w:numId="27">
    <w:abstractNumId w:val="18"/>
  </w:num>
  <w:num w:numId="28">
    <w:abstractNumId w:val="11"/>
  </w:num>
  <w:num w:numId="29">
    <w:abstractNumId w:val="12"/>
  </w:num>
  <w:num w:numId="30">
    <w:abstractNumId w:val="21"/>
  </w:num>
  <w:num w:numId="31">
    <w:abstractNumId w:val="32"/>
  </w:num>
  <w:num w:numId="32">
    <w:abstractNumId w:val="15"/>
  </w:num>
  <w:num w:numId="33">
    <w:abstractNumId w:val="34"/>
  </w:num>
  <w:num w:numId="34">
    <w:abstractNumId w:val="33"/>
  </w:num>
  <w:num w:numId="35">
    <w:abstractNumId w:val="25"/>
  </w:num>
  <w:num w:numId="36">
    <w:abstractNumId w:val="3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characterSpacingControl w:val="doNotCompress"/>
  <w:doNotValidateAgainstSchema/>
  <w:doNotDemarcateInvalidXml/>
  <w:hdrShapeDefaults>
    <o:shapedefaults v:ext="edit" spidmax="207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B9"/>
    <w:rsid w:val="000109CA"/>
    <w:rsid w:val="000328D9"/>
    <w:rsid w:val="00044629"/>
    <w:rsid w:val="00044DAC"/>
    <w:rsid w:val="0004724F"/>
    <w:rsid w:val="00047936"/>
    <w:rsid w:val="00076D46"/>
    <w:rsid w:val="00085EC6"/>
    <w:rsid w:val="000A2657"/>
    <w:rsid w:val="000C24C4"/>
    <w:rsid w:val="000D0C1A"/>
    <w:rsid w:val="000D40B3"/>
    <w:rsid w:val="000E0838"/>
    <w:rsid w:val="000F43E8"/>
    <w:rsid w:val="00105987"/>
    <w:rsid w:val="00110865"/>
    <w:rsid w:val="001175E0"/>
    <w:rsid w:val="00126D6A"/>
    <w:rsid w:val="0013263F"/>
    <w:rsid w:val="00140ED3"/>
    <w:rsid w:val="00147B0C"/>
    <w:rsid w:val="001504F1"/>
    <w:rsid w:val="00150AC3"/>
    <w:rsid w:val="00164C5E"/>
    <w:rsid w:val="00165550"/>
    <w:rsid w:val="00167848"/>
    <w:rsid w:val="00192243"/>
    <w:rsid w:val="00195FCC"/>
    <w:rsid w:val="001B4226"/>
    <w:rsid w:val="001B5E75"/>
    <w:rsid w:val="001E0C15"/>
    <w:rsid w:val="001E1FEE"/>
    <w:rsid w:val="001E6F88"/>
    <w:rsid w:val="001F47E8"/>
    <w:rsid w:val="00206967"/>
    <w:rsid w:val="002177B8"/>
    <w:rsid w:val="0022331F"/>
    <w:rsid w:val="002268FC"/>
    <w:rsid w:val="00226D1C"/>
    <w:rsid w:val="0023196E"/>
    <w:rsid w:val="002565B9"/>
    <w:rsid w:val="00274381"/>
    <w:rsid w:val="00291015"/>
    <w:rsid w:val="002A1121"/>
    <w:rsid w:val="002A4D51"/>
    <w:rsid w:val="002B1140"/>
    <w:rsid w:val="002B216A"/>
    <w:rsid w:val="002D2682"/>
    <w:rsid w:val="002E62AC"/>
    <w:rsid w:val="00304857"/>
    <w:rsid w:val="00310346"/>
    <w:rsid w:val="00316A9E"/>
    <w:rsid w:val="00332C0F"/>
    <w:rsid w:val="00337E4C"/>
    <w:rsid w:val="00355F2A"/>
    <w:rsid w:val="003579D2"/>
    <w:rsid w:val="00365778"/>
    <w:rsid w:val="00370872"/>
    <w:rsid w:val="00382BB7"/>
    <w:rsid w:val="00392314"/>
    <w:rsid w:val="003B1FC7"/>
    <w:rsid w:val="003B229F"/>
    <w:rsid w:val="003C3F00"/>
    <w:rsid w:val="003D5C52"/>
    <w:rsid w:val="003E6365"/>
    <w:rsid w:val="003F0927"/>
    <w:rsid w:val="00406BD5"/>
    <w:rsid w:val="00415CC8"/>
    <w:rsid w:val="0043683B"/>
    <w:rsid w:val="00445BBE"/>
    <w:rsid w:val="0044680D"/>
    <w:rsid w:val="004543E3"/>
    <w:rsid w:val="00477A0A"/>
    <w:rsid w:val="004A0E63"/>
    <w:rsid w:val="004C5F35"/>
    <w:rsid w:val="004D5B5C"/>
    <w:rsid w:val="004D5B81"/>
    <w:rsid w:val="004D7720"/>
    <w:rsid w:val="004E53E8"/>
    <w:rsid w:val="004E5E3C"/>
    <w:rsid w:val="004E7CA7"/>
    <w:rsid w:val="004F1224"/>
    <w:rsid w:val="0052203F"/>
    <w:rsid w:val="005370BF"/>
    <w:rsid w:val="005425C3"/>
    <w:rsid w:val="00545B23"/>
    <w:rsid w:val="00561333"/>
    <w:rsid w:val="005635AB"/>
    <w:rsid w:val="00564857"/>
    <w:rsid w:val="00565748"/>
    <w:rsid w:val="00567249"/>
    <w:rsid w:val="00574D7C"/>
    <w:rsid w:val="00580F94"/>
    <w:rsid w:val="0059696E"/>
    <w:rsid w:val="005A2C01"/>
    <w:rsid w:val="005A5465"/>
    <w:rsid w:val="005B6087"/>
    <w:rsid w:val="005E002D"/>
    <w:rsid w:val="005F0A1C"/>
    <w:rsid w:val="0061371C"/>
    <w:rsid w:val="00625569"/>
    <w:rsid w:val="00662599"/>
    <w:rsid w:val="00671FA9"/>
    <w:rsid w:val="006812F3"/>
    <w:rsid w:val="00684D28"/>
    <w:rsid w:val="00684EB0"/>
    <w:rsid w:val="006866E0"/>
    <w:rsid w:val="0069065F"/>
    <w:rsid w:val="006B0D5C"/>
    <w:rsid w:val="006C229C"/>
    <w:rsid w:val="006C6370"/>
    <w:rsid w:val="006F2EEF"/>
    <w:rsid w:val="00706957"/>
    <w:rsid w:val="00712160"/>
    <w:rsid w:val="00721EB8"/>
    <w:rsid w:val="00725251"/>
    <w:rsid w:val="00760B48"/>
    <w:rsid w:val="0076615E"/>
    <w:rsid w:val="00770CDD"/>
    <w:rsid w:val="00770E54"/>
    <w:rsid w:val="0077285A"/>
    <w:rsid w:val="00780392"/>
    <w:rsid w:val="00790972"/>
    <w:rsid w:val="00792AA1"/>
    <w:rsid w:val="007A0ADC"/>
    <w:rsid w:val="007A0CA0"/>
    <w:rsid w:val="007A22E6"/>
    <w:rsid w:val="007C7553"/>
    <w:rsid w:val="007D6C68"/>
    <w:rsid w:val="007E311E"/>
    <w:rsid w:val="00804B40"/>
    <w:rsid w:val="0080539B"/>
    <w:rsid w:val="00807B52"/>
    <w:rsid w:val="00814B12"/>
    <w:rsid w:val="00814FC3"/>
    <w:rsid w:val="008257CB"/>
    <w:rsid w:val="0083431E"/>
    <w:rsid w:val="00842F67"/>
    <w:rsid w:val="00852A68"/>
    <w:rsid w:val="00857110"/>
    <w:rsid w:val="00870C6E"/>
    <w:rsid w:val="00872E18"/>
    <w:rsid w:val="00881314"/>
    <w:rsid w:val="008849A9"/>
    <w:rsid w:val="008B48A0"/>
    <w:rsid w:val="008C04D3"/>
    <w:rsid w:val="008C0716"/>
    <w:rsid w:val="008C17DD"/>
    <w:rsid w:val="008E0372"/>
    <w:rsid w:val="008F09B4"/>
    <w:rsid w:val="00902BF6"/>
    <w:rsid w:val="00907050"/>
    <w:rsid w:val="00911A17"/>
    <w:rsid w:val="00920050"/>
    <w:rsid w:val="009211D5"/>
    <w:rsid w:val="009307AD"/>
    <w:rsid w:val="00935A46"/>
    <w:rsid w:val="00937C5A"/>
    <w:rsid w:val="009445EA"/>
    <w:rsid w:val="0094696E"/>
    <w:rsid w:val="009469F9"/>
    <w:rsid w:val="009544F1"/>
    <w:rsid w:val="00955D40"/>
    <w:rsid w:val="00961E01"/>
    <w:rsid w:val="00984C38"/>
    <w:rsid w:val="00985807"/>
    <w:rsid w:val="00993F62"/>
    <w:rsid w:val="009A5AAE"/>
    <w:rsid w:val="009C6A20"/>
    <w:rsid w:val="009C7618"/>
    <w:rsid w:val="009E3B83"/>
    <w:rsid w:val="009F01D4"/>
    <w:rsid w:val="009F349B"/>
    <w:rsid w:val="00A005B6"/>
    <w:rsid w:val="00A45B9F"/>
    <w:rsid w:val="00A708F4"/>
    <w:rsid w:val="00A744F1"/>
    <w:rsid w:val="00A87AF7"/>
    <w:rsid w:val="00A95687"/>
    <w:rsid w:val="00AA3B58"/>
    <w:rsid w:val="00AA3E3C"/>
    <w:rsid w:val="00AA6FB9"/>
    <w:rsid w:val="00AB1D3E"/>
    <w:rsid w:val="00AB74C5"/>
    <w:rsid w:val="00AC2E3B"/>
    <w:rsid w:val="00AC3C4B"/>
    <w:rsid w:val="00AD0B64"/>
    <w:rsid w:val="00AD1D2A"/>
    <w:rsid w:val="00AD239B"/>
    <w:rsid w:val="00AE3F8C"/>
    <w:rsid w:val="00AF506C"/>
    <w:rsid w:val="00B058DD"/>
    <w:rsid w:val="00B10B7B"/>
    <w:rsid w:val="00B10C0D"/>
    <w:rsid w:val="00B10CB6"/>
    <w:rsid w:val="00B22259"/>
    <w:rsid w:val="00B42A60"/>
    <w:rsid w:val="00B65093"/>
    <w:rsid w:val="00B70427"/>
    <w:rsid w:val="00B77313"/>
    <w:rsid w:val="00B87211"/>
    <w:rsid w:val="00BB04FD"/>
    <w:rsid w:val="00BB33F2"/>
    <w:rsid w:val="00BB47A2"/>
    <w:rsid w:val="00BC6CD6"/>
    <w:rsid w:val="00BF0B99"/>
    <w:rsid w:val="00C04C91"/>
    <w:rsid w:val="00C102EB"/>
    <w:rsid w:val="00C14E5D"/>
    <w:rsid w:val="00C16CEF"/>
    <w:rsid w:val="00C344F1"/>
    <w:rsid w:val="00C43FCB"/>
    <w:rsid w:val="00C47B58"/>
    <w:rsid w:val="00C6478F"/>
    <w:rsid w:val="00C64C23"/>
    <w:rsid w:val="00C90687"/>
    <w:rsid w:val="00C91B2C"/>
    <w:rsid w:val="00CA3141"/>
    <w:rsid w:val="00CA628B"/>
    <w:rsid w:val="00CB30A4"/>
    <w:rsid w:val="00CC5CA0"/>
    <w:rsid w:val="00CC7510"/>
    <w:rsid w:val="00CD02F7"/>
    <w:rsid w:val="00CD3701"/>
    <w:rsid w:val="00D03276"/>
    <w:rsid w:val="00D04A0A"/>
    <w:rsid w:val="00D07A52"/>
    <w:rsid w:val="00D16D64"/>
    <w:rsid w:val="00D2082E"/>
    <w:rsid w:val="00D227CD"/>
    <w:rsid w:val="00D30FA2"/>
    <w:rsid w:val="00D37DD9"/>
    <w:rsid w:val="00D575D2"/>
    <w:rsid w:val="00D75C5E"/>
    <w:rsid w:val="00D8341F"/>
    <w:rsid w:val="00D8447C"/>
    <w:rsid w:val="00D84BC9"/>
    <w:rsid w:val="00DA090A"/>
    <w:rsid w:val="00DA4984"/>
    <w:rsid w:val="00DB6181"/>
    <w:rsid w:val="00DC5BF0"/>
    <w:rsid w:val="00DD0738"/>
    <w:rsid w:val="00DD2C05"/>
    <w:rsid w:val="00DD374D"/>
    <w:rsid w:val="00DD4103"/>
    <w:rsid w:val="00DD6509"/>
    <w:rsid w:val="00DF2E88"/>
    <w:rsid w:val="00DF557B"/>
    <w:rsid w:val="00E00BD3"/>
    <w:rsid w:val="00E04C72"/>
    <w:rsid w:val="00E16DF2"/>
    <w:rsid w:val="00E23B30"/>
    <w:rsid w:val="00E35E97"/>
    <w:rsid w:val="00E43C47"/>
    <w:rsid w:val="00E47176"/>
    <w:rsid w:val="00E56DCF"/>
    <w:rsid w:val="00E70280"/>
    <w:rsid w:val="00E81D2E"/>
    <w:rsid w:val="00E9150C"/>
    <w:rsid w:val="00E97938"/>
    <w:rsid w:val="00EA4A08"/>
    <w:rsid w:val="00EB33A8"/>
    <w:rsid w:val="00EB4939"/>
    <w:rsid w:val="00EB78D5"/>
    <w:rsid w:val="00EE0A62"/>
    <w:rsid w:val="00EE67C9"/>
    <w:rsid w:val="00F04774"/>
    <w:rsid w:val="00F12D01"/>
    <w:rsid w:val="00F134E2"/>
    <w:rsid w:val="00F1480B"/>
    <w:rsid w:val="00F15E81"/>
    <w:rsid w:val="00F24307"/>
    <w:rsid w:val="00F37EEA"/>
    <w:rsid w:val="00F503D3"/>
    <w:rsid w:val="00F54E4F"/>
    <w:rsid w:val="00F700A7"/>
    <w:rsid w:val="00F73AB7"/>
    <w:rsid w:val="00F95F1A"/>
    <w:rsid w:val="00F961BF"/>
    <w:rsid w:val="00FA02CD"/>
    <w:rsid w:val="00FA7F07"/>
    <w:rsid w:val="00FC14CB"/>
    <w:rsid w:val="00FD412D"/>
    <w:rsid w:val="00FE2848"/>
    <w:rsid w:val="00FF3102"/>
    <w:rsid w:val="00FF4BEC"/>
    <w:rsid w:val="00FF7753"/>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autoSpaceDE w:val="0"/>
      <w:autoSpaceDN w:val="0"/>
      <w:adjustRightInd w:val="0"/>
      <w:spacing w:line="480" w:lineRule="auto"/>
      <w:outlineLvl w:val="0"/>
    </w:pPr>
    <w:rPr>
      <w:rFonts w:ascii="Times New Roman Bold" w:hAnsi="Times New Roman Bold"/>
      <w:b/>
      <w:bCs/>
      <w:caps/>
    </w:rPr>
  </w:style>
  <w:style w:type="paragraph" w:styleId="Heading2">
    <w:name w:val="heading 2"/>
    <w:basedOn w:val="ListParagraph"/>
    <w:next w:val="Normal"/>
    <w:link w:val="Heading2Char"/>
    <w:uiPriority w:val="99"/>
    <w:qFormat/>
    <w:pPr>
      <w:numPr>
        <w:numId w:val="28"/>
      </w:numPr>
      <w:spacing w:line="480" w:lineRule="auto"/>
      <w:ind w:leftChars="0" w:left="1440" w:hanging="720"/>
      <w:outlineLvl w:val="1"/>
    </w:pPr>
    <w:rPr>
      <w:rFonts w:ascii="Times New Roman" w:hAnsi="Times New Roman"/>
      <w:b/>
    </w:rPr>
  </w:style>
  <w:style w:type="paragraph" w:styleId="Heading3">
    <w:name w:val="heading 3"/>
    <w:basedOn w:val="Normal"/>
    <w:next w:val="Normal"/>
    <w:link w:val="Heading3Char"/>
    <w:uiPriority w:val="99"/>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imes New Roman Bold" w:hAnsi="Times New Roman Bold"/>
      <w:b/>
      <w:bCs/>
      <w:caps/>
      <w:sz w:val="24"/>
      <w:szCs w:val="24"/>
    </w:rPr>
  </w:style>
  <w:style w:type="character" w:customStyle="1" w:styleId="Heading2Char">
    <w:name w:val="Heading 2 Char"/>
    <w:link w:val="Heading2"/>
    <w:uiPriority w:val="99"/>
    <w:locked/>
    <w:rPr>
      <w:b/>
      <w:kern w:val="2"/>
      <w:sz w:val="24"/>
      <w:szCs w:val="22"/>
      <w:lang w:eastAsia="zh-TW"/>
    </w:rPr>
  </w:style>
  <w:style w:type="character" w:customStyle="1" w:styleId="Heading3Char">
    <w:name w:val="Heading 3 Char"/>
    <w:link w:val="Heading3"/>
    <w:uiPriority w:val="99"/>
    <w:semiHidden/>
    <w:locked/>
    <w:rPr>
      <w:rFonts w:ascii="Cambria" w:hAnsi="Cambria" w:cs="Cambria"/>
      <w:b/>
      <w:bCs/>
      <w:sz w:val="26"/>
      <w:szCs w:val="26"/>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style>
  <w:style w:type="paragraph" w:styleId="BodyText">
    <w:name w:val="Body Text"/>
    <w:basedOn w:val="Normal"/>
    <w:link w:val="BodyTextChar"/>
    <w:uiPriority w:val="99"/>
    <w:pPr>
      <w:spacing w:line="480" w:lineRule="auto"/>
      <w:ind w:left="720"/>
    </w:pPr>
    <w:rPr>
      <w:iCs/>
    </w:rPr>
  </w:style>
  <w:style w:type="character" w:customStyle="1" w:styleId="BodyTextChar">
    <w:name w:val="Body Text Char"/>
    <w:link w:val="BodyText"/>
    <w:uiPriority w:val="99"/>
    <w:locked/>
    <w:rPr>
      <w:iCs/>
      <w:sz w:val="24"/>
      <w:szCs w:val="24"/>
    </w:rPr>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Footnote Text Char,ft,fn C"/>
    <w:basedOn w:val="Normal"/>
    <w:link w:val="FootnoteTextChar3"/>
    <w:pPr>
      <w:spacing w:before="120"/>
    </w:pPr>
    <w:rPr>
      <w:sz w:val="20"/>
      <w:szCs w:val="20"/>
    </w:rPr>
  </w:style>
  <w:style w:type="character" w:customStyle="1" w:styleId="FootnoteTextChar2">
    <w:name w:val="Footnote Text Char2"/>
    <w:aliases w:val="Footnote Text Char1 Char,Footnote Text Char Char Char,Footnote Text Char1 Char Char1 Char,Footnote Text Char Char Char Char Char,Footnote Text Char2 Char Char Char Char1 Char,Footnote Text Char1 Char Char1 Char Char Char Char,fn Char"/>
    <w:rPr>
      <w:sz w:val="20"/>
      <w:szCs w:val="20"/>
    </w:rPr>
  </w:style>
  <w:style w:type="character" w:customStyle="1" w:styleId="FootnoteTextChar21">
    <w:name w:val="Footnote Text Char21"/>
    <w:aliases w:val="Footnote Text Char1 Char3,Footnote Text Char Char Char3,Footnote Text Char1 Char Char1 Char3,Footnote Text Char Char Char Char Char3,Footnote Text Char2 Char Char Char Char1 Char3,Footnote Text Char1 Char Char1 Char Char Char Char3"/>
    <w:uiPriority w:val="99"/>
    <w:semiHidden/>
    <w:rPr>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
    <w:uiPriority w:val="99"/>
    <w:rPr>
      <w:vertAlign w:val="superscript"/>
    </w:rPr>
  </w:style>
  <w:style w:type="character" w:customStyle="1" w:styleId="FootnoteTextChar1Char2">
    <w:name w:val="Footnote Text Char1 Char2"/>
    <w:aliases w:val="Footnote Text Char Char Char2,Footnote Text Char1 Char Char1 Char2,Footnote Text Char Char Char Char Char2,Footnote Text Char2 Char Char Char Char1 Char2,Footnote Text Char1 Char Char1 Char Char Char Char2,ALTS FOOTNOTE Char"/>
    <w:uiPriority w:val="99"/>
    <w:locked/>
    <w:rPr>
      <w:lang w:val="en-US" w:eastAsia="en-US"/>
    </w:rPr>
  </w:style>
  <w:style w:type="character" w:styleId="Hyperlink">
    <w:name w:val="Hyperlink"/>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Pr>
      <w:rFonts w:ascii="Courier New" w:hAnsi="Courier New" w:cs="Courier New"/>
      <w:sz w:val="20"/>
      <w:szCs w:val="20"/>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99"/>
    <w:locked/>
    <w:rPr>
      <w:b/>
      <w:bCs/>
      <w:sz w:val="24"/>
      <w:szCs w:val="24"/>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TOC1">
    <w:name w:val="toc 1"/>
    <w:basedOn w:val="Normal"/>
    <w:next w:val="Normal"/>
    <w:autoRedefine/>
    <w:uiPriority w:val="39"/>
    <w:qFormat/>
    <w:pPr>
      <w:tabs>
        <w:tab w:val="left" w:pos="720"/>
        <w:tab w:val="decimal" w:leader="dot" w:pos="8640"/>
      </w:tabs>
      <w:spacing w:line="480" w:lineRule="auto"/>
      <w:ind w:left="720" w:hanging="720"/>
      <w:jc w:val="center"/>
    </w:pPr>
    <w:rPr>
      <w:caps/>
    </w:rPr>
  </w:style>
  <w:style w:type="paragraph" w:styleId="List2">
    <w:name w:val="List 2"/>
    <w:basedOn w:val="Normal"/>
    <w:uiPriority w:val="99"/>
    <w:pPr>
      <w:ind w:left="720" w:hanging="360"/>
    </w:p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uiPriority w:val="99"/>
    <w:semiHidden/>
    <w:locked/>
    <w:rPr>
      <w:rFonts w:ascii="Courier New" w:hAnsi="Courier New" w:cs="Courier New"/>
      <w:lang w:val="en-US" w:eastAsia="en-US"/>
    </w:rPr>
  </w:style>
  <w:style w:type="character" w:styleId="LineNumber">
    <w:name w:val="line number"/>
    <w:basedOn w:val="DefaultParagraphFont"/>
    <w:uiPriority w:val="99"/>
  </w:style>
  <w:style w:type="paragraph" w:styleId="EndnoteText">
    <w:name w:val="endnote text"/>
    <w:basedOn w:val="Normal"/>
    <w:link w:val="EndnoteTextChar"/>
    <w:uiPriority w:val="99"/>
    <w:semiHidden/>
    <w:pPr>
      <w:widowControl w:val="0"/>
      <w:snapToGrid w:val="0"/>
    </w:pPr>
    <w:rPr>
      <w:rFonts w:ascii="Courier New" w:hAnsi="Courier New"/>
    </w:rPr>
  </w:style>
  <w:style w:type="character" w:customStyle="1" w:styleId="EndnoteTextChar">
    <w:name w:val="Endnote Text Char"/>
    <w:link w:val="EndnoteText"/>
    <w:uiPriority w:val="99"/>
    <w:semiHidden/>
    <w:locked/>
    <w:rPr>
      <w:rFonts w:ascii="Courier New" w:hAnsi="Courier New" w:cs="Courier New"/>
      <w:sz w:val="24"/>
      <w:szCs w:val="24"/>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locked/>
    <w:rPr>
      <w:sz w:val="20"/>
      <w:szCs w:val="20"/>
    </w:rPr>
  </w:style>
  <w:style w:type="paragraph" w:styleId="DocumentMap">
    <w:name w:val="Document Map"/>
    <w:basedOn w:val="Normal"/>
    <w:link w:val="DocumentMapChar"/>
    <w:uiPriority w:val="99"/>
    <w:semiHidden/>
    <w:pPr>
      <w:shd w:val="clear" w:color="auto" w:fill="000080"/>
    </w:pPr>
    <w:rPr>
      <w:sz w:val="2"/>
      <w:szCs w:val="2"/>
    </w:rPr>
  </w:style>
  <w:style w:type="character" w:customStyle="1" w:styleId="DocumentMapChar">
    <w:name w:val="Document Map Char"/>
    <w:link w:val="DocumentMap"/>
    <w:uiPriority w:val="99"/>
    <w:semiHidden/>
    <w:locked/>
    <w:rPr>
      <w:sz w:val="2"/>
      <w:szCs w:val="2"/>
    </w:rPr>
  </w:style>
  <w:style w:type="paragraph" w:customStyle="1" w:styleId="DefaultParagraphFontParaCharCharCharCharCharCharChar">
    <w:name w:val="Default Paragraph Font Para Char Char Char Char Char Char Char"/>
    <w:basedOn w:val="Normal"/>
    <w:uiPriority w:val="99"/>
    <w:pPr>
      <w:widowControl w:val="0"/>
      <w:spacing w:line="280" w:lineRule="atLeast"/>
    </w:pPr>
    <w:rPr>
      <w:rFonts w:eastAsia="MS Mincho"/>
      <w:sz w:val="22"/>
      <w:szCs w:val="22"/>
      <w:lang w:val="en-GB" w:eastAsia="en-GB"/>
    </w:rPr>
  </w:style>
  <w:style w:type="paragraph" w:styleId="BalloonText">
    <w:name w:val="Balloon Text"/>
    <w:basedOn w:val="Normal"/>
    <w:link w:val="BalloonTextChar"/>
    <w:uiPriority w:val="99"/>
    <w:semiHidden/>
    <w:rPr>
      <w:sz w:val="16"/>
      <w:szCs w:val="2"/>
    </w:rPr>
  </w:style>
  <w:style w:type="character" w:customStyle="1" w:styleId="BalloonTextChar">
    <w:name w:val="Balloon Text Char"/>
    <w:link w:val="BalloonText"/>
    <w:uiPriority w:val="99"/>
    <w:semiHidden/>
    <w:locked/>
    <w:rPr>
      <w:sz w:val="16"/>
      <w:szCs w:val="2"/>
    </w:rPr>
  </w:style>
  <w:style w:type="character" w:styleId="CommentReference">
    <w:name w:val="annotation reference"/>
    <w:uiPriority w:val="99"/>
    <w:semiHidden/>
    <w:rPr>
      <w:sz w:val="16"/>
      <w:szCs w:val="16"/>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bCs/>
      <w:sz w:val="20"/>
      <w:szCs w:val="20"/>
    </w:rPr>
  </w:style>
  <w:style w:type="paragraph" w:styleId="Subtitle">
    <w:name w:val="Subtitle"/>
    <w:basedOn w:val="Normal"/>
    <w:link w:val="SubtitleChar"/>
    <w:uiPriority w:val="99"/>
    <w:qFormat/>
    <w:pPr>
      <w:jc w:val="center"/>
    </w:pPr>
    <w:rPr>
      <w:rFonts w:ascii="Verdana" w:hAnsi="Verdana"/>
      <w:b/>
      <w:bCs/>
      <w:sz w:val="32"/>
      <w:szCs w:val="32"/>
    </w:rPr>
  </w:style>
  <w:style w:type="character" w:customStyle="1" w:styleId="SubtitleChar">
    <w:name w:val="Subtitle Char"/>
    <w:link w:val="Subtitle"/>
    <w:uiPriority w:val="99"/>
    <w:locked/>
    <w:rPr>
      <w:rFonts w:ascii="Verdana" w:hAnsi="Verdana" w:cs="Verdana"/>
      <w:b/>
      <w:bCs/>
      <w:sz w:val="32"/>
      <w:szCs w:val="32"/>
    </w:rPr>
  </w:style>
  <w:style w:type="paragraph" w:styleId="TOC2">
    <w:name w:val="toc 2"/>
    <w:basedOn w:val="Normal"/>
    <w:next w:val="Normal"/>
    <w:autoRedefine/>
    <w:uiPriority w:val="39"/>
    <w:qFormat/>
    <w:pPr>
      <w:tabs>
        <w:tab w:val="left" w:pos="720"/>
        <w:tab w:val="decimal" w:leader="dot" w:pos="8640"/>
      </w:tabs>
      <w:spacing w:after="240"/>
      <w:ind w:left="1440" w:hanging="720"/>
    </w:pPr>
  </w:style>
  <w:style w:type="paragraph" w:styleId="TOC3">
    <w:name w:val="toc 3"/>
    <w:basedOn w:val="Normal"/>
    <w:next w:val="Normal"/>
    <w:autoRedefine/>
    <w:uiPriority w:val="99"/>
    <w:semiHidden/>
    <w:pPr>
      <w:ind w:left="480"/>
    </w:pPr>
  </w:style>
  <w:style w:type="paragraph" w:customStyle="1" w:styleId="ColorfulShading-Accent11">
    <w:name w:val="Colorful Shading - Accent 11"/>
    <w:hidden/>
    <w:uiPriority w:val="99"/>
    <w:semiHidden/>
    <w:rPr>
      <w:sz w:val="24"/>
      <w:szCs w:val="24"/>
    </w:rPr>
  </w:style>
  <w:style w:type="paragraph" w:styleId="TOAHeading">
    <w:name w:val="toa heading"/>
    <w:basedOn w:val="Normal"/>
    <w:next w:val="Normal"/>
    <w:autoRedefine/>
    <w:uiPriority w:val="99"/>
    <w:semiHidden/>
    <w:pPr>
      <w:spacing w:after="240"/>
    </w:pPr>
    <w:rPr>
      <w:b/>
      <w:bCs/>
    </w:rPr>
  </w:style>
  <w:style w:type="character" w:customStyle="1" w:styleId="FootnoteTextChar3">
    <w:name w:val="Footnote Text Char3"/>
    <w:aliases w:val="Footnote Text Char1 Char1,Footnote Text Char Char Char1,Footnote Text Char1 Char Char1 Char1,Footnote Text Char Char Char Char Char1,Footnote Text Char2 Char Char Char Char1 Char1,Footnote Text Char1 Char Char1 Char Char Char Char1"/>
    <w:link w:val="FootnoteText"/>
    <w:uiPriority w:val="99"/>
    <w:locked/>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locked/>
    <w:rPr>
      <w:sz w:val="24"/>
      <w:szCs w:val="24"/>
      <w:lang w:val="en-US" w:eastAsia="en-US"/>
    </w:rPr>
  </w:style>
  <w:style w:type="character" w:customStyle="1" w:styleId="TagStyle">
    <w:name w:val="TagStyle"/>
    <w:uiPriority w:val="99"/>
    <w:rPr>
      <w:rFonts w:ascii="Times New Roman" w:hAnsi="Times New Roman" w:cs="Times New Roman"/>
      <w:color w:val="FF00FF"/>
      <w:sz w:val="24"/>
      <w:szCs w:val="24"/>
    </w:rPr>
  </w:style>
  <w:style w:type="paragraph" w:customStyle="1" w:styleId="BodyTextSingle">
    <w:name w:val="Body Text Single"/>
    <w:aliases w:val="bs"/>
    <w:basedOn w:val="Normal"/>
    <w:uiPriority w:val="99"/>
    <w:pPr>
      <w:spacing w:after="240"/>
      <w:jc w:val="both"/>
    </w:pPr>
  </w:style>
  <w:style w:type="paragraph" w:styleId="TOCHeading">
    <w:name w:val="TOC Heading"/>
    <w:basedOn w:val="Heading1"/>
    <w:next w:val="Normal"/>
    <w:uiPriority w:val="99"/>
    <w:qFormat/>
    <w:pPr>
      <w:keepLines/>
      <w:spacing w:before="480" w:line="276" w:lineRule="auto"/>
      <w:outlineLvl w:val="9"/>
    </w:pPr>
    <w:rPr>
      <w:rFonts w:ascii="Cambria" w:hAnsi="Cambria" w:cs="Cambria"/>
      <w:caps w:val="0"/>
      <w:color w:val="365F91"/>
      <w:sz w:val="28"/>
      <w:szCs w:val="28"/>
    </w:rPr>
  </w:style>
  <w:style w:type="paragraph" w:customStyle="1" w:styleId="ColorfulList-Accent11">
    <w:name w:val="Colorful List - Accent 11"/>
    <w:basedOn w:val="Normal"/>
    <w:uiPriority w:val="99"/>
    <w:pPr>
      <w:ind w:left="720"/>
    </w:pPr>
  </w:style>
  <w:style w:type="paragraph" w:styleId="NoSpacing">
    <w:name w:val="No Spacing"/>
    <w:uiPriority w:val="1"/>
    <w:qFormat/>
    <w:rPr>
      <w:sz w:val="24"/>
      <w:szCs w:val="24"/>
    </w:rPr>
  </w:style>
  <w:style w:type="paragraph" w:styleId="z-TopofForm">
    <w:name w:val="HTML Top of Form"/>
    <w:basedOn w:val="Normal"/>
    <w:next w:val="Normal"/>
    <w:link w:val="z-TopofFormChar"/>
    <w:hidden/>
    <w:uiPriority w:val="99"/>
    <w:semiHidden/>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hidden/>
    <w:uiPriority w:val="99"/>
    <w:semiHidden/>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locked/>
    <w:rPr>
      <w:rFonts w:ascii="Arial" w:hAnsi="Arial" w:cs="Arial"/>
      <w:vanish/>
      <w:sz w:val="16"/>
      <w:szCs w:val="16"/>
    </w:rPr>
  </w:style>
  <w:style w:type="paragraph" w:styleId="Revision">
    <w:name w:val="Revision"/>
    <w:hidden/>
    <w:uiPriority w:val="99"/>
    <w:semiHidden/>
    <w:rPr>
      <w:sz w:val="24"/>
      <w:szCs w:val="24"/>
    </w:rPr>
  </w:style>
  <w:style w:type="paragraph" w:styleId="ListParagraph">
    <w:name w:val="List Paragraph"/>
    <w:basedOn w:val="Normal"/>
    <w:uiPriority w:val="34"/>
    <w:qFormat/>
    <w:pPr>
      <w:widowControl w:val="0"/>
      <w:ind w:leftChars="200" w:left="480"/>
    </w:pPr>
    <w:rPr>
      <w:rFonts w:ascii="Calibri" w:hAnsi="Calibri"/>
      <w:kern w:val="2"/>
      <w:szCs w:val="22"/>
      <w:lang w:eastAsia="zh-TW"/>
    </w:rPr>
  </w:style>
  <w:style w:type="character" w:customStyle="1" w:styleId="FootnoteTextChar4CharChar">
    <w:name w:val="Footnote Text Char4 Char Char"/>
    <w:aliases w:val="Footnote Text Char Char4 Char Char,Footnote Text Char4 Char1 Char Char Char,Footnote Text Char Char4 Char1 Char Char Char,Footnote Text Char5 Char1 Char Char Char Char Char Char,Footnote Text Char2 Char"/>
    <w:uiPriority w:val="99"/>
    <w:rPr>
      <w:lang w:val="en-US" w:eastAsia="en-US" w:bidi="ar-SA"/>
    </w:rPr>
  </w:style>
  <w:style w:type="character" w:customStyle="1" w:styleId="FootnoteTextChar4CharChar1">
    <w:name w:val="Footnote Text Char4 Char Char1"/>
    <w:aliases w:val="Footnote Text Char Char4 Char Char1,Footnote Text Char4 Char1 Char Char Char1,Footnote Text Char Char4 Char1 Char Char Char1,Footnote Text Char5 Char1 Char Char Char Char Char Char1"/>
    <w:uiPriority w:val="99"/>
    <w:semiHidden/>
    <w:locked/>
  </w:style>
  <w:style w:type="paragraph" w:customStyle="1" w:styleId="ANSWER">
    <w:name w:val="ANSWER"/>
    <w:basedOn w:val="Normal"/>
    <w:pPr>
      <w:spacing w:line="480" w:lineRule="auto"/>
      <w:ind w:left="1008" w:hanging="720"/>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autoSpaceDE w:val="0"/>
      <w:autoSpaceDN w:val="0"/>
      <w:adjustRightInd w:val="0"/>
      <w:spacing w:line="480" w:lineRule="auto"/>
      <w:outlineLvl w:val="0"/>
    </w:pPr>
    <w:rPr>
      <w:rFonts w:ascii="Times New Roman Bold" w:hAnsi="Times New Roman Bold"/>
      <w:b/>
      <w:bCs/>
      <w:caps/>
    </w:rPr>
  </w:style>
  <w:style w:type="paragraph" w:styleId="Heading2">
    <w:name w:val="heading 2"/>
    <w:basedOn w:val="ListParagraph"/>
    <w:next w:val="Normal"/>
    <w:link w:val="Heading2Char"/>
    <w:uiPriority w:val="99"/>
    <w:qFormat/>
    <w:pPr>
      <w:numPr>
        <w:numId w:val="28"/>
      </w:numPr>
      <w:spacing w:line="480" w:lineRule="auto"/>
      <w:ind w:leftChars="0" w:left="1440" w:hanging="720"/>
      <w:outlineLvl w:val="1"/>
    </w:pPr>
    <w:rPr>
      <w:rFonts w:ascii="Times New Roman" w:hAnsi="Times New Roman"/>
      <w:b/>
    </w:rPr>
  </w:style>
  <w:style w:type="paragraph" w:styleId="Heading3">
    <w:name w:val="heading 3"/>
    <w:basedOn w:val="Normal"/>
    <w:next w:val="Normal"/>
    <w:link w:val="Heading3Char"/>
    <w:uiPriority w:val="99"/>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imes New Roman Bold" w:hAnsi="Times New Roman Bold"/>
      <w:b/>
      <w:bCs/>
      <w:caps/>
      <w:sz w:val="24"/>
      <w:szCs w:val="24"/>
    </w:rPr>
  </w:style>
  <w:style w:type="character" w:customStyle="1" w:styleId="Heading2Char">
    <w:name w:val="Heading 2 Char"/>
    <w:link w:val="Heading2"/>
    <w:uiPriority w:val="99"/>
    <w:locked/>
    <w:rPr>
      <w:b/>
      <w:kern w:val="2"/>
      <w:sz w:val="24"/>
      <w:szCs w:val="22"/>
      <w:lang w:eastAsia="zh-TW"/>
    </w:rPr>
  </w:style>
  <w:style w:type="character" w:customStyle="1" w:styleId="Heading3Char">
    <w:name w:val="Heading 3 Char"/>
    <w:link w:val="Heading3"/>
    <w:uiPriority w:val="99"/>
    <w:semiHidden/>
    <w:locked/>
    <w:rPr>
      <w:rFonts w:ascii="Cambria" w:hAnsi="Cambria" w:cs="Cambria"/>
      <w:b/>
      <w:bCs/>
      <w:sz w:val="26"/>
      <w:szCs w:val="26"/>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style>
  <w:style w:type="paragraph" w:styleId="BodyText">
    <w:name w:val="Body Text"/>
    <w:basedOn w:val="Normal"/>
    <w:link w:val="BodyTextChar"/>
    <w:uiPriority w:val="99"/>
    <w:pPr>
      <w:spacing w:line="480" w:lineRule="auto"/>
      <w:ind w:left="720"/>
    </w:pPr>
    <w:rPr>
      <w:iCs/>
    </w:rPr>
  </w:style>
  <w:style w:type="character" w:customStyle="1" w:styleId="BodyTextChar">
    <w:name w:val="Body Text Char"/>
    <w:link w:val="BodyText"/>
    <w:uiPriority w:val="99"/>
    <w:locked/>
    <w:rPr>
      <w:iCs/>
      <w:sz w:val="24"/>
      <w:szCs w:val="24"/>
    </w:rPr>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Footnote Text Char,ft,fn C"/>
    <w:basedOn w:val="Normal"/>
    <w:link w:val="FootnoteTextChar3"/>
    <w:pPr>
      <w:spacing w:before="120"/>
    </w:pPr>
    <w:rPr>
      <w:sz w:val="20"/>
      <w:szCs w:val="20"/>
    </w:rPr>
  </w:style>
  <w:style w:type="character" w:customStyle="1" w:styleId="FootnoteTextChar2">
    <w:name w:val="Footnote Text Char2"/>
    <w:aliases w:val="Footnote Text Char1 Char,Footnote Text Char Char Char,Footnote Text Char1 Char Char1 Char,Footnote Text Char Char Char Char Char,Footnote Text Char2 Char Char Char Char1 Char,Footnote Text Char1 Char Char1 Char Char Char Char,fn Char"/>
    <w:rPr>
      <w:sz w:val="20"/>
      <w:szCs w:val="20"/>
    </w:rPr>
  </w:style>
  <w:style w:type="character" w:customStyle="1" w:styleId="FootnoteTextChar21">
    <w:name w:val="Footnote Text Char21"/>
    <w:aliases w:val="Footnote Text Char1 Char3,Footnote Text Char Char Char3,Footnote Text Char1 Char Char1 Char3,Footnote Text Char Char Char Char Char3,Footnote Text Char2 Char Char Char Char1 Char3,Footnote Text Char1 Char Char1 Char Char Char Char3"/>
    <w:uiPriority w:val="99"/>
    <w:semiHidden/>
    <w:rPr>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
    <w:uiPriority w:val="99"/>
    <w:rPr>
      <w:vertAlign w:val="superscript"/>
    </w:rPr>
  </w:style>
  <w:style w:type="character" w:customStyle="1" w:styleId="FootnoteTextChar1Char2">
    <w:name w:val="Footnote Text Char1 Char2"/>
    <w:aliases w:val="Footnote Text Char Char Char2,Footnote Text Char1 Char Char1 Char2,Footnote Text Char Char Char Char Char2,Footnote Text Char2 Char Char Char Char1 Char2,Footnote Text Char1 Char Char1 Char Char Char Char2,ALTS FOOTNOTE Char"/>
    <w:uiPriority w:val="99"/>
    <w:locked/>
    <w:rPr>
      <w:lang w:val="en-US" w:eastAsia="en-US"/>
    </w:rPr>
  </w:style>
  <w:style w:type="character" w:styleId="Hyperlink">
    <w:name w:val="Hyperlink"/>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Pr>
      <w:rFonts w:ascii="Courier New" w:hAnsi="Courier New" w:cs="Courier New"/>
      <w:sz w:val="20"/>
      <w:szCs w:val="20"/>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99"/>
    <w:locked/>
    <w:rPr>
      <w:b/>
      <w:bCs/>
      <w:sz w:val="24"/>
      <w:szCs w:val="24"/>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TOC1">
    <w:name w:val="toc 1"/>
    <w:basedOn w:val="Normal"/>
    <w:next w:val="Normal"/>
    <w:autoRedefine/>
    <w:uiPriority w:val="39"/>
    <w:qFormat/>
    <w:pPr>
      <w:tabs>
        <w:tab w:val="left" w:pos="720"/>
        <w:tab w:val="decimal" w:leader="dot" w:pos="8640"/>
      </w:tabs>
      <w:spacing w:line="480" w:lineRule="auto"/>
      <w:ind w:left="720" w:hanging="720"/>
      <w:jc w:val="center"/>
    </w:pPr>
    <w:rPr>
      <w:caps/>
    </w:rPr>
  </w:style>
  <w:style w:type="paragraph" w:styleId="List2">
    <w:name w:val="List 2"/>
    <w:basedOn w:val="Normal"/>
    <w:uiPriority w:val="99"/>
    <w:pPr>
      <w:ind w:left="720" w:hanging="360"/>
    </w:p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uiPriority w:val="99"/>
    <w:semiHidden/>
    <w:locked/>
    <w:rPr>
      <w:rFonts w:ascii="Courier New" w:hAnsi="Courier New" w:cs="Courier New"/>
      <w:lang w:val="en-US" w:eastAsia="en-US"/>
    </w:rPr>
  </w:style>
  <w:style w:type="character" w:styleId="LineNumber">
    <w:name w:val="line number"/>
    <w:basedOn w:val="DefaultParagraphFont"/>
    <w:uiPriority w:val="99"/>
  </w:style>
  <w:style w:type="paragraph" w:styleId="EndnoteText">
    <w:name w:val="endnote text"/>
    <w:basedOn w:val="Normal"/>
    <w:link w:val="EndnoteTextChar"/>
    <w:uiPriority w:val="99"/>
    <w:semiHidden/>
    <w:pPr>
      <w:widowControl w:val="0"/>
      <w:snapToGrid w:val="0"/>
    </w:pPr>
    <w:rPr>
      <w:rFonts w:ascii="Courier New" w:hAnsi="Courier New"/>
    </w:rPr>
  </w:style>
  <w:style w:type="character" w:customStyle="1" w:styleId="EndnoteTextChar">
    <w:name w:val="Endnote Text Char"/>
    <w:link w:val="EndnoteText"/>
    <w:uiPriority w:val="99"/>
    <w:semiHidden/>
    <w:locked/>
    <w:rPr>
      <w:rFonts w:ascii="Courier New" w:hAnsi="Courier New" w:cs="Courier New"/>
      <w:sz w:val="24"/>
      <w:szCs w:val="24"/>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locked/>
    <w:rPr>
      <w:sz w:val="20"/>
      <w:szCs w:val="20"/>
    </w:rPr>
  </w:style>
  <w:style w:type="paragraph" w:styleId="DocumentMap">
    <w:name w:val="Document Map"/>
    <w:basedOn w:val="Normal"/>
    <w:link w:val="DocumentMapChar"/>
    <w:uiPriority w:val="99"/>
    <w:semiHidden/>
    <w:pPr>
      <w:shd w:val="clear" w:color="auto" w:fill="000080"/>
    </w:pPr>
    <w:rPr>
      <w:sz w:val="2"/>
      <w:szCs w:val="2"/>
    </w:rPr>
  </w:style>
  <w:style w:type="character" w:customStyle="1" w:styleId="DocumentMapChar">
    <w:name w:val="Document Map Char"/>
    <w:link w:val="DocumentMap"/>
    <w:uiPriority w:val="99"/>
    <w:semiHidden/>
    <w:locked/>
    <w:rPr>
      <w:sz w:val="2"/>
      <w:szCs w:val="2"/>
    </w:rPr>
  </w:style>
  <w:style w:type="paragraph" w:customStyle="1" w:styleId="DefaultParagraphFontParaCharCharCharCharCharCharChar">
    <w:name w:val="Default Paragraph Font Para Char Char Char Char Char Char Char"/>
    <w:basedOn w:val="Normal"/>
    <w:uiPriority w:val="99"/>
    <w:pPr>
      <w:widowControl w:val="0"/>
      <w:spacing w:line="280" w:lineRule="atLeast"/>
    </w:pPr>
    <w:rPr>
      <w:rFonts w:eastAsia="MS Mincho"/>
      <w:sz w:val="22"/>
      <w:szCs w:val="22"/>
      <w:lang w:val="en-GB" w:eastAsia="en-GB"/>
    </w:rPr>
  </w:style>
  <w:style w:type="paragraph" w:styleId="BalloonText">
    <w:name w:val="Balloon Text"/>
    <w:basedOn w:val="Normal"/>
    <w:link w:val="BalloonTextChar"/>
    <w:uiPriority w:val="99"/>
    <w:semiHidden/>
    <w:rPr>
      <w:sz w:val="16"/>
      <w:szCs w:val="2"/>
    </w:rPr>
  </w:style>
  <w:style w:type="character" w:customStyle="1" w:styleId="BalloonTextChar">
    <w:name w:val="Balloon Text Char"/>
    <w:link w:val="BalloonText"/>
    <w:uiPriority w:val="99"/>
    <w:semiHidden/>
    <w:locked/>
    <w:rPr>
      <w:sz w:val="16"/>
      <w:szCs w:val="2"/>
    </w:rPr>
  </w:style>
  <w:style w:type="character" w:styleId="CommentReference">
    <w:name w:val="annotation reference"/>
    <w:uiPriority w:val="99"/>
    <w:semiHidden/>
    <w:rPr>
      <w:sz w:val="16"/>
      <w:szCs w:val="16"/>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bCs/>
      <w:sz w:val="20"/>
      <w:szCs w:val="20"/>
    </w:rPr>
  </w:style>
  <w:style w:type="paragraph" w:styleId="Subtitle">
    <w:name w:val="Subtitle"/>
    <w:basedOn w:val="Normal"/>
    <w:link w:val="SubtitleChar"/>
    <w:uiPriority w:val="99"/>
    <w:qFormat/>
    <w:pPr>
      <w:jc w:val="center"/>
    </w:pPr>
    <w:rPr>
      <w:rFonts w:ascii="Verdana" w:hAnsi="Verdana"/>
      <w:b/>
      <w:bCs/>
      <w:sz w:val="32"/>
      <w:szCs w:val="32"/>
    </w:rPr>
  </w:style>
  <w:style w:type="character" w:customStyle="1" w:styleId="SubtitleChar">
    <w:name w:val="Subtitle Char"/>
    <w:link w:val="Subtitle"/>
    <w:uiPriority w:val="99"/>
    <w:locked/>
    <w:rPr>
      <w:rFonts w:ascii="Verdana" w:hAnsi="Verdana" w:cs="Verdana"/>
      <w:b/>
      <w:bCs/>
      <w:sz w:val="32"/>
      <w:szCs w:val="32"/>
    </w:rPr>
  </w:style>
  <w:style w:type="paragraph" w:styleId="TOC2">
    <w:name w:val="toc 2"/>
    <w:basedOn w:val="Normal"/>
    <w:next w:val="Normal"/>
    <w:autoRedefine/>
    <w:uiPriority w:val="39"/>
    <w:qFormat/>
    <w:pPr>
      <w:tabs>
        <w:tab w:val="left" w:pos="720"/>
        <w:tab w:val="decimal" w:leader="dot" w:pos="8640"/>
      </w:tabs>
      <w:spacing w:after="240"/>
      <w:ind w:left="1440" w:hanging="720"/>
    </w:pPr>
  </w:style>
  <w:style w:type="paragraph" w:styleId="TOC3">
    <w:name w:val="toc 3"/>
    <w:basedOn w:val="Normal"/>
    <w:next w:val="Normal"/>
    <w:autoRedefine/>
    <w:uiPriority w:val="99"/>
    <w:semiHidden/>
    <w:pPr>
      <w:ind w:left="480"/>
    </w:pPr>
  </w:style>
  <w:style w:type="paragraph" w:customStyle="1" w:styleId="ColorfulShading-Accent11">
    <w:name w:val="Colorful Shading - Accent 11"/>
    <w:hidden/>
    <w:uiPriority w:val="99"/>
    <w:semiHidden/>
    <w:rPr>
      <w:sz w:val="24"/>
      <w:szCs w:val="24"/>
    </w:rPr>
  </w:style>
  <w:style w:type="paragraph" w:styleId="TOAHeading">
    <w:name w:val="toa heading"/>
    <w:basedOn w:val="Normal"/>
    <w:next w:val="Normal"/>
    <w:autoRedefine/>
    <w:uiPriority w:val="99"/>
    <w:semiHidden/>
    <w:pPr>
      <w:spacing w:after="240"/>
    </w:pPr>
    <w:rPr>
      <w:b/>
      <w:bCs/>
    </w:rPr>
  </w:style>
  <w:style w:type="character" w:customStyle="1" w:styleId="FootnoteTextChar3">
    <w:name w:val="Footnote Text Char3"/>
    <w:aliases w:val="Footnote Text Char1 Char1,Footnote Text Char Char Char1,Footnote Text Char1 Char Char1 Char1,Footnote Text Char Char Char Char Char1,Footnote Text Char2 Char Char Char Char1 Char1,Footnote Text Char1 Char Char1 Char Char Char Char1"/>
    <w:link w:val="FootnoteText"/>
    <w:uiPriority w:val="99"/>
    <w:locked/>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locked/>
    <w:rPr>
      <w:sz w:val="24"/>
      <w:szCs w:val="24"/>
      <w:lang w:val="en-US" w:eastAsia="en-US"/>
    </w:rPr>
  </w:style>
  <w:style w:type="character" w:customStyle="1" w:styleId="TagStyle">
    <w:name w:val="TagStyle"/>
    <w:uiPriority w:val="99"/>
    <w:rPr>
      <w:rFonts w:ascii="Times New Roman" w:hAnsi="Times New Roman" w:cs="Times New Roman"/>
      <w:color w:val="FF00FF"/>
      <w:sz w:val="24"/>
      <w:szCs w:val="24"/>
    </w:rPr>
  </w:style>
  <w:style w:type="paragraph" w:customStyle="1" w:styleId="BodyTextSingle">
    <w:name w:val="Body Text Single"/>
    <w:aliases w:val="bs"/>
    <w:basedOn w:val="Normal"/>
    <w:uiPriority w:val="99"/>
    <w:pPr>
      <w:spacing w:after="240"/>
      <w:jc w:val="both"/>
    </w:pPr>
  </w:style>
  <w:style w:type="paragraph" w:styleId="TOCHeading">
    <w:name w:val="TOC Heading"/>
    <w:basedOn w:val="Heading1"/>
    <w:next w:val="Normal"/>
    <w:uiPriority w:val="99"/>
    <w:qFormat/>
    <w:pPr>
      <w:keepLines/>
      <w:spacing w:before="480" w:line="276" w:lineRule="auto"/>
      <w:outlineLvl w:val="9"/>
    </w:pPr>
    <w:rPr>
      <w:rFonts w:ascii="Cambria" w:hAnsi="Cambria" w:cs="Cambria"/>
      <w:caps w:val="0"/>
      <w:color w:val="365F91"/>
      <w:sz w:val="28"/>
      <w:szCs w:val="28"/>
    </w:rPr>
  </w:style>
  <w:style w:type="paragraph" w:customStyle="1" w:styleId="ColorfulList-Accent11">
    <w:name w:val="Colorful List - Accent 11"/>
    <w:basedOn w:val="Normal"/>
    <w:uiPriority w:val="99"/>
    <w:pPr>
      <w:ind w:left="720"/>
    </w:pPr>
  </w:style>
  <w:style w:type="paragraph" w:styleId="NoSpacing">
    <w:name w:val="No Spacing"/>
    <w:uiPriority w:val="1"/>
    <w:qFormat/>
    <w:rPr>
      <w:sz w:val="24"/>
      <w:szCs w:val="24"/>
    </w:rPr>
  </w:style>
  <w:style w:type="paragraph" w:styleId="z-TopofForm">
    <w:name w:val="HTML Top of Form"/>
    <w:basedOn w:val="Normal"/>
    <w:next w:val="Normal"/>
    <w:link w:val="z-TopofFormChar"/>
    <w:hidden/>
    <w:uiPriority w:val="99"/>
    <w:semiHidden/>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hidden/>
    <w:uiPriority w:val="99"/>
    <w:semiHidden/>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locked/>
    <w:rPr>
      <w:rFonts w:ascii="Arial" w:hAnsi="Arial" w:cs="Arial"/>
      <w:vanish/>
      <w:sz w:val="16"/>
      <w:szCs w:val="16"/>
    </w:rPr>
  </w:style>
  <w:style w:type="paragraph" w:styleId="Revision">
    <w:name w:val="Revision"/>
    <w:hidden/>
    <w:uiPriority w:val="99"/>
    <w:semiHidden/>
    <w:rPr>
      <w:sz w:val="24"/>
      <w:szCs w:val="24"/>
    </w:rPr>
  </w:style>
  <w:style w:type="paragraph" w:styleId="ListParagraph">
    <w:name w:val="List Paragraph"/>
    <w:basedOn w:val="Normal"/>
    <w:uiPriority w:val="34"/>
    <w:qFormat/>
    <w:pPr>
      <w:widowControl w:val="0"/>
      <w:ind w:leftChars="200" w:left="480"/>
    </w:pPr>
    <w:rPr>
      <w:rFonts w:ascii="Calibri" w:hAnsi="Calibri"/>
      <w:kern w:val="2"/>
      <w:szCs w:val="22"/>
      <w:lang w:eastAsia="zh-TW"/>
    </w:rPr>
  </w:style>
  <w:style w:type="character" w:customStyle="1" w:styleId="FootnoteTextChar4CharChar">
    <w:name w:val="Footnote Text Char4 Char Char"/>
    <w:aliases w:val="Footnote Text Char Char4 Char Char,Footnote Text Char4 Char1 Char Char Char,Footnote Text Char Char4 Char1 Char Char Char,Footnote Text Char5 Char1 Char Char Char Char Char Char,Footnote Text Char2 Char"/>
    <w:uiPriority w:val="99"/>
    <w:rPr>
      <w:lang w:val="en-US" w:eastAsia="en-US" w:bidi="ar-SA"/>
    </w:rPr>
  </w:style>
  <w:style w:type="character" w:customStyle="1" w:styleId="FootnoteTextChar4CharChar1">
    <w:name w:val="Footnote Text Char4 Char Char1"/>
    <w:aliases w:val="Footnote Text Char Char4 Char Char1,Footnote Text Char4 Char1 Char Char Char1,Footnote Text Char Char4 Char1 Char Char Char1,Footnote Text Char5 Char1 Char Char Char Char Char Char1"/>
    <w:uiPriority w:val="99"/>
    <w:semiHidden/>
    <w:locked/>
  </w:style>
  <w:style w:type="paragraph" w:customStyle="1" w:styleId="ANSWER">
    <w:name w:val="ANSWER"/>
    <w:basedOn w:val="Normal"/>
    <w:pPr>
      <w:spacing w:line="480" w:lineRule="auto"/>
      <w:ind w:left="1008" w:hanging="720"/>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1309">
      <w:bodyDiv w:val="1"/>
      <w:marLeft w:val="0"/>
      <w:marRight w:val="0"/>
      <w:marTop w:val="0"/>
      <w:marBottom w:val="0"/>
      <w:divBdr>
        <w:top w:val="none" w:sz="0" w:space="0" w:color="auto"/>
        <w:left w:val="none" w:sz="0" w:space="0" w:color="auto"/>
        <w:bottom w:val="none" w:sz="0" w:space="0" w:color="auto"/>
        <w:right w:val="none" w:sz="0" w:space="0" w:color="auto"/>
      </w:divBdr>
    </w:div>
    <w:div w:id="278728044">
      <w:bodyDiv w:val="1"/>
      <w:marLeft w:val="0"/>
      <w:marRight w:val="0"/>
      <w:marTop w:val="0"/>
      <w:marBottom w:val="0"/>
      <w:divBdr>
        <w:top w:val="none" w:sz="0" w:space="0" w:color="auto"/>
        <w:left w:val="none" w:sz="0" w:space="0" w:color="auto"/>
        <w:bottom w:val="none" w:sz="0" w:space="0" w:color="auto"/>
        <w:right w:val="none" w:sz="0" w:space="0" w:color="auto"/>
      </w:divBdr>
    </w:div>
    <w:div w:id="349530130">
      <w:bodyDiv w:val="1"/>
      <w:marLeft w:val="0"/>
      <w:marRight w:val="0"/>
      <w:marTop w:val="0"/>
      <w:marBottom w:val="0"/>
      <w:divBdr>
        <w:top w:val="none" w:sz="0" w:space="0" w:color="auto"/>
        <w:left w:val="none" w:sz="0" w:space="0" w:color="auto"/>
        <w:bottom w:val="none" w:sz="0" w:space="0" w:color="auto"/>
        <w:right w:val="none" w:sz="0" w:space="0" w:color="auto"/>
      </w:divBdr>
    </w:div>
    <w:div w:id="608700943">
      <w:bodyDiv w:val="1"/>
      <w:marLeft w:val="0"/>
      <w:marRight w:val="0"/>
      <w:marTop w:val="0"/>
      <w:marBottom w:val="0"/>
      <w:divBdr>
        <w:top w:val="none" w:sz="0" w:space="0" w:color="auto"/>
        <w:left w:val="none" w:sz="0" w:space="0" w:color="auto"/>
        <w:bottom w:val="none" w:sz="0" w:space="0" w:color="auto"/>
        <w:right w:val="none" w:sz="0" w:space="0" w:color="auto"/>
      </w:divBdr>
    </w:div>
    <w:div w:id="1075518629">
      <w:bodyDiv w:val="1"/>
      <w:marLeft w:val="0"/>
      <w:marRight w:val="0"/>
      <w:marTop w:val="0"/>
      <w:marBottom w:val="0"/>
      <w:divBdr>
        <w:top w:val="none" w:sz="0" w:space="0" w:color="auto"/>
        <w:left w:val="none" w:sz="0" w:space="0" w:color="auto"/>
        <w:bottom w:val="none" w:sz="0" w:space="0" w:color="auto"/>
        <w:right w:val="none" w:sz="0" w:space="0" w:color="auto"/>
      </w:divBdr>
    </w:div>
    <w:div w:id="1177885859">
      <w:bodyDiv w:val="1"/>
      <w:marLeft w:val="0"/>
      <w:marRight w:val="0"/>
      <w:marTop w:val="0"/>
      <w:marBottom w:val="0"/>
      <w:divBdr>
        <w:top w:val="none" w:sz="0" w:space="0" w:color="auto"/>
        <w:left w:val="none" w:sz="0" w:space="0" w:color="auto"/>
        <w:bottom w:val="none" w:sz="0" w:space="0" w:color="auto"/>
        <w:right w:val="none" w:sz="0" w:space="0" w:color="auto"/>
      </w:divBdr>
    </w:div>
    <w:div w:id="1191602420">
      <w:bodyDiv w:val="1"/>
      <w:marLeft w:val="0"/>
      <w:marRight w:val="0"/>
      <w:marTop w:val="0"/>
      <w:marBottom w:val="0"/>
      <w:divBdr>
        <w:top w:val="none" w:sz="0" w:space="0" w:color="auto"/>
        <w:left w:val="none" w:sz="0" w:space="0" w:color="auto"/>
        <w:bottom w:val="none" w:sz="0" w:space="0" w:color="auto"/>
        <w:right w:val="none" w:sz="0" w:space="0" w:color="auto"/>
      </w:divBdr>
    </w:div>
    <w:div w:id="1314602325">
      <w:marLeft w:val="0"/>
      <w:marRight w:val="0"/>
      <w:marTop w:val="0"/>
      <w:marBottom w:val="0"/>
      <w:divBdr>
        <w:top w:val="none" w:sz="0" w:space="0" w:color="auto"/>
        <w:left w:val="none" w:sz="0" w:space="0" w:color="auto"/>
        <w:bottom w:val="none" w:sz="0" w:space="0" w:color="auto"/>
        <w:right w:val="none" w:sz="0" w:space="0" w:color="auto"/>
      </w:divBdr>
      <w:divsChild>
        <w:div w:id="1314602322">
          <w:marLeft w:val="0"/>
          <w:marRight w:val="0"/>
          <w:marTop w:val="0"/>
          <w:marBottom w:val="0"/>
          <w:divBdr>
            <w:top w:val="none" w:sz="0" w:space="0" w:color="auto"/>
            <w:left w:val="none" w:sz="0" w:space="0" w:color="auto"/>
            <w:bottom w:val="none" w:sz="0" w:space="0" w:color="auto"/>
            <w:right w:val="none" w:sz="0" w:space="0" w:color="auto"/>
          </w:divBdr>
          <w:divsChild>
            <w:div w:id="1314602323">
              <w:marLeft w:val="0"/>
              <w:marRight w:val="0"/>
              <w:marTop w:val="0"/>
              <w:marBottom w:val="0"/>
              <w:divBdr>
                <w:top w:val="none" w:sz="0" w:space="0" w:color="auto"/>
                <w:left w:val="none" w:sz="0" w:space="0" w:color="auto"/>
                <w:bottom w:val="none" w:sz="0" w:space="0" w:color="auto"/>
                <w:right w:val="none" w:sz="0" w:space="0" w:color="auto"/>
              </w:divBdr>
              <w:divsChild>
                <w:div w:id="13146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2327">
          <w:marLeft w:val="0"/>
          <w:marRight w:val="0"/>
          <w:marTop w:val="0"/>
          <w:marBottom w:val="0"/>
          <w:divBdr>
            <w:top w:val="none" w:sz="0" w:space="0" w:color="auto"/>
            <w:left w:val="none" w:sz="0" w:space="0" w:color="auto"/>
            <w:bottom w:val="none" w:sz="0" w:space="0" w:color="auto"/>
            <w:right w:val="none" w:sz="0" w:space="0" w:color="auto"/>
          </w:divBdr>
          <w:divsChild>
            <w:div w:id="13146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4800">
      <w:bodyDiv w:val="1"/>
      <w:marLeft w:val="0"/>
      <w:marRight w:val="0"/>
      <w:marTop w:val="0"/>
      <w:marBottom w:val="0"/>
      <w:divBdr>
        <w:top w:val="none" w:sz="0" w:space="0" w:color="auto"/>
        <w:left w:val="none" w:sz="0" w:space="0" w:color="auto"/>
        <w:bottom w:val="none" w:sz="0" w:space="0" w:color="auto"/>
        <w:right w:val="none" w:sz="0" w:space="0" w:color="auto"/>
      </w:divBdr>
    </w:div>
    <w:div w:id="199224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ntTable" Target="fontTable.xml"/><Relationship Id="rId7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5478</Words>
  <Characters>29295</Characters>
  <Application>Microsoft Office Word</Application>
  <DocSecurity>0</DocSecurity>
  <Lines>679</Lines>
  <Paragraphs>205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34697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2015-09-10T14:56:00Z</cp:lastPrinted>
  <dcterms:created xsi:type="dcterms:W3CDTF">2015-09-10T17:42:00Z</dcterms:created>
  <dcterms:modified xsi:type="dcterms:W3CDTF">2015-09-10T17:42:00Z</dcterms:modified>
  <cp:category> </cp:category>
  <cp:contentStatus> </cp:contentStatus>
</cp:coreProperties>
</file>