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518A3" w:rsidRPr="00AD3E0E" w:rsidP="006518A3">
      <w:pPr>
        <w:suppressAutoHyphens/>
        <w:jc w:val="center"/>
        <w:rPr>
          <w:rFonts w:eastAsia="Calibri"/>
          <w:b/>
          <w:bCs/>
          <w:lang w:eastAsia="ar-SA"/>
        </w:rPr>
      </w:pPr>
      <w:bookmarkStart w:id="0" w:name="_GoBack"/>
      <w:bookmarkEnd w:id="0"/>
      <w:r w:rsidRPr="00AD3E0E">
        <w:rPr>
          <w:rFonts w:eastAsia="Calibri"/>
          <w:b/>
          <w:bCs/>
          <w:lang w:eastAsia="ar-SA"/>
        </w:rPr>
        <w:t xml:space="preserve">BEFORE </w:t>
      </w:r>
    </w:p>
    <w:p w:rsidR="006518A3" w:rsidRPr="00AD3E0E" w:rsidP="006518A3">
      <w:pPr>
        <w:suppressAutoHyphens/>
        <w:jc w:val="center"/>
        <w:rPr>
          <w:rFonts w:eastAsia="Calibri"/>
          <w:b/>
          <w:bCs/>
          <w:lang w:eastAsia="ar-SA"/>
        </w:rPr>
      </w:pPr>
      <w:r w:rsidRPr="00AD3E0E">
        <w:rPr>
          <w:rFonts w:eastAsia="Calibri"/>
          <w:b/>
          <w:bCs/>
          <w:lang w:eastAsia="ar-SA"/>
        </w:rPr>
        <w:t>THE PUBLIC UTILITIES COMMISSION OF OHIO</w:t>
      </w:r>
    </w:p>
    <w:p w:rsidR="006518A3" w:rsidRPr="00AD3E0E" w:rsidP="006518A3">
      <w:pPr>
        <w:suppressAutoHyphens/>
        <w:jc w:val="center"/>
        <w:rPr>
          <w:rFonts w:eastAsia="Calibri"/>
          <w:lang w:eastAsia="ar-SA"/>
        </w:rPr>
      </w:pPr>
    </w:p>
    <w:tbl>
      <w:tblPr>
        <w:tblW w:w="9092" w:type="dxa"/>
        <w:tblInd w:w="0" w:type="dxa"/>
        <w:tblCellMar>
          <w:top w:w="0" w:type="dxa"/>
          <w:left w:w="108" w:type="dxa"/>
          <w:bottom w:w="0" w:type="dxa"/>
          <w:right w:w="108" w:type="dxa"/>
        </w:tblCellMar>
        <w:tblLook w:val="01E0"/>
      </w:tblPr>
      <w:tblGrid>
        <w:gridCol w:w="4332"/>
        <w:gridCol w:w="360"/>
        <w:gridCol w:w="4400"/>
      </w:tblGrid>
      <w:tr w:rsidTr="00A023CE">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Bookman Old Style"/>
                <w:sz w:val="24"/>
                <w:szCs w:val="20"/>
                <w:lang w:val="en-US" w:eastAsia="ar-SA" w:bidi="ar-SA"/>
              </w:rPr>
            </w:pPr>
            <w:r w:rsidRPr="00AD3E0E">
              <w:rPr>
                <w:rFonts w:eastAsia="Courier New" w:cs="Bookman Old Style"/>
                <w:sz w:val="24"/>
                <w:szCs w:val="20"/>
                <w:lang w:val="en-US" w:eastAsia="ar-SA" w:bidi="ar-SA"/>
              </w:rPr>
              <w:t>In the Matter of the Application of The Dayton Power and Light Company for Approval of Its Plan to Modernize Its Distribution Grid</w:t>
            </w:r>
            <w:r w:rsidRPr="00AD3E0E" w:rsidR="00AD3E0E">
              <w:rPr>
                <w:rFonts w:eastAsia="Courier New" w:cs="Bookman Old Style"/>
                <w:sz w:val="24"/>
                <w:szCs w:val="20"/>
                <w:lang w:val="en-US" w:eastAsia="ar-SA" w:bidi="ar-SA"/>
              </w:rPr>
              <w:t>.</w:t>
            </w:r>
            <w:r w:rsidRPr="00AD3E0E">
              <w:rPr>
                <w:rFonts w:eastAsia="Courier New" w:cs="Bookman Old Style"/>
                <w:sz w:val="24"/>
                <w:szCs w:val="20"/>
                <w:lang w:val="en-US" w:eastAsia="ar-SA" w:bidi="ar-SA"/>
              </w:rPr>
              <w:t xml:space="preserve"> </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In the Matter of the Application of The Dayton Power and Light Company for Approval of a Limited Waiver of Ohio Adm. Code 4901:1-18-06(A)(2)</w:t>
            </w:r>
            <w:r w:rsidRPr="00AD3E0E" w:rsid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In the Matter of the Application of The Dayton Power and Light Company for Approval of Certain Accounting Methods.</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tc>
        <w:tc>
          <w:tcPr>
            <w:tcW w:w="360" w:type="dxa"/>
            <w:shd w:val="clear" w:color="auto" w:fill="auto"/>
          </w:tcPr>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tc>
        <w:tc>
          <w:tcPr>
            <w:tcW w:w="4400" w:type="dxa"/>
            <w:shd w:val="clear" w:color="auto" w:fill="auto"/>
          </w:tcPr>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 xml:space="preserve">         Case No. 18-1875-EL-GRD</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 xml:space="preserve">         Case No. 18-1876-EL-WVR</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r w:rsidRPr="00AD3E0E">
              <w:rPr>
                <w:rFonts w:eastAsia="Courier New" w:cs="Courier New"/>
                <w:sz w:val="24"/>
                <w:szCs w:val="20"/>
                <w:lang w:val="en-US" w:eastAsia="ar-SA" w:bidi="ar-SA"/>
              </w:rPr>
              <w:t xml:space="preserve">         Case No. 18-1877-EL-AAM</w:t>
            </w:r>
          </w:p>
          <w:p w:rsidR="006518A3" w:rsidRPr="00AD3E0E" w:rsidP="00A0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DefaultParagraphFont"/>
                <w:rFonts w:eastAsia="Courier New" w:cs="Courier New"/>
                <w:sz w:val="24"/>
                <w:szCs w:val="20"/>
                <w:lang w:val="en-US" w:eastAsia="ar-SA" w:bidi="ar-SA"/>
              </w:rPr>
            </w:pPr>
          </w:p>
        </w:tc>
      </w:tr>
    </w:tbl>
    <w:p w:rsidR="006518A3" w:rsidRPr="00AD3E0E" w:rsidP="006518A3">
      <w:pPr>
        <w:pBdr>
          <w:bottom w:val="single" w:sz="8" w:space="1" w:color="000000"/>
        </w:pBdr>
        <w:suppressAutoHyphens/>
        <w:rPr>
          <w:rFonts w:eastAsia="Calibri"/>
          <w:szCs w:val="20"/>
          <w:lang w:eastAsia="ar-SA"/>
        </w:rPr>
      </w:pPr>
    </w:p>
    <w:p w:rsidR="006518A3" w:rsidRPr="00AD3E0E" w:rsidP="006518A3">
      <w:pPr>
        <w:suppressAutoHyphens/>
        <w:rPr>
          <w:rFonts w:eastAsia="Calibri"/>
          <w:sz w:val="16"/>
          <w:szCs w:val="16"/>
          <w:lang w:eastAsia="ar-SA"/>
        </w:rPr>
      </w:pPr>
    </w:p>
    <w:p w:rsidR="006518A3" w:rsidRPr="00AD3E0E" w:rsidP="006518A3">
      <w:pPr>
        <w:suppressAutoHyphens/>
        <w:jc w:val="center"/>
        <w:rPr>
          <w:rFonts w:eastAsia="Calibri"/>
          <w:b/>
          <w:lang w:eastAsia="ar-SA"/>
        </w:rPr>
      </w:pPr>
      <w:r w:rsidRPr="00AD3E0E">
        <w:rPr>
          <w:rFonts w:eastAsia="Calibri"/>
          <w:b/>
          <w:lang w:eastAsia="ar-SA"/>
        </w:rPr>
        <w:t xml:space="preserve">REPLY TO DP&amp;L’S </w:t>
      </w:r>
      <w:r w:rsidRPr="00AD3E0E">
        <w:rPr>
          <w:rFonts w:eastAsia="Calibri"/>
          <w:b/>
          <w:lang w:eastAsia="ar-SA"/>
        </w:rPr>
        <w:t xml:space="preserve">MEMORANDUM </w:t>
      </w:r>
      <w:r w:rsidRPr="00AD3E0E">
        <w:rPr>
          <w:rFonts w:eastAsia="Calibri"/>
          <w:b/>
          <w:lang w:eastAsia="ar-SA"/>
        </w:rPr>
        <w:t xml:space="preserve">IN OPPOSITION </w:t>
      </w:r>
      <w:r w:rsidRPr="00AD3E0E" w:rsidR="00697308">
        <w:rPr>
          <w:rFonts w:eastAsia="Calibri"/>
          <w:b/>
          <w:lang w:eastAsia="ar-SA"/>
        </w:rPr>
        <w:t xml:space="preserve">TO </w:t>
      </w:r>
      <w:r w:rsidRPr="00AD3E0E">
        <w:rPr>
          <w:rFonts w:eastAsia="Calibri"/>
          <w:b/>
          <w:lang w:eastAsia="ar-SA"/>
        </w:rPr>
        <w:t>THE ENVIRONMENTAL LAW &amp; POLICY CENTER’S</w:t>
      </w:r>
      <w:r w:rsidRPr="00AD3E0E">
        <w:rPr>
          <w:rFonts w:eastAsia="Calibri"/>
          <w:b/>
          <w:lang w:eastAsia="ar-SA"/>
        </w:rPr>
        <w:t xml:space="preserve"> MOTION TO DISMISS</w:t>
      </w:r>
    </w:p>
    <w:p w:rsidR="006518A3" w:rsidRPr="00AD3E0E" w:rsidP="006518A3">
      <w:pPr>
        <w:suppressAutoHyphens/>
        <w:jc w:val="center"/>
        <w:rPr>
          <w:rFonts w:eastAsia="Calibri"/>
          <w:b/>
          <w:lang w:eastAsia="ar-SA"/>
        </w:rPr>
      </w:pPr>
      <w:r w:rsidRPr="00AD3E0E">
        <w:rPr>
          <w:rFonts w:eastAsia="Calibri"/>
          <w:b/>
          <w:lang w:eastAsia="ar-SA"/>
        </w:rPr>
        <w:t>BY</w:t>
      </w:r>
    </w:p>
    <w:p w:rsidR="006518A3" w:rsidRPr="00AD3E0E" w:rsidP="006518A3">
      <w:pPr>
        <w:suppressAutoHyphens/>
        <w:jc w:val="center"/>
        <w:rPr>
          <w:rFonts w:eastAsia="Calibri"/>
          <w:b/>
          <w:lang w:eastAsia="ar-SA"/>
        </w:rPr>
      </w:pPr>
      <w:r w:rsidRPr="00AD3E0E">
        <w:rPr>
          <w:rFonts w:eastAsia="Calibri"/>
          <w:b/>
          <w:lang w:eastAsia="ar-SA"/>
        </w:rPr>
        <w:t>THE OFFICE OF THE OHIO CONSUMERS’ COUNSEL</w:t>
      </w:r>
    </w:p>
    <w:p w:rsidR="006518A3" w:rsidRPr="00AD3E0E" w:rsidP="006518A3">
      <w:pPr>
        <w:pBdr>
          <w:bottom w:val="single" w:sz="8" w:space="1" w:color="000000"/>
        </w:pBdr>
        <w:suppressAutoHyphens/>
        <w:jc w:val="center"/>
        <w:rPr>
          <w:rFonts w:eastAsia="Calibri"/>
          <w:b/>
          <w:sz w:val="16"/>
          <w:szCs w:val="16"/>
          <w:lang w:eastAsia="ar-SA"/>
        </w:rPr>
      </w:pPr>
    </w:p>
    <w:p w:rsidR="006518A3" w:rsidRPr="00AD3E0E" w:rsidP="006518A3">
      <w:pPr>
        <w:suppressAutoHyphens/>
        <w:rPr>
          <w:rFonts w:eastAsia="Calibri"/>
          <w:b/>
          <w:szCs w:val="20"/>
          <w:lang w:eastAsia="ar-SA"/>
        </w:rPr>
      </w:pPr>
    </w:p>
    <w:p w:rsidR="006518A3" w:rsidRPr="00AD3E0E" w:rsidP="006518A3">
      <w:pPr>
        <w:pStyle w:val="Heading1"/>
        <w:spacing w:before="240" w:after="0" w:line="480" w:lineRule="auto"/>
        <w:contextualSpacing w:val="0"/>
      </w:pPr>
      <w:r w:rsidRPr="00AD3E0E">
        <w:t>Introduction</w:t>
      </w:r>
    </w:p>
    <w:p w:rsidR="00391608" w:rsidRPr="00AD3E0E" w:rsidP="00391608">
      <w:pPr>
        <w:spacing w:line="480" w:lineRule="auto"/>
        <w:ind w:firstLine="720"/>
        <w:rPr>
          <w:color w:val="000000"/>
        </w:rPr>
      </w:pPr>
      <w:r w:rsidRPr="00AD3E0E">
        <w:rPr>
          <w:color w:val="000000"/>
        </w:rPr>
        <w:t xml:space="preserve">This case is about a </w:t>
      </w:r>
      <w:r w:rsidRPr="00AD3E0E" w:rsidR="00207ED8">
        <w:rPr>
          <w:color w:val="000000"/>
        </w:rPr>
        <w:t xml:space="preserve">monopoly </w:t>
      </w:r>
      <w:r w:rsidRPr="00AD3E0E">
        <w:rPr>
          <w:color w:val="000000"/>
        </w:rPr>
        <w:t>utility</w:t>
      </w:r>
      <w:r w:rsidRPr="00AD3E0E" w:rsidR="00207ED8">
        <w:rPr>
          <w:color w:val="000000"/>
        </w:rPr>
        <w:t xml:space="preserve"> (DP&amp;L) seeking even more money ($867 million) from its customers for “Grid Modernization.”</w:t>
      </w:r>
      <w:r>
        <w:rPr>
          <w:rStyle w:val="FootnoteReference"/>
          <w:color w:val="000000"/>
        </w:rPr>
        <w:footnoteReference w:id="2"/>
      </w:r>
      <w:r w:rsidRPr="00AD3E0E" w:rsidR="00207ED8">
        <w:rPr>
          <w:color w:val="000000"/>
        </w:rPr>
        <w:t xml:space="preserve">  More importantly, this case is about the consumers who DP&amp;L would make pay the $867 million. </w:t>
      </w:r>
      <w:r w:rsidRPr="00AD3E0E">
        <w:rPr>
          <w:color w:val="000000"/>
        </w:rPr>
        <w:t xml:space="preserve"> </w:t>
      </w:r>
      <w:r w:rsidRPr="00AD3E0E" w:rsidR="00207ED8">
        <w:rPr>
          <w:color w:val="000000"/>
        </w:rPr>
        <w:t>In Dayton,</w:t>
      </w:r>
      <w:r w:rsidRPr="00AD3E0E">
        <w:rPr>
          <w:color w:val="000000"/>
        </w:rPr>
        <w:t xml:space="preserve"> </w:t>
      </w:r>
      <w:r w:rsidRPr="00AD3E0E">
        <w:rPr>
          <w:color w:val="000000"/>
        </w:rPr>
        <w:t>3</w:t>
      </w:r>
      <w:r w:rsidRPr="00AD3E0E" w:rsidR="00B33D31">
        <w:rPr>
          <w:color w:val="000000"/>
        </w:rPr>
        <w:t>2</w:t>
      </w:r>
      <w:r w:rsidRPr="00AD3E0E">
        <w:rPr>
          <w:color w:val="000000"/>
        </w:rPr>
        <w:t>.</w:t>
      </w:r>
      <w:r w:rsidRPr="00AD3E0E" w:rsidR="00B33D31">
        <w:rPr>
          <w:color w:val="000000"/>
        </w:rPr>
        <w:t>7</w:t>
      </w:r>
      <w:r w:rsidRPr="00AD3E0E">
        <w:rPr>
          <w:color w:val="000000"/>
        </w:rPr>
        <w:t xml:space="preserve">% </w:t>
      </w:r>
      <w:r w:rsidRPr="00AD3E0E" w:rsidR="00207ED8">
        <w:rPr>
          <w:color w:val="000000"/>
        </w:rPr>
        <w:t>of these consumers are</w:t>
      </w:r>
      <w:r w:rsidRPr="00AD3E0E">
        <w:rPr>
          <w:color w:val="000000"/>
        </w:rPr>
        <w:t xml:space="preserve"> </w:t>
      </w:r>
      <w:r w:rsidRPr="00AD3E0E">
        <w:rPr>
          <w:color w:val="000000"/>
        </w:rPr>
        <w:t xml:space="preserve">living </w:t>
      </w:r>
      <w:r w:rsidRPr="00AD3E0E">
        <w:rPr>
          <w:color w:val="000000"/>
        </w:rPr>
        <w:t xml:space="preserve">at </w:t>
      </w:r>
      <w:r w:rsidRPr="00AD3E0E" w:rsidR="00B33D31">
        <w:rPr>
          <w:color w:val="000000"/>
        </w:rPr>
        <w:t xml:space="preserve">or below </w:t>
      </w:r>
      <w:r w:rsidRPr="00AD3E0E">
        <w:rPr>
          <w:color w:val="000000"/>
        </w:rPr>
        <w:t>the federal poverty level</w:t>
      </w:r>
      <w:r w:rsidR="0061216E">
        <w:rPr>
          <w:color w:val="000000"/>
        </w:rPr>
        <w:t>.</w:t>
      </w:r>
      <w:r>
        <w:rPr>
          <w:rStyle w:val="FootnoteReference"/>
          <w:color w:val="000000"/>
        </w:rPr>
        <w:footnoteReference w:id="3"/>
      </w:r>
      <w:r w:rsidRPr="00AD3E0E">
        <w:rPr>
          <w:color w:val="000000"/>
        </w:rPr>
        <w:t xml:space="preserve"> </w:t>
      </w:r>
      <w:r w:rsidRPr="00AD3E0E" w:rsidR="006518A3">
        <w:rPr>
          <w:color w:val="000000"/>
        </w:rPr>
        <w:t xml:space="preserve">  </w:t>
      </w:r>
    </w:p>
    <w:p w:rsidR="006518A3" w:rsidRPr="00AD3E0E" w:rsidP="001D6C97">
      <w:pPr>
        <w:spacing w:line="480" w:lineRule="auto"/>
        <w:ind w:firstLine="720"/>
        <w:rPr>
          <w:color w:val="000000"/>
        </w:rPr>
      </w:pPr>
      <w:r w:rsidRPr="00AD3E0E">
        <w:rPr>
          <w:color w:val="000000"/>
        </w:rPr>
        <w:t>To its credit, t</w:t>
      </w:r>
      <w:r w:rsidRPr="00AD3E0E">
        <w:rPr>
          <w:color w:val="000000"/>
        </w:rPr>
        <w:t xml:space="preserve">he Environmental Law and Policy Center (“ELPC”) </w:t>
      </w:r>
      <w:r w:rsidRPr="00AD3E0E">
        <w:rPr>
          <w:color w:val="000000"/>
        </w:rPr>
        <w:t>called out DP&amp;L for filing an</w:t>
      </w:r>
      <w:r w:rsidRPr="00AD3E0E">
        <w:rPr>
          <w:color w:val="000000"/>
        </w:rPr>
        <w:t xml:space="preserve"> application</w:t>
      </w:r>
      <w:r w:rsidRPr="00AD3E0E">
        <w:rPr>
          <w:color w:val="000000"/>
        </w:rPr>
        <w:t xml:space="preserve"> that</w:t>
      </w:r>
      <w:r w:rsidRPr="00AD3E0E">
        <w:rPr>
          <w:color w:val="000000"/>
        </w:rPr>
        <w:t xml:space="preserve"> lacks the information necessary for the PUCO to determine whether DP&amp;L’s plan</w:t>
      </w:r>
      <w:r w:rsidRPr="00AD3E0E">
        <w:rPr>
          <w:color w:val="000000"/>
        </w:rPr>
        <w:t xml:space="preserve"> (and proposed huge cost)</w:t>
      </w:r>
      <w:r w:rsidRPr="00AD3E0E">
        <w:rPr>
          <w:color w:val="000000"/>
        </w:rPr>
        <w:t xml:space="preserve"> </w:t>
      </w:r>
      <w:r w:rsidRPr="00AD3E0E">
        <w:rPr>
          <w:color w:val="000000"/>
        </w:rPr>
        <w:t>are</w:t>
      </w:r>
      <w:r w:rsidRPr="00AD3E0E">
        <w:rPr>
          <w:color w:val="000000"/>
        </w:rPr>
        <w:t xml:space="preserve"> just and reasonable.</w:t>
      </w:r>
      <w:r>
        <w:rPr>
          <w:rStyle w:val="FootnoteReference"/>
          <w:color w:val="000000"/>
        </w:rPr>
        <w:footnoteReference w:id="4"/>
      </w:r>
      <w:r w:rsidRPr="00AD3E0E">
        <w:rPr>
          <w:color w:val="000000"/>
        </w:rPr>
        <w:t xml:space="preserve"> </w:t>
      </w:r>
      <w:r w:rsidRPr="00AD3E0E">
        <w:rPr>
          <w:color w:val="000000"/>
        </w:rPr>
        <w:t xml:space="preserve"> </w:t>
      </w:r>
      <w:r w:rsidRPr="00AD3E0E">
        <w:rPr>
          <w:color w:val="000000"/>
        </w:rPr>
        <w:t xml:space="preserve">ELPC asked the PUCO to dismiss DP&amp;L’s inadequate application. </w:t>
      </w:r>
      <w:r w:rsidRPr="00AD3E0E" w:rsidR="001D7600">
        <w:rPr>
          <w:color w:val="000000"/>
        </w:rPr>
        <w:t xml:space="preserve">On </w:t>
      </w:r>
      <w:r w:rsidR="0061216E">
        <w:rPr>
          <w:color w:val="000000"/>
        </w:rPr>
        <w:t>October 7</w:t>
      </w:r>
      <w:r w:rsidRPr="00AD3E0E" w:rsidR="001D7600">
        <w:rPr>
          <w:color w:val="000000"/>
        </w:rPr>
        <w:t>, 2019, OCC supported ELPC’s proposed dismissal</w:t>
      </w:r>
      <w:r w:rsidRPr="00AD3E0E" w:rsidR="007766B0">
        <w:rPr>
          <w:color w:val="000000"/>
        </w:rPr>
        <w:t xml:space="preserve"> (but not ELPC’s </w:t>
      </w:r>
      <w:r w:rsidRPr="00AD3E0E" w:rsidR="00323DA2">
        <w:rPr>
          <w:color w:val="000000"/>
        </w:rPr>
        <w:t xml:space="preserve">secondary </w:t>
      </w:r>
      <w:r w:rsidR="0061216E">
        <w:rPr>
          <w:color w:val="000000"/>
        </w:rPr>
        <w:t xml:space="preserve">proposal </w:t>
      </w:r>
      <w:r w:rsidRPr="00AD3E0E" w:rsidR="007766B0">
        <w:rPr>
          <w:color w:val="000000"/>
        </w:rPr>
        <w:t>for merely requiring DP&amp;L to file more testimony).</w:t>
      </w:r>
      <w:r w:rsidRPr="00AD3E0E" w:rsidR="00D40BF1">
        <w:rPr>
          <w:color w:val="000000"/>
        </w:rPr>
        <w:t xml:space="preserve"> There, OCC</w:t>
      </w:r>
      <w:r w:rsidRPr="00AD3E0E" w:rsidR="001D7600">
        <w:rPr>
          <w:color w:val="000000"/>
        </w:rPr>
        <w:t xml:space="preserve"> also significantly expand</w:t>
      </w:r>
      <w:r w:rsidRPr="00AD3E0E" w:rsidR="00D40BF1">
        <w:rPr>
          <w:color w:val="000000"/>
        </w:rPr>
        <w:t>ed</w:t>
      </w:r>
      <w:r w:rsidRPr="00AD3E0E" w:rsidR="001D7600">
        <w:rPr>
          <w:color w:val="000000"/>
        </w:rPr>
        <w:t xml:space="preserve"> </w:t>
      </w:r>
      <w:r w:rsidRPr="00AD3E0E" w:rsidR="00220087">
        <w:rPr>
          <w:color w:val="000000"/>
        </w:rPr>
        <w:t>ELPC’s list of</w:t>
      </w:r>
      <w:r w:rsidRPr="00AD3E0E" w:rsidR="001D7600">
        <w:rPr>
          <w:color w:val="000000"/>
        </w:rPr>
        <w:t xml:space="preserve"> consumer issues that DP&amp;L </w:t>
      </w:r>
      <w:r w:rsidRPr="00AD3E0E" w:rsidR="00323DA2">
        <w:rPr>
          <w:color w:val="000000"/>
        </w:rPr>
        <w:t>failed to explain</w:t>
      </w:r>
      <w:r w:rsidRPr="00AD3E0E" w:rsidR="001D7600">
        <w:rPr>
          <w:color w:val="000000"/>
        </w:rPr>
        <w:t xml:space="preserve"> for its proposed huge charges.</w:t>
      </w:r>
      <w:r w:rsidRPr="00AD3E0E">
        <w:rPr>
          <w:color w:val="000000"/>
        </w:rPr>
        <w:t xml:space="preserve"> </w:t>
      </w:r>
      <w:r w:rsidRPr="00AD3E0E">
        <w:rPr>
          <w:color w:val="000000"/>
        </w:rPr>
        <w:t xml:space="preserve"> </w:t>
      </w:r>
      <w:r w:rsidRPr="00AD3E0E" w:rsidR="00D40BF1">
        <w:rPr>
          <w:color w:val="000000"/>
        </w:rPr>
        <w:t>The PUCO should not allow a monopoly application of close to a billion dollars in charges to consumers on little more than DP&amp;L’s “trust us” and “give us the money” approach.</w:t>
      </w:r>
    </w:p>
    <w:p w:rsidR="006518A3" w:rsidRPr="00AD3E0E" w:rsidP="006518A3">
      <w:pPr>
        <w:spacing w:line="480" w:lineRule="auto"/>
        <w:ind w:firstLine="720"/>
        <w:rPr>
          <w:color w:val="000000"/>
        </w:rPr>
      </w:pPr>
      <w:r w:rsidRPr="00AD3E0E">
        <w:rPr>
          <w:color w:val="000000"/>
        </w:rPr>
        <w:t xml:space="preserve">The Office of the Ohio Consumers’ Counsel </w:t>
      </w:r>
      <w:r w:rsidRPr="00AD3E0E" w:rsidR="00022E24">
        <w:rPr>
          <w:color w:val="000000"/>
        </w:rPr>
        <w:t xml:space="preserve">(“OCC”) </w:t>
      </w:r>
      <w:r w:rsidRPr="00AD3E0E">
        <w:rPr>
          <w:color w:val="000000"/>
        </w:rPr>
        <w:t>agrees that the PUCO should dismiss the application</w:t>
      </w:r>
      <w:r w:rsidRPr="00AD3E0E" w:rsidR="00CC0A35">
        <w:rPr>
          <w:color w:val="000000"/>
        </w:rPr>
        <w:t>.</w:t>
      </w:r>
      <w:r w:rsidRPr="00AD3E0E">
        <w:rPr>
          <w:color w:val="000000"/>
        </w:rPr>
        <w:t xml:space="preserve">  </w:t>
      </w:r>
      <w:r w:rsidRPr="00AD3E0E" w:rsidR="00022E24">
        <w:rPr>
          <w:color w:val="000000"/>
        </w:rPr>
        <w:t>OCC</w:t>
      </w:r>
      <w:r w:rsidRPr="00AD3E0E">
        <w:rPr>
          <w:color w:val="000000"/>
        </w:rPr>
        <w:t xml:space="preserve"> disagrees with ELPC’s</w:t>
      </w:r>
      <w:r w:rsidRPr="00AD3E0E" w:rsidR="00CC0A35">
        <w:rPr>
          <w:color w:val="000000"/>
        </w:rPr>
        <w:t xml:space="preserve"> alternative </w:t>
      </w:r>
      <w:r w:rsidRPr="00AD3E0E">
        <w:rPr>
          <w:color w:val="000000"/>
        </w:rPr>
        <w:t>suggestion that DP&amp;L be allowed to file more supportive testimony</w:t>
      </w:r>
      <w:r w:rsidRPr="00AD3E0E" w:rsidR="00CC0A35">
        <w:rPr>
          <w:color w:val="000000"/>
        </w:rPr>
        <w:t xml:space="preserve"> in lieu of dismissing the application</w:t>
      </w:r>
      <w:r w:rsidRPr="00AD3E0E">
        <w:rPr>
          <w:color w:val="000000"/>
        </w:rPr>
        <w:t xml:space="preserve">.  The application </w:t>
      </w:r>
      <w:r w:rsidRPr="00AD3E0E" w:rsidR="00CC0A35">
        <w:rPr>
          <w:color w:val="000000"/>
        </w:rPr>
        <w:t xml:space="preserve">is so fundamentally flawed that it cannot be </w:t>
      </w:r>
      <w:r w:rsidRPr="00AD3E0E">
        <w:rPr>
          <w:color w:val="000000"/>
        </w:rPr>
        <w:t xml:space="preserve">saved by additional testimony.  </w:t>
      </w:r>
      <w:r w:rsidRPr="00AD3E0E" w:rsidR="00022E24">
        <w:rPr>
          <w:color w:val="000000"/>
        </w:rPr>
        <w:t>OCC</w:t>
      </w:r>
      <w:r w:rsidRPr="00AD3E0E" w:rsidR="00DF0FC9">
        <w:rPr>
          <w:color w:val="000000"/>
        </w:rPr>
        <w:t xml:space="preserve"> recommends that the </w:t>
      </w:r>
      <w:r w:rsidRPr="00AD3E0E">
        <w:rPr>
          <w:color w:val="000000"/>
        </w:rPr>
        <w:t xml:space="preserve">PUCO dismiss the application </w:t>
      </w:r>
      <w:r w:rsidRPr="00AD3E0E" w:rsidR="00CC0A35">
        <w:rPr>
          <w:color w:val="000000"/>
        </w:rPr>
        <w:t xml:space="preserve">altogether.  </w:t>
      </w:r>
    </w:p>
    <w:p w:rsidR="00DF0FC9" w:rsidRPr="00AD3E0E" w:rsidP="006518A3">
      <w:pPr>
        <w:spacing w:line="480" w:lineRule="auto"/>
        <w:ind w:firstLine="720"/>
        <w:rPr>
          <w:color w:val="000000"/>
        </w:rPr>
      </w:pPr>
      <w:r w:rsidRPr="00AD3E0E">
        <w:rPr>
          <w:color w:val="000000"/>
        </w:rPr>
        <w:t xml:space="preserve">On October 7, 2019, DP&amp;L filed a memorandum in opposition to ELPC’s motion.  </w:t>
      </w:r>
      <w:r w:rsidRPr="00AD3E0E" w:rsidR="001E4F30">
        <w:rPr>
          <w:color w:val="000000"/>
        </w:rPr>
        <w:t xml:space="preserve">DP&amp;L makes five arguments against the motion: (1) that ELPC lacks standing to file its motion; (2) that DP&amp;L’s plan to negotiate with parties will lead to the best result in this case; (3) that its cost-benefit analysis is reasonable and complete; (4) </w:t>
      </w:r>
      <w:r w:rsidRPr="00AD3E0E" w:rsidR="00810AB2">
        <w:rPr>
          <w:color w:val="000000"/>
        </w:rPr>
        <w:t>that its Modernization Plan is consistent with the PUCO’s PowerForward Roadmap; and (5) that dismissal of the entire application is not an appropriate remedy.</w:t>
      </w:r>
      <w:r>
        <w:rPr>
          <w:rStyle w:val="FootnoteReference"/>
          <w:color w:val="000000"/>
        </w:rPr>
        <w:footnoteReference w:id="5"/>
      </w:r>
      <w:r w:rsidRPr="00AD3E0E" w:rsidR="00810AB2">
        <w:rPr>
          <w:color w:val="000000"/>
        </w:rPr>
        <w:t xml:space="preserve">  DP&amp;L’s arguments against ELPC’s motion are without merit.  The PUCO should dismiss the application in this case. </w:t>
      </w:r>
    </w:p>
    <w:p w:rsidR="00AD3E0E" w:rsidP="00BA1289">
      <w:pPr>
        <w:spacing w:before="240" w:line="480" w:lineRule="auto"/>
        <w:rPr>
          <w:b/>
          <w:bCs/>
          <w:color w:val="000000"/>
        </w:rPr>
        <w:sectPr w:rsidSect="001D6C9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p w:rsidR="006518A3" w:rsidRPr="00AD3E0E" w:rsidP="00BA1289">
      <w:pPr>
        <w:spacing w:before="240" w:line="480" w:lineRule="auto"/>
        <w:rPr>
          <w:color w:val="000000"/>
        </w:rPr>
      </w:pPr>
      <w:r w:rsidRPr="00AD3E0E">
        <w:rPr>
          <w:b/>
          <w:bCs/>
          <w:color w:val="000000"/>
        </w:rPr>
        <w:t>II.</w:t>
      </w:r>
      <w:r w:rsidRPr="00AD3E0E">
        <w:rPr>
          <w:b/>
          <w:bCs/>
          <w:color w:val="000000"/>
        </w:rPr>
        <w:tab/>
        <w:t>DISCUSSION</w:t>
      </w:r>
    </w:p>
    <w:p w:rsidR="00810AB2" w:rsidRPr="00AD3E0E" w:rsidP="00810AB2">
      <w:pPr>
        <w:spacing w:after="240"/>
        <w:ind w:left="1440" w:hanging="720"/>
        <w:rPr>
          <w:b/>
          <w:bCs/>
        </w:rPr>
      </w:pPr>
      <w:r w:rsidRPr="00AD3E0E">
        <w:rPr>
          <w:b/>
          <w:bCs/>
        </w:rPr>
        <w:t>A.</w:t>
      </w:r>
      <w:r w:rsidRPr="00AD3E0E">
        <w:rPr>
          <w:b/>
          <w:bCs/>
        </w:rPr>
        <w:tab/>
        <w:t xml:space="preserve">DP&amp;L’s argument </w:t>
      </w:r>
      <w:r w:rsidRPr="00AD3E0E" w:rsidR="00195AFE">
        <w:rPr>
          <w:b/>
          <w:bCs/>
        </w:rPr>
        <w:t>that ELPC lacks standing to file the motion is out of time and without merit.</w:t>
      </w:r>
    </w:p>
    <w:p w:rsidR="00810AB2" w:rsidRPr="00AD3E0E" w:rsidP="006518A3">
      <w:pPr>
        <w:spacing w:line="480" w:lineRule="auto"/>
        <w:ind w:firstLine="720"/>
      </w:pPr>
      <w:r w:rsidRPr="00AD3E0E">
        <w:t>In its opposition to ELPC’s motion, DP&amp;L first challenges ELPC’s standing to file the motion.  DP&amp;L bases its claim on ELPC’s support for DP&amp;L’s customers.</w:t>
      </w:r>
      <w:r>
        <w:rPr>
          <w:rStyle w:val="FootnoteReference"/>
        </w:rPr>
        <w:footnoteReference w:id="6"/>
      </w:r>
      <w:r w:rsidRPr="00AD3E0E">
        <w:t xml:space="preserve">  DP&amp;L claims that ELPC has not shown that it is a DP&amp;L customer or that saving customers money is germane to ELPC’s mission to protect the environment.</w:t>
      </w:r>
      <w:r>
        <w:rPr>
          <w:rStyle w:val="FootnoteReference"/>
        </w:rPr>
        <w:footnoteReference w:id="7"/>
      </w:r>
      <w:r w:rsidRPr="00AD3E0E" w:rsidR="00070BEC">
        <w:t xml:space="preserve">  DP&amp;L’s argument regarding ELPC’s standing is late and without merit.</w:t>
      </w:r>
    </w:p>
    <w:p w:rsidR="00BA6519" w:rsidRPr="00AD3E0E" w:rsidP="006518A3">
      <w:pPr>
        <w:spacing w:line="480" w:lineRule="auto"/>
        <w:ind w:firstLine="720"/>
      </w:pPr>
      <w:r w:rsidRPr="00AD3E0E">
        <w:t xml:space="preserve">DP&amp;L should have raised the standing argument in response to ELPC’s motion to intervene, which was filed in this case on January 30, 2019.  </w:t>
      </w:r>
      <w:r w:rsidRPr="00AD3E0E">
        <w:t xml:space="preserve">But DP&amp;L did not.  </w:t>
      </w:r>
      <w:r w:rsidRPr="00AD3E0E" w:rsidR="00CB637B">
        <w:t>The time has expired for DP&amp;L to oppose ELPC’s motion to intervene for lack of standing or any other grounds.</w:t>
      </w:r>
      <w:r>
        <w:rPr>
          <w:rStyle w:val="FootnoteReference"/>
        </w:rPr>
        <w:footnoteReference w:id="8"/>
      </w:r>
    </w:p>
    <w:p w:rsidR="00CB637B" w:rsidRPr="00AD3E0E" w:rsidP="006518A3">
      <w:pPr>
        <w:spacing w:line="480" w:lineRule="auto"/>
        <w:ind w:firstLine="720"/>
        <w:rPr>
          <w:rFonts w:ascii="TimesNewRomanPSMT" w:hAnsi="TimesNewRomanPSMT" w:cs="TimesNewRomanPSMT"/>
        </w:rPr>
      </w:pPr>
      <w:r w:rsidRPr="00AD3E0E">
        <w:t>In its motion to intervene, ELPC stated that it “</w:t>
      </w:r>
      <w:r w:rsidRPr="00AD3E0E">
        <w:rPr>
          <w:rFonts w:ascii="TimesNewRomanPSMT" w:hAnsi="TimesNewRomanPSMT" w:cs="TimesNewRomanPSMT"/>
        </w:rPr>
        <w:t>has an interest in ensuring the cost-effective implementation of grid modernization technologies to reduce energy consumption and produce corresponding environmental benefits, and in ensuring that utilities recognize the value of distributed energy resources.”</w:t>
      </w:r>
      <w:r>
        <w:rPr>
          <w:rStyle w:val="FootnoteReference"/>
          <w:rFonts w:ascii="TimesNewRomanPSMT" w:hAnsi="TimesNewRomanPSMT" w:cs="TimesNewRomanPSMT"/>
        </w:rPr>
        <w:footnoteReference w:id="9"/>
      </w:r>
      <w:r w:rsidRPr="00AD3E0E" w:rsidR="00BA6519">
        <w:rPr>
          <w:rFonts w:ascii="TimesNewRomanPSMT" w:hAnsi="TimesNewRomanPSMT" w:cs="TimesNewRomanPSMT"/>
        </w:rPr>
        <w:t xml:space="preserve">  ELPC also stated that it seeks the PUCO’s “careful scrutiny of DP&amp;L’s proposal to ensure it is reasonably designed to deliver cost-effective grid modernization measures that maximize energy savings and environmental benefits.”</w:t>
      </w:r>
      <w:r>
        <w:rPr>
          <w:rStyle w:val="FootnoteReference"/>
          <w:rFonts w:ascii="TimesNewRomanPSMT" w:hAnsi="TimesNewRomanPSMT" w:cs="TimesNewRomanPSMT"/>
        </w:rPr>
        <w:footnoteReference w:id="10"/>
      </w:r>
      <w:r w:rsidRPr="00AD3E0E" w:rsidR="00BA6519">
        <w:rPr>
          <w:rFonts w:ascii="TimesNewRomanPSMT" w:hAnsi="TimesNewRomanPSMT" w:cs="TimesNewRomanPSMT"/>
        </w:rPr>
        <w:t xml:space="preserve">  Cost-effective grid modernization is necessary to help save consumers money.  </w:t>
      </w:r>
      <w:r w:rsidRPr="00AD3E0E" w:rsidR="00022E24">
        <w:rPr>
          <w:rFonts w:ascii="TimesNewRomanPSMT" w:hAnsi="TimesNewRomanPSMT" w:cs="TimesNewRomanPSMT"/>
        </w:rPr>
        <w:t>OCC</w:t>
      </w:r>
      <w:r w:rsidRPr="00AD3E0E" w:rsidR="00BA6519">
        <w:rPr>
          <w:rFonts w:ascii="TimesNewRomanPSMT" w:hAnsi="TimesNewRomanPSMT" w:cs="TimesNewRomanPSMT"/>
        </w:rPr>
        <w:t xml:space="preserve"> welcomes ELPC’s efforts to make utilities’ programs more cost-effective so that consumers might be charged less for the programs.  </w:t>
      </w:r>
    </w:p>
    <w:p w:rsidR="00BA6519" w:rsidRPr="00AD3E0E" w:rsidP="006518A3">
      <w:pPr>
        <w:spacing w:line="480" w:lineRule="auto"/>
        <w:ind w:firstLine="720"/>
        <w:rPr>
          <w:rFonts w:ascii="TimesNewRomanPSMT" w:hAnsi="TimesNewRomanPSMT" w:cs="TimesNewRomanPSMT"/>
        </w:rPr>
      </w:pPr>
      <w:r w:rsidRPr="00AD3E0E">
        <w:rPr>
          <w:rFonts w:ascii="TimesNewRomanPSMT" w:hAnsi="TimesNewRomanPSMT" w:cs="TimesNewRomanPSMT"/>
        </w:rPr>
        <w:t xml:space="preserve">In arguing that ELPC lacks standing to file </w:t>
      </w:r>
      <w:r w:rsidRPr="00AD3E0E" w:rsidR="00956DCA">
        <w:rPr>
          <w:rFonts w:ascii="TimesNewRomanPSMT" w:hAnsi="TimesNewRomanPSMT" w:cs="TimesNewRomanPSMT"/>
        </w:rPr>
        <w:t>the</w:t>
      </w:r>
      <w:r w:rsidRPr="00AD3E0E">
        <w:rPr>
          <w:rFonts w:ascii="TimesNewRomanPSMT" w:hAnsi="TimesNewRomanPSMT" w:cs="TimesNewRomanPSMT"/>
        </w:rPr>
        <w:t xml:space="preserve"> motion to dismiss, DP&amp;L cites to various passages from the motion.  Included in those passages are two that specifically mention the cost-effectiveness of DP&amp;L’s plan.</w:t>
      </w:r>
      <w:r>
        <w:rPr>
          <w:rStyle w:val="FootnoteReference"/>
          <w:rFonts w:ascii="TimesNewRomanPSMT" w:hAnsi="TimesNewRomanPSMT" w:cs="TimesNewRomanPSMT"/>
        </w:rPr>
        <w:footnoteReference w:id="11"/>
      </w:r>
      <w:r w:rsidRPr="00AD3E0E">
        <w:rPr>
          <w:rFonts w:ascii="TimesNewRomanPSMT" w:hAnsi="TimesNewRomanPSMT" w:cs="TimesNewRomanPSMT"/>
        </w:rPr>
        <w:t xml:space="preserve">  Based on these passages and others that relate to consumer benefits, DP&amp;L claims that ELPC lacks standing to file the motion.</w:t>
      </w:r>
      <w:r>
        <w:rPr>
          <w:rStyle w:val="FootnoteReference"/>
          <w:rFonts w:ascii="TimesNewRomanPSMT" w:hAnsi="TimesNewRomanPSMT" w:cs="TimesNewRomanPSMT"/>
        </w:rPr>
        <w:footnoteReference w:id="12"/>
      </w:r>
      <w:r w:rsidRPr="00AD3E0E">
        <w:rPr>
          <w:rFonts w:ascii="TimesNewRomanPSMT" w:hAnsi="TimesNewRomanPSMT" w:cs="TimesNewRomanPSMT"/>
        </w:rPr>
        <w:t xml:space="preserve">  B</w:t>
      </w:r>
      <w:r w:rsidRPr="00AD3E0E" w:rsidR="00A93C08">
        <w:rPr>
          <w:rFonts w:ascii="TimesNewRomanPSMT" w:hAnsi="TimesNewRomanPSMT" w:cs="TimesNewRomanPSMT"/>
        </w:rPr>
        <w:t xml:space="preserve">ut because </w:t>
      </w:r>
      <w:r w:rsidRPr="00AD3E0E">
        <w:rPr>
          <w:rFonts w:ascii="TimesNewRomanPSMT" w:hAnsi="TimesNewRomanPSMT" w:cs="TimesNewRomanPSMT"/>
        </w:rPr>
        <w:t xml:space="preserve">DP&amp;L did not challenge ELPC’s motion to intervene in this case </w:t>
      </w:r>
      <w:r w:rsidRPr="00AD3E0E" w:rsidR="00A93C08">
        <w:rPr>
          <w:rFonts w:ascii="TimesNewRomanPSMT" w:hAnsi="TimesNewRomanPSMT" w:cs="TimesNewRomanPSMT"/>
        </w:rPr>
        <w:t xml:space="preserve">(which discussed cost-effectiveness as support for ELPC’s intervention), DP&amp;L </w:t>
      </w:r>
      <w:r w:rsidRPr="00AD3E0E">
        <w:rPr>
          <w:rFonts w:ascii="TimesNewRomanPSMT" w:hAnsi="TimesNewRomanPSMT" w:cs="TimesNewRomanPSMT"/>
        </w:rPr>
        <w:t xml:space="preserve">should not be allowed to raise the standing issue now.  </w:t>
      </w:r>
    </w:p>
    <w:p w:rsidR="00BA6519" w:rsidRPr="00AD3E0E" w:rsidP="006518A3">
      <w:pPr>
        <w:spacing w:line="480" w:lineRule="auto"/>
        <w:ind w:firstLine="720"/>
      </w:pPr>
      <w:r w:rsidRPr="00AD3E0E">
        <w:rPr>
          <w:rFonts w:ascii="TimesNewRomanPSMT" w:hAnsi="TimesNewRomanPSMT" w:cs="TimesNewRomanPSMT"/>
        </w:rPr>
        <w:t xml:space="preserve">Further, </w:t>
      </w:r>
      <w:r w:rsidRPr="00AD3E0E" w:rsidR="00A93C08">
        <w:rPr>
          <w:rFonts w:ascii="TimesNewRomanPSMT" w:hAnsi="TimesNewRomanPSMT" w:cs="TimesNewRomanPSMT"/>
        </w:rPr>
        <w:t xml:space="preserve">the PUCO’s rules </w:t>
      </w:r>
      <w:r w:rsidRPr="00AD3E0E" w:rsidR="00B33B68">
        <w:rPr>
          <w:rFonts w:ascii="TimesNewRomanPSMT" w:hAnsi="TimesNewRomanPSMT" w:cs="TimesNewRomanPSMT"/>
        </w:rPr>
        <w:t xml:space="preserve">do not require that </w:t>
      </w:r>
      <w:r w:rsidRPr="00AD3E0E" w:rsidR="00A93C08">
        <w:rPr>
          <w:rFonts w:ascii="TimesNewRomanPSMT" w:hAnsi="TimesNewRomanPSMT" w:cs="TimesNewRomanPSMT"/>
        </w:rPr>
        <w:t xml:space="preserve">a party’s motion </w:t>
      </w:r>
      <w:r w:rsidRPr="00AD3E0E" w:rsidR="00B33B68">
        <w:rPr>
          <w:rFonts w:ascii="TimesNewRomanPSMT" w:hAnsi="TimesNewRomanPSMT" w:cs="TimesNewRomanPSMT"/>
        </w:rPr>
        <w:t>must somehow be connected to</w:t>
      </w:r>
      <w:r w:rsidRPr="00AD3E0E" w:rsidR="00A93C08">
        <w:rPr>
          <w:rFonts w:ascii="TimesNewRomanPSMT" w:hAnsi="TimesNewRomanPSMT" w:cs="TimesNewRomanPSMT"/>
        </w:rPr>
        <w:t xml:space="preserve"> the party’s purpose for participating in a case, as DP&amp;L contends.</w:t>
      </w:r>
      <w:r>
        <w:rPr>
          <w:rStyle w:val="FootnoteReference"/>
          <w:rFonts w:ascii="TimesNewRomanPSMT" w:hAnsi="TimesNewRomanPSMT" w:cs="TimesNewRomanPSMT"/>
        </w:rPr>
        <w:footnoteReference w:id="13"/>
      </w:r>
      <w:r w:rsidRPr="00AD3E0E" w:rsidR="00A93C08">
        <w:rPr>
          <w:rFonts w:ascii="TimesNewRomanPSMT" w:hAnsi="TimesNewRomanPSMT" w:cs="TimesNewRomanPSMT"/>
        </w:rPr>
        <w:t xml:space="preserve">  DP&amp;L’s argument is without merit and the PUCO should reject it.</w:t>
      </w:r>
    </w:p>
    <w:p w:rsidR="00CB637B" w:rsidRPr="00AD3E0E" w:rsidP="00FE2791">
      <w:pPr>
        <w:spacing w:after="240"/>
        <w:ind w:left="1440" w:hanging="720"/>
        <w:rPr>
          <w:b/>
          <w:bCs/>
        </w:rPr>
      </w:pPr>
      <w:r w:rsidRPr="00AD3E0E">
        <w:rPr>
          <w:b/>
          <w:bCs/>
        </w:rPr>
        <w:t>B.</w:t>
      </w:r>
      <w:r w:rsidRPr="00AD3E0E">
        <w:rPr>
          <w:b/>
          <w:bCs/>
        </w:rPr>
        <w:tab/>
      </w:r>
      <w:r w:rsidRPr="00AD3E0E" w:rsidR="00FE2791">
        <w:rPr>
          <w:b/>
          <w:bCs/>
        </w:rPr>
        <w:t xml:space="preserve">DP&amp;L’s application lacks important information for parties and the PUCO to </w:t>
      </w:r>
      <w:r w:rsidRPr="00AD3E0E" w:rsidR="003660A6">
        <w:rPr>
          <w:b/>
          <w:bCs/>
        </w:rPr>
        <w:t>evaluate whether programs would be cost-effective.</w:t>
      </w:r>
    </w:p>
    <w:p w:rsidR="00CA4313" w:rsidRPr="00AD3E0E" w:rsidP="006518A3">
      <w:pPr>
        <w:spacing w:line="480" w:lineRule="auto"/>
        <w:ind w:firstLine="720"/>
      </w:pPr>
      <w:r w:rsidRPr="00AD3E0E">
        <w:t>ELPC’s motion specifically addresses the shortcomings of DP&amp;L’s application regarding four pilot programs: its distributed energy demonstration projects; its microgrid pilot; its electric vehicle charging initiative; and its conservation voltage reduction and volt/VAR optimization initiative.</w:t>
      </w:r>
      <w:r>
        <w:rPr>
          <w:rStyle w:val="FootnoteReference"/>
        </w:rPr>
        <w:footnoteReference w:id="14"/>
      </w:r>
      <w:r w:rsidRPr="00AD3E0E">
        <w:t xml:space="preserve">  </w:t>
      </w:r>
      <w:r w:rsidRPr="00AD3E0E" w:rsidR="003660A6">
        <w:t>As ELPC noted, when a utility proposes to undertake a pilot, “it supports that proposal with detailed expert testimony and analysis explaining how much the project will cost, how it will benefit customers, and how it will be designed and implemented.”</w:t>
      </w:r>
      <w:r>
        <w:rPr>
          <w:rStyle w:val="FootnoteReference"/>
        </w:rPr>
        <w:footnoteReference w:id="15"/>
      </w:r>
      <w:r w:rsidRPr="00AD3E0E" w:rsidR="003660A6">
        <w:t xml:space="preserve">  In this case, however, DP&amp;L provided scant information about even essential details of the pilots.</w:t>
      </w:r>
      <w:r w:rsidRPr="00AD3E0E">
        <w:t xml:space="preserve">  </w:t>
      </w:r>
    </w:p>
    <w:p w:rsidR="00CA4313" w:rsidRPr="00AD3E0E" w:rsidP="006518A3">
      <w:pPr>
        <w:spacing w:line="480" w:lineRule="auto"/>
        <w:ind w:firstLine="720"/>
      </w:pPr>
      <w:r w:rsidRPr="00AD3E0E">
        <w:t>In response, DP&amp;L claims that working with parties to hammer out the details of the pilots will lead to “the best result.”</w:t>
      </w:r>
      <w:r>
        <w:rPr>
          <w:rStyle w:val="FootnoteReference"/>
        </w:rPr>
        <w:footnoteReference w:id="16"/>
      </w:r>
      <w:r w:rsidRPr="00AD3E0E">
        <w:t xml:space="preserve">  DP&amp;L said that different parties have different views regarding whether the demonstration projects should exist and how they should be structured.</w:t>
      </w:r>
      <w:r>
        <w:rPr>
          <w:rStyle w:val="FootnoteReference"/>
        </w:rPr>
        <w:footnoteReference w:id="17"/>
      </w:r>
      <w:r w:rsidRPr="00AD3E0E">
        <w:t xml:space="preserve">  DP&amp;L also stated that some of the parties to the case have more experience than DP&amp;L regarding the demonstration projects.</w:t>
      </w:r>
      <w:r>
        <w:rPr>
          <w:rStyle w:val="FootnoteReference"/>
        </w:rPr>
        <w:footnoteReference w:id="18"/>
      </w:r>
      <w:r w:rsidRPr="00AD3E0E">
        <w:t xml:space="preserve"> DP&amp;L stated that the best way to implement the best possible demonstration projects was to work with a team of interested parties.</w:t>
      </w:r>
      <w:r>
        <w:rPr>
          <w:rStyle w:val="FootnoteReference"/>
        </w:rPr>
        <w:footnoteReference w:id="19"/>
      </w:r>
      <w:r w:rsidRPr="00AD3E0E" w:rsidR="0018180F">
        <w:t xml:space="preserve">  </w:t>
      </w:r>
      <w:r w:rsidRPr="00AD3E0E" w:rsidR="004448E1">
        <w:t xml:space="preserve">Regardless of a proposed process for accomplishing the implementation of the demonstration projects, </w:t>
      </w:r>
      <w:r w:rsidRPr="00AD3E0E" w:rsidR="0018180F">
        <w:t>DP&amp;L should at least have an estimate of the costs consumers would be charged for the projects.  But it does not.</w:t>
      </w:r>
    </w:p>
    <w:p w:rsidR="0018180F" w:rsidRPr="00AD3E0E" w:rsidP="006518A3">
      <w:pPr>
        <w:spacing w:line="480" w:lineRule="auto"/>
        <w:ind w:firstLine="720"/>
      </w:pPr>
      <w:r w:rsidRPr="00AD3E0E">
        <w:t>As ELPC pointed out, DP&amp;L does not know how much either the battery storage or the solar demonstration project will cost.</w:t>
      </w:r>
      <w:r>
        <w:rPr>
          <w:rStyle w:val="FootnoteReference"/>
        </w:rPr>
        <w:footnoteReference w:id="20"/>
      </w:r>
      <w:r w:rsidRPr="00AD3E0E">
        <w:t xml:space="preserve">  DP&amp;L does not provide any information on the costs, benefits, design, implementation, evaluation, or even the location of the proposed microgrid project.</w:t>
      </w:r>
      <w:r>
        <w:rPr>
          <w:rStyle w:val="FootnoteReference"/>
        </w:rPr>
        <w:footnoteReference w:id="21"/>
      </w:r>
      <w:r w:rsidRPr="00AD3E0E">
        <w:t xml:space="preserve">  Similarly, DP&amp;L’s application has no information regarding the costs, benefits, and user fees associated with the electric vehicle charging pilot.</w:t>
      </w:r>
      <w:r>
        <w:rPr>
          <w:rStyle w:val="FootnoteReference"/>
        </w:rPr>
        <w:footnoteReference w:id="22"/>
      </w:r>
      <w:r w:rsidRPr="00AD3E0E">
        <w:t xml:space="preserve"> </w:t>
      </w:r>
      <w:r w:rsidRPr="00AD3E0E" w:rsidR="00032922">
        <w:t xml:space="preserve"> There isn’t even any detail regarding how customers may host a charging station.</w:t>
      </w:r>
      <w:r>
        <w:rPr>
          <w:rStyle w:val="FootnoteReference"/>
        </w:rPr>
        <w:footnoteReference w:id="23"/>
      </w:r>
      <w:r w:rsidRPr="00AD3E0E" w:rsidR="00032922">
        <w:t xml:space="preserve">  And regarding the conservation voltage reduction and volt/VAR optimization initiative, DP&amp;L offers no rationale for its proposed deployment and no metrics for evaluating the initiative’s performance.</w:t>
      </w:r>
      <w:r>
        <w:rPr>
          <w:rStyle w:val="FootnoteReference"/>
        </w:rPr>
        <w:footnoteReference w:id="24"/>
      </w:r>
    </w:p>
    <w:p w:rsidR="00032922" w:rsidRPr="00AD3E0E" w:rsidP="00032922">
      <w:pPr>
        <w:spacing w:line="480" w:lineRule="auto"/>
        <w:ind w:firstLine="720"/>
      </w:pPr>
      <w:r w:rsidRPr="00AD3E0E">
        <w:t>To protect consumers, t</w:t>
      </w:r>
      <w:r w:rsidRPr="00AD3E0E">
        <w:t>he PUCO should require a more detailed application than the one DP&amp;L has filed in this case.  DP&amp;L is planning to spend over $575 million in capital when it does not have sufficient financial resources to implement the Modernization Plan without the extension of the modernization charge</w:t>
      </w:r>
      <w:r w:rsidRPr="00AD3E0E" w:rsidR="00780F1A">
        <w:t xml:space="preserve"> to customers</w:t>
      </w:r>
      <w:r w:rsidRPr="00AD3E0E">
        <w:t xml:space="preserve">.  </w:t>
      </w:r>
      <w:r w:rsidRPr="00AD3E0E" w:rsidR="00780F1A">
        <w:t>The current level of detail in DP&amp;L’s application does not support this expenditure</w:t>
      </w:r>
      <w:r w:rsidRPr="00AD3E0E">
        <w:t xml:space="preserve">. </w:t>
      </w:r>
    </w:p>
    <w:p w:rsidR="00032922" w:rsidRPr="00AD3E0E" w:rsidP="00D6503D">
      <w:pPr>
        <w:spacing w:after="240"/>
        <w:ind w:left="1440" w:hanging="720"/>
        <w:rPr>
          <w:b/>
          <w:bCs/>
        </w:rPr>
      </w:pPr>
      <w:r w:rsidRPr="00AD3E0E">
        <w:rPr>
          <w:b/>
          <w:bCs/>
        </w:rPr>
        <w:t>C.</w:t>
      </w:r>
      <w:r w:rsidRPr="00AD3E0E">
        <w:rPr>
          <w:b/>
          <w:bCs/>
        </w:rPr>
        <w:tab/>
        <w:t>DP&amp;L’s cost-benefit analysis lacks quantifiable benefits to consumers.</w:t>
      </w:r>
    </w:p>
    <w:p w:rsidR="00D6503D" w:rsidRPr="00AD3E0E" w:rsidP="00D6503D">
      <w:pPr>
        <w:spacing w:line="480" w:lineRule="auto"/>
        <w:ind w:firstLine="720"/>
      </w:pPr>
      <w:r w:rsidRPr="00AD3E0E">
        <w:t>In its motion to dismiss, ELPC noted that the cost-benefit analysis in the application makes it impossible for the PUCO to determine whether specific components are just and reasonable and will provide net benefits to consumers.</w:t>
      </w:r>
      <w:r>
        <w:rPr>
          <w:rStyle w:val="FootnoteReference"/>
        </w:rPr>
        <w:footnoteReference w:id="25"/>
      </w:r>
      <w:r w:rsidRPr="00AD3E0E">
        <w:t xml:space="preserve"> DP&amp;L responds that </w:t>
      </w:r>
      <w:r w:rsidRPr="00AD3E0E" w:rsidR="005940CE">
        <w:t>its cost-benefit analysis need only show the costs and benefits of the entire plan – not each specific component.</w:t>
      </w:r>
      <w:r>
        <w:rPr>
          <w:rStyle w:val="FootnoteReference"/>
        </w:rPr>
        <w:footnoteReference w:id="26"/>
      </w:r>
      <w:r w:rsidRPr="00AD3E0E" w:rsidR="005940CE">
        <w:t xml:space="preserve">  However, DP&amp;L’s cost-benefit analysis is flawed.</w:t>
      </w:r>
    </w:p>
    <w:p w:rsidR="00D6503D" w:rsidRPr="00AD3E0E" w:rsidP="00D6503D">
      <w:pPr>
        <w:spacing w:line="480" w:lineRule="auto"/>
        <w:ind w:firstLine="720"/>
      </w:pPr>
      <w:r w:rsidRPr="00AD3E0E">
        <w:t>DP&amp;L’s application</w:t>
      </w:r>
      <w:r w:rsidRPr="00AD3E0E">
        <w:t xml:space="preserve"> lack</w:t>
      </w:r>
      <w:r w:rsidRPr="00AD3E0E">
        <w:t>s</w:t>
      </w:r>
      <w:r w:rsidRPr="00AD3E0E">
        <w:t xml:space="preserve"> quantifiable benefits to justify the Modernization Plan’s high implementation costs to consumers. Most of the alleged benefits are supported through assumptions about increased service reliability and reductions in customer interruptions that are highly speculative at best. </w:t>
      </w:r>
      <w:r w:rsidRPr="00AD3E0E">
        <w:t xml:space="preserve"> For example, despite a full deployment of grid modernization </w:t>
      </w:r>
      <w:r w:rsidRPr="00AD3E0E" w:rsidR="007C3B87">
        <w:t xml:space="preserve">technology </w:t>
      </w:r>
      <w:r w:rsidRPr="00AD3E0E">
        <w:t xml:space="preserve">in Duke’s service territory, Duke has </w:t>
      </w:r>
      <w:r w:rsidRPr="00AD3E0E" w:rsidR="0013544E">
        <w:t>had substantial difficulty in meeting its reliability performance standards.</w:t>
      </w:r>
      <w:r>
        <w:rPr>
          <w:rStyle w:val="FootnoteReference"/>
        </w:rPr>
        <w:footnoteReference w:id="27"/>
      </w:r>
      <w:r w:rsidRPr="00AD3E0E" w:rsidR="0013544E">
        <w:t xml:space="preserve">  </w:t>
      </w:r>
      <w:r w:rsidRPr="00AD3E0E" w:rsidR="007C3B87">
        <w:t>AEP Ohio has also failed to meet its performance standards</w:t>
      </w:r>
      <w:r w:rsidRPr="00AD3E0E" w:rsidR="001429F3">
        <w:t xml:space="preserve"> in 2018</w:t>
      </w:r>
      <w:r w:rsidRPr="00AD3E0E" w:rsidR="007C3B87">
        <w:t>, despite having considerable deployment of grid modernization technology in its territory.</w:t>
      </w:r>
      <w:r>
        <w:rPr>
          <w:rStyle w:val="FootnoteReference"/>
        </w:rPr>
        <w:footnoteReference w:id="28"/>
      </w:r>
      <w:r w:rsidRPr="00AD3E0E" w:rsidR="007C3B87">
        <w:t xml:space="preserve">  Both the Duke and AEP Ohio deployments have come at significant cost to consumers. </w:t>
      </w:r>
      <w:r w:rsidRPr="00AD3E0E" w:rsidR="004448E1">
        <w:t xml:space="preserve"> And in both Duke and AEP </w:t>
      </w:r>
      <w:r w:rsidR="0061216E">
        <w:t xml:space="preserve">Ohio </w:t>
      </w:r>
      <w:r w:rsidRPr="00AD3E0E" w:rsidR="004448E1">
        <w:t>cases, the consumer benefits have been slow to materialize.</w:t>
      </w:r>
    </w:p>
    <w:p w:rsidR="00184DC2" w:rsidRPr="00AD3E0E" w:rsidP="00184DC2">
      <w:pPr>
        <w:spacing w:line="480" w:lineRule="auto"/>
        <w:ind w:firstLine="720"/>
      </w:pPr>
      <w:r w:rsidRPr="00AD3E0E">
        <w:t>Finally, DP&amp;L’s advanced meter infrastructure deployment</w:t>
      </w:r>
      <w:r w:rsidRPr="00AD3E0E" w:rsidR="001429F3">
        <w:t xml:space="preserve"> could result in reduced consumer protections that do not benefit consumers</w:t>
      </w:r>
      <w:r w:rsidRPr="00AD3E0E">
        <w:t>. Even prior to deploying a single advanced meter, DP&amp;L proposed a waiver to support remote shut-offs for customers</w:t>
      </w:r>
      <w:r>
        <w:rPr>
          <w:rStyle w:val="FootnoteReference"/>
        </w:rPr>
        <w:footnoteReference w:id="29"/>
      </w:r>
      <w:r w:rsidRPr="00AD3E0E">
        <w:t xml:space="preserve"> and an electric pre-pay program</w:t>
      </w:r>
      <w:r>
        <w:rPr>
          <w:rStyle w:val="FootnoteReference"/>
        </w:rPr>
        <w:footnoteReference w:id="30"/>
      </w:r>
      <w:r w:rsidRPr="00AD3E0E">
        <w:t xml:space="preserve"> that is likely well outside Ohio consumer protection laws, especially regarding disconnection of service.  </w:t>
      </w:r>
      <w:r w:rsidRPr="00AD3E0E">
        <w:t>DP&amp;L</w:t>
      </w:r>
      <w:r w:rsidRPr="00AD3E0E" w:rsidR="00981129">
        <w:t>’s cost-benefit analysis</w:t>
      </w:r>
      <w:r w:rsidRPr="00AD3E0E">
        <w:t xml:space="preserve"> does not account for consumer detriments </w:t>
      </w:r>
      <w:r w:rsidRPr="00AD3E0E" w:rsidR="00981129">
        <w:t>that its Modernization Plan would create</w:t>
      </w:r>
      <w:r w:rsidRPr="00AD3E0E">
        <w:t>.</w:t>
      </w:r>
      <w:r w:rsidRPr="00AD3E0E">
        <w:t xml:space="preserve">  This is a fatal flaw in DP&amp;L’s application.</w:t>
      </w:r>
    </w:p>
    <w:p w:rsidR="00D6503D" w:rsidRPr="00AD3E0E" w:rsidP="00981129">
      <w:pPr>
        <w:spacing w:after="240"/>
        <w:ind w:left="1440" w:hanging="720"/>
        <w:rPr>
          <w:b/>
          <w:bCs/>
        </w:rPr>
      </w:pPr>
      <w:r w:rsidRPr="00AD3E0E">
        <w:rPr>
          <w:b/>
          <w:bCs/>
        </w:rPr>
        <w:t>D.</w:t>
      </w:r>
      <w:r w:rsidRPr="00AD3E0E">
        <w:rPr>
          <w:b/>
          <w:bCs/>
        </w:rPr>
        <w:tab/>
        <w:t>DP&amp;L’s application does not allow the PUCO to assess whether the costs and benefits of the Grid Modernization Plan are consistent with PowerForward Roadmap principles for consumers.</w:t>
      </w:r>
    </w:p>
    <w:p w:rsidR="00981129" w:rsidRPr="00AD3E0E" w:rsidP="001D6C97">
      <w:pPr>
        <w:spacing w:line="480" w:lineRule="auto"/>
        <w:ind w:firstLine="720"/>
      </w:pPr>
      <w:r w:rsidRPr="00AD3E0E">
        <w:t>ELPC argues that the application does not provide the PUCO with enough information to assess whether the Grid Modernization Plan is consistent with the PowerForward Roadmap.</w:t>
      </w:r>
      <w:r>
        <w:rPr>
          <w:rStyle w:val="FootnoteReference"/>
        </w:rPr>
        <w:footnoteReference w:id="31"/>
      </w:r>
      <w:r w:rsidRPr="00AD3E0E">
        <w:t xml:space="preserve">  Specifically, ELPC contends that the application has insufficient information for the PUCO to examine it in light of the following PowerForward principles:</w:t>
      </w:r>
    </w:p>
    <w:p w:rsidR="00981129" w:rsidRPr="00AD3E0E" w:rsidP="001D6C97">
      <w:pPr>
        <w:pStyle w:val="ListParagraph"/>
        <w:numPr>
          <w:ilvl w:val="0"/>
          <w:numId w:val="2"/>
        </w:numPr>
        <w:spacing w:line="480" w:lineRule="auto"/>
        <w:ind w:left="2160" w:hanging="720"/>
      </w:pPr>
      <w:r w:rsidRPr="00AD3E0E">
        <w:t xml:space="preserve">Maintaining the delivery of safe, reliable electric service at fair prices; </w:t>
      </w:r>
    </w:p>
    <w:p w:rsidR="00981129" w:rsidRPr="00AD3E0E" w:rsidP="001D6C97">
      <w:pPr>
        <w:pStyle w:val="ListParagraph"/>
        <w:numPr>
          <w:ilvl w:val="0"/>
          <w:numId w:val="2"/>
        </w:numPr>
        <w:spacing w:line="480" w:lineRule="auto"/>
        <w:ind w:left="2160" w:hanging="720"/>
      </w:pPr>
      <w:r w:rsidRPr="00AD3E0E">
        <w:t xml:space="preserve">Insisting that electric distribution utilities spend ratepayer dollars wisely and in a manner that delivers eventual net value to the customer; and, </w:t>
      </w:r>
    </w:p>
    <w:p w:rsidR="00981129" w:rsidRPr="00AD3E0E" w:rsidP="001D6C97">
      <w:pPr>
        <w:pStyle w:val="ListParagraph"/>
        <w:numPr>
          <w:ilvl w:val="0"/>
          <w:numId w:val="2"/>
        </w:numPr>
        <w:spacing w:line="480" w:lineRule="auto"/>
        <w:ind w:left="2160" w:hanging="720"/>
      </w:pPr>
      <w:r w:rsidRPr="00AD3E0E">
        <w:t>Ensuring that investments create societal benefit and allow for an enhanced customer electricity experience accessible to all customers.</w:t>
      </w:r>
      <w:r>
        <w:rPr>
          <w:rStyle w:val="FootnoteReference"/>
        </w:rPr>
        <w:footnoteReference w:id="32"/>
      </w:r>
    </w:p>
    <w:p w:rsidR="00981129" w:rsidRPr="00AD3E0E" w:rsidP="006518A3">
      <w:pPr>
        <w:spacing w:line="480" w:lineRule="auto"/>
        <w:ind w:firstLine="720"/>
      </w:pPr>
      <w:r w:rsidRPr="00AD3E0E">
        <w:t>In response, DP&amp;L claims that its cost-benefit analysis provides the PUCO with “ample information….”</w:t>
      </w:r>
      <w:r>
        <w:rPr>
          <w:rStyle w:val="FootnoteReference"/>
        </w:rPr>
        <w:footnoteReference w:id="33"/>
      </w:r>
      <w:r w:rsidRPr="00AD3E0E">
        <w:t xml:space="preserve">  DP&amp;L is wrong.</w:t>
      </w:r>
    </w:p>
    <w:p w:rsidR="00981129" w:rsidRPr="00AD3E0E" w:rsidP="006518A3">
      <w:pPr>
        <w:spacing w:line="480" w:lineRule="auto"/>
        <w:ind w:firstLine="720"/>
      </w:pPr>
      <w:r w:rsidRPr="00AD3E0E">
        <w:t xml:space="preserve">As discussed in the previous section, DP&amp;L’s cost-benefit analysis is based on highly speculative assumptions regarding service reliability.  The PUCO cannot determine whether DP&amp;L’s Grid Modernization Plan will result in fair prices for consumers, wise spending of consumer dollars, or a net value for consumers.  And because many aspects of the Plan are detrimental to consumers, </w:t>
      </w:r>
      <w:r w:rsidRPr="00AD3E0E" w:rsidR="00A90FDD">
        <w:t>the Plan might not provide societal benefits or an enhanced customer experience.  The PUCO should require a more complete application from DP&amp;L.</w:t>
      </w:r>
    </w:p>
    <w:p w:rsidR="00A90FDD" w:rsidRPr="00AD3E0E" w:rsidP="00A90FDD">
      <w:pPr>
        <w:spacing w:after="240"/>
        <w:ind w:left="1440" w:hanging="720"/>
        <w:rPr>
          <w:b/>
          <w:bCs/>
        </w:rPr>
      </w:pPr>
      <w:r w:rsidRPr="00AD3E0E">
        <w:rPr>
          <w:b/>
          <w:bCs/>
        </w:rPr>
        <w:t>E.</w:t>
      </w:r>
      <w:r w:rsidRPr="00AD3E0E">
        <w:rPr>
          <w:b/>
          <w:bCs/>
        </w:rPr>
        <w:tab/>
        <w:t>Dismissal of the application is the best course for the PUCO to take.</w:t>
      </w:r>
    </w:p>
    <w:p w:rsidR="00A90FDD" w:rsidRPr="00AD3E0E" w:rsidP="006518A3">
      <w:pPr>
        <w:spacing w:line="480" w:lineRule="auto"/>
        <w:ind w:firstLine="720"/>
      </w:pPr>
      <w:r w:rsidRPr="00AD3E0E">
        <w:t>ELPC suggested that if the PUCO does not dismiss the application, it should require DP&amp;L to file additional testimony to cure the application’s flaws.</w:t>
      </w:r>
      <w:r>
        <w:rPr>
          <w:rStyle w:val="FootnoteReference"/>
        </w:rPr>
        <w:footnoteReference w:id="34"/>
      </w:r>
      <w:r w:rsidRPr="00AD3E0E">
        <w:t xml:space="preserve">  DP&amp;L argues that dismissal of the application is not an appropriate remedy.</w:t>
      </w:r>
      <w:r>
        <w:rPr>
          <w:rStyle w:val="FootnoteReference"/>
        </w:rPr>
        <w:footnoteReference w:id="35"/>
      </w:r>
      <w:r w:rsidRPr="00AD3E0E">
        <w:t xml:space="preserve">  </w:t>
      </w:r>
      <w:r w:rsidRPr="00AD3E0E" w:rsidR="00446138">
        <w:t xml:space="preserve">But there are too many flaws in the application.  </w:t>
      </w:r>
      <w:r w:rsidRPr="00AD3E0E">
        <w:t>The PUCO should dismiss the application without prejudice and require DP&amp;L to file a new, complete application.</w:t>
      </w:r>
    </w:p>
    <w:p w:rsidR="006518A3" w:rsidRPr="00AD3E0E" w:rsidP="006518A3">
      <w:pPr>
        <w:spacing w:line="480" w:lineRule="auto"/>
        <w:ind w:firstLine="720"/>
      </w:pPr>
      <w:r w:rsidRPr="00AD3E0E">
        <w:t>Fundamentally, the application fails to comply in providing the basic information that the PUCO has determined is needed for evaluating grid modernization applications.</w:t>
      </w:r>
      <w:r>
        <w:rPr>
          <w:rStyle w:val="FootnoteReference"/>
        </w:rPr>
        <w:footnoteReference w:id="36"/>
      </w:r>
      <w:r w:rsidRPr="00AD3E0E">
        <w:t xml:space="preserve">  This includes detailed cost benefit analysis for all components of the plan, proposed performance based ratemaking metrics, structured audits to verify that </w:t>
      </w:r>
      <w:r w:rsidRPr="00AD3E0E" w:rsidR="007F2247">
        <w:t xml:space="preserve">such </w:t>
      </w:r>
      <w:r w:rsidRPr="00AD3E0E">
        <w:t xml:space="preserve">metrics are achieved, and assurance that customer money is being spent prudently. Further, </w:t>
      </w:r>
      <w:r w:rsidRPr="00AD3E0E" w:rsidR="00446138">
        <w:t>the application has no protections against DP&amp;L collecting the same charges from customers through multiple riders.  T</w:t>
      </w:r>
      <w:r w:rsidRPr="00AD3E0E">
        <w:t xml:space="preserve">he Modernization Plan </w:t>
      </w:r>
      <w:r w:rsidRPr="00AD3E0E" w:rsidR="00446138">
        <w:t xml:space="preserve">is </w:t>
      </w:r>
      <w:r w:rsidRPr="00AD3E0E">
        <w:t>funded through a Smart Grid Rider</w:t>
      </w:r>
      <w:r w:rsidRPr="00AD3E0E" w:rsidR="00446138">
        <w:t>.</w:t>
      </w:r>
      <w:r w:rsidRPr="00AD3E0E">
        <w:t xml:space="preserve"> </w:t>
      </w:r>
      <w:r w:rsidRPr="00AD3E0E" w:rsidR="00446138">
        <w:t xml:space="preserve"> O</w:t>
      </w:r>
      <w:r w:rsidRPr="00AD3E0E">
        <w:t>ther riders</w:t>
      </w:r>
      <w:r w:rsidRPr="00AD3E0E" w:rsidR="00446138">
        <w:t>,</w:t>
      </w:r>
      <w:r w:rsidRPr="00AD3E0E">
        <w:t xml:space="preserve"> such as the Distribution Modernization Rider (“</w:t>
      </w:r>
      <w:r w:rsidRPr="00AD3E0E" w:rsidR="007F2247">
        <w:t>modernization charge</w:t>
      </w:r>
      <w:r w:rsidRPr="00AD3E0E">
        <w:t>”) and Distribution Investment Rider</w:t>
      </w:r>
      <w:r w:rsidRPr="00AD3E0E" w:rsidR="00446138">
        <w:t>, are seemingly intended to serve the same purpose</w:t>
      </w:r>
      <w:r w:rsidRPr="00AD3E0E">
        <w:t xml:space="preserve">.  </w:t>
      </w:r>
    </w:p>
    <w:p w:rsidR="00CE1393" w:rsidRPr="00AD3E0E" w:rsidP="00CE1393">
      <w:pPr>
        <w:spacing w:line="480" w:lineRule="auto"/>
        <w:ind w:firstLine="720"/>
      </w:pPr>
      <w:r w:rsidRPr="00AD3E0E">
        <w:t xml:space="preserve">In addition, DP&amp;L </w:t>
      </w:r>
      <w:r w:rsidRPr="00AD3E0E" w:rsidR="00446138">
        <w:t>has tied its Grid Modernization Plan to</w:t>
      </w:r>
      <w:r w:rsidRPr="00AD3E0E">
        <w:t xml:space="preserve"> PUCO approval for a continuation and expansion of </w:t>
      </w:r>
      <w:r w:rsidRPr="00AD3E0E" w:rsidR="00CC0A35">
        <w:t>its distribution modernization charge</w:t>
      </w:r>
      <w:r w:rsidRPr="00AD3E0E">
        <w:t xml:space="preserve"> in Case No. 19-162-EL-RDR.</w:t>
      </w:r>
      <w:r>
        <w:rPr>
          <w:rStyle w:val="FootnoteReference"/>
        </w:rPr>
        <w:footnoteReference w:id="37"/>
      </w:r>
      <w:r w:rsidRPr="00AD3E0E">
        <w:t xml:space="preserve"> </w:t>
      </w:r>
      <w:r w:rsidRPr="00AD3E0E" w:rsidR="00111587">
        <w:t xml:space="preserve"> </w:t>
      </w:r>
      <w:r w:rsidRPr="00AD3E0E">
        <w:t>All funds collected from customers through the modernization charge will be used toward paying DP&amp;L’s debt.</w:t>
      </w:r>
      <w:r>
        <w:rPr>
          <w:rStyle w:val="FootnoteReference"/>
        </w:rPr>
        <w:footnoteReference w:id="38"/>
      </w:r>
      <w:r w:rsidRPr="00AD3E0E">
        <w:t xml:space="preserve">  That debt is linked to its generation assets, not to distribution.  </w:t>
      </w:r>
      <w:r w:rsidRPr="00AD3E0E" w:rsidR="00111587">
        <w:t>That makes the distribution modernization charge an illegal transition charge or equivalent revenue that the Supreme Court of Ohio has deemed unlawful.</w:t>
      </w:r>
      <w:r>
        <w:rPr>
          <w:rStyle w:val="FootnoteReference"/>
        </w:rPr>
        <w:footnoteReference w:id="39"/>
      </w:r>
    </w:p>
    <w:p w:rsidR="006518A3" w:rsidRPr="00AD3E0E" w:rsidP="006518A3">
      <w:pPr>
        <w:spacing w:line="480" w:lineRule="auto"/>
        <w:ind w:firstLine="720"/>
        <w:rPr>
          <w:color w:val="000000"/>
        </w:rPr>
      </w:pPr>
      <w:r w:rsidRPr="00AD3E0E">
        <w:rPr>
          <w:color w:val="000000"/>
        </w:rPr>
        <w:t>The flaws in DP&amp;L’s application cannot be cured by further testimony or other modifications filed in this case</w:t>
      </w:r>
      <w:r w:rsidRPr="00AD3E0E" w:rsidR="00C91B3C">
        <w:rPr>
          <w:color w:val="000000"/>
        </w:rPr>
        <w:t xml:space="preserve">. </w:t>
      </w:r>
      <w:r w:rsidRPr="00AD3E0E">
        <w:rPr>
          <w:color w:val="000000"/>
        </w:rPr>
        <w:t xml:space="preserve"> The PUCO should dismiss DP&amp;L’s application.</w:t>
      </w:r>
    </w:p>
    <w:p w:rsidR="006518A3" w:rsidRPr="00AD3E0E" w:rsidP="006518A3">
      <w:pPr>
        <w:pStyle w:val="Heading1"/>
        <w:numPr>
          <w:ilvl w:val="0"/>
          <w:numId w:val="0"/>
        </w:numPr>
        <w:spacing w:before="240" w:after="0" w:line="480" w:lineRule="auto"/>
        <w:contextualSpacing w:val="0"/>
      </w:pPr>
      <w:r w:rsidRPr="00AD3E0E">
        <w:t>III.</w:t>
      </w:r>
      <w:r w:rsidRPr="00AD3E0E">
        <w:tab/>
        <w:t>Conclusion</w:t>
      </w:r>
    </w:p>
    <w:p w:rsidR="006518A3" w:rsidP="006518A3">
      <w:pPr>
        <w:autoSpaceDE w:val="0"/>
        <w:autoSpaceDN w:val="0"/>
        <w:adjustRightInd w:val="0"/>
        <w:spacing w:line="480" w:lineRule="auto"/>
        <w:ind w:firstLine="720"/>
        <w:rPr>
          <w:rFonts w:eastAsia="Times New Roman"/>
          <w:color w:val="000000"/>
        </w:rPr>
      </w:pPr>
      <w:r w:rsidRPr="00AD3E0E">
        <w:rPr>
          <w:rFonts w:eastAsia="Times New Roman"/>
          <w:color w:val="000000"/>
        </w:rPr>
        <w:t>DP&amp;L has filed a</w:t>
      </w:r>
      <w:r w:rsidRPr="00AD3E0E" w:rsidR="004448E1">
        <w:rPr>
          <w:rFonts w:eastAsia="Times New Roman"/>
          <w:color w:val="000000"/>
        </w:rPr>
        <w:t>n</w:t>
      </w:r>
      <w:r w:rsidRPr="00AD3E0E">
        <w:rPr>
          <w:rFonts w:eastAsia="Times New Roman"/>
          <w:color w:val="000000"/>
        </w:rPr>
        <w:t xml:space="preserve"> application</w:t>
      </w:r>
      <w:r w:rsidRPr="00AD3E0E" w:rsidR="00111587">
        <w:rPr>
          <w:rFonts w:eastAsia="Times New Roman"/>
          <w:color w:val="000000"/>
        </w:rPr>
        <w:t xml:space="preserve"> </w:t>
      </w:r>
      <w:r w:rsidRPr="00AD3E0E" w:rsidR="00F63D93">
        <w:rPr>
          <w:rFonts w:eastAsia="Times New Roman"/>
          <w:color w:val="000000"/>
        </w:rPr>
        <w:t xml:space="preserve">that is </w:t>
      </w:r>
      <w:r w:rsidRPr="00AD3E0E" w:rsidR="004448E1">
        <w:rPr>
          <w:rFonts w:eastAsia="Times New Roman"/>
          <w:color w:val="000000"/>
        </w:rPr>
        <w:t>lacking in sufficient information</w:t>
      </w:r>
      <w:r w:rsidRPr="00AD3E0E" w:rsidR="00F63D93">
        <w:rPr>
          <w:rFonts w:eastAsia="Times New Roman"/>
          <w:color w:val="000000"/>
        </w:rPr>
        <w:t xml:space="preserve">, and </w:t>
      </w:r>
      <w:r w:rsidRPr="00AD3E0E" w:rsidR="00111587">
        <w:rPr>
          <w:rFonts w:eastAsia="Times New Roman"/>
          <w:color w:val="000000"/>
        </w:rPr>
        <w:t xml:space="preserve"> would put more charges on consumers with no guarantee of consumer benefits</w:t>
      </w:r>
      <w:r w:rsidRPr="00AD3E0E">
        <w:rPr>
          <w:rFonts w:eastAsia="Times New Roman"/>
          <w:color w:val="000000"/>
        </w:rPr>
        <w:t xml:space="preserve">.  To protect </w:t>
      </w:r>
      <w:r w:rsidRPr="00AD3E0E" w:rsidR="00111587">
        <w:rPr>
          <w:rFonts w:eastAsia="Times New Roman"/>
          <w:color w:val="000000"/>
        </w:rPr>
        <w:t xml:space="preserve">DP&amp;L’s customers, especially the </w:t>
      </w:r>
      <w:r w:rsidRPr="00AD3E0E" w:rsidR="00B33D31">
        <w:rPr>
          <w:rFonts w:eastAsia="Times New Roman"/>
          <w:color w:val="000000"/>
        </w:rPr>
        <w:t>32.7%</w:t>
      </w:r>
      <w:r w:rsidRPr="00AD3E0E" w:rsidR="00111587">
        <w:rPr>
          <w:rFonts w:eastAsia="Times New Roman"/>
          <w:color w:val="000000"/>
        </w:rPr>
        <w:t xml:space="preserve"> of Dayton residents who live at or below the federal poverty level</w:t>
      </w:r>
      <w:r w:rsidRPr="00AD3E0E">
        <w:rPr>
          <w:rFonts w:eastAsia="Times New Roman"/>
          <w:color w:val="000000"/>
        </w:rPr>
        <w:t xml:space="preserve">, the PUCO </w:t>
      </w:r>
      <w:r w:rsidRPr="00AD3E0E" w:rsidR="00B33D31">
        <w:rPr>
          <w:rFonts w:eastAsia="Times New Roman"/>
          <w:color w:val="000000"/>
        </w:rPr>
        <w:t>should dismiss DP&amp;L’s application</w:t>
      </w:r>
      <w:r w:rsidRPr="00AD3E0E" w:rsidR="00C91B3C">
        <w:rPr>
          <w:rFonts w:eastAsia="Times New Roman"/>
          <w:color w:val="000000"/>
        </w:rPr>
        <w:t>.</w:t>
      </w:r>
      <w:r w:rsidRPr="00AD3E0E">
        <w:rPr>
          <w:rFonts w:eastAsia="Times New Roman"/>
          <w:color w:val="000000"/>
        </w:rPr>
        <w:t xml:space="preserve"> </w:t>
      </w:r>
      <w:r w:rsidRPr="00AD3E0E" w:rsidR="00B33D31">
        <w:rPr>
          <w:rFonts w:eastAsia="Times New Roman"/>
          <w:color w:val="000000"/>
        </w:rPr>
        <w:t>DP&amp;L should be required to file a new, complete application.</w:t>
      </w:r>
    </w:p>
    <w:p w:rsidR="006518A3" w:rsidRPr="00AD3E0E" w:rsidP="00AD3E0E">
      <w:pPr>
        <w:pStyle w:val="BodyTextIndent3"/>
        <w:widowControl w:val="0"/>
        <w:spacing w:line="480" w:lineRule="auto"/>
        <w:ind w:left="4320" w:firstLine="0"/>
        <w:rPr>
          <w:szCs w:val="24"/>
        </w:rPr>
      </w:pPr>
      <w:r w:rsidRPr="00AD3E0E">
        <w:rPr>
          <w:szCs w:val="24"/>
        </w:rPr>
        <w:t>Respectfully submitted,</w:t>
      </w:r>
    </w:p>
    <w:p w:rsidR="006518A3" w:rsidRPr="00AD3E0E" w:rsidP="00AD3E0E">
      <w:pPr>
        <w:pStyle w:val="Footer"/>
        <w:tabs>
          <w:tab w:val="left" w:pos="4320"/>
        </w:tabs>
        <w:ind w:left="4320" w:firstLine="0"/>
        <w:contextualSpacing w:val="0"/>
        <w:rPr>
          <w:szCs w:val="24"/>
        </w:rPr>
      </w:pPr>
      <w:r w:rsidRPr="00AD3E0E">
        <w:rPr>
          <w:szCs w:val="24"/>
        </w:rPr>
        <w:t>Bruce Weston (0016973)</w:t>
      </w:r>
    </w:p>
    <w:p w:rsidR="006518A3" w:rsidRPr="00AD3E0E" w:rsidP="006518A3">
      <w:pPr>
        <w:tabs>
          <w:tab w:val="left" w:pos="4320"/>
        </w:tabs>
        <w:ind w:left="4320"/>
      </w:pPr>
      <w:r w:rsidRPr="00AD3E0E">
        <w:t>Ohio Consumers’ Counsel</w:t>
      </w:r>
    </w:p>
    <w:p w:rsidR="006518A3" w:rsidRPr="00AD3E0E" w:rsidP="006518A3">
      <w:pPr>
        <w:tabs>
          <w:tab w:val="left" w:pos="4320"/>
        </w:tabs>
      </w:pPr>
    </w:p>
    <w:p w:rsidR="006518A3" w:rsidRPr="00AD3E0E" w:rsidP="006518A3">
      <w:pPr>
        <w:tabs>
          <w:tab w:val="left" w:pos="4320"/>
        </w:tabs>
        <w:ind w:left="4320"/>
        <w:rPr>
          <w:i/>
          <w:u w:val="single"/>
        </w:rPr>
      </w:pPr>
      <w:r w:rsidRPr="00AD3E0E">
        <w:rPr>
          <w:i/>
          <w:u w:val="single"/>
        </w:rPr>
        <w:t>/s/ Terry L. Etter</w:t>
      </w:r>
      <w:r w:rsidRPr="00AD3E0E">
        <w:rPr>
          <w:i/>
          <w:u w:val="single"/>
        </w:rPr>
        <w:tab/>
      </w:r>
      <w:r w:rsidRPr="00AD3E0E">
        <w:rPr>
          <w:i/>
          <w:u w:val="single"/>
        </w:rPr>
        <w:tab/>
      </w:r>
    </w:p>
    <w:p w:rsidR="006518A3" w:rsidRPr="00AD3E0E" w:rsidP="006518A3">
      <w:pPr>
        <w:tabs>
          <w:tab w:val="left" w:pos="4320"/>
        </w:tabs>
        <w:ind w:left="4320"/>
      </w:pPr>
      <w:r w:rsidRPr="00AD3E0E">
        <w:t xml:space="preserve">Terry L. Etter (0067445), Counsel of Record </w:t>
      </w:r>
    </w:p>
    <w:p w:rsidR="006518A3" w:rsidRPr="00AD3E0E" w:rsidP="006518A3">
      <w:pPr>
        <w:tabs>
          <w:tab w:val="left" w:pos="4320"/>
        </w:tabs>
        <w:ind w:left="4320"/>
      </w:pPr>
      <w:r w:rsidRPr="00AD3E0E">
        <w:t>Angela O’Brien (0097579)</w:t>
      </w:r>
    </w:p>
    <w:p w:rsidR="006518A3" w:rsidRPr="00AD3E0E" w:rsidP="006518A3">
      <w:pPr>
        <w:tabs>
          <w:tab w:val="left" w:pos="4320"/>
        </w:tabs>
        <w:ind w:left="4320"/>
      </w:pPr>
      <w:r w:rsidRPr="00AD3E0E">
        <w:t>Assistant Consumers’ Counsel</w:t>
      </w:r>
    </w:p>
    <w:p w:rsidR="006518A3" w:rsidRPr="00AD3E0E" w:rsidP="006518A3">
      <w:pPr>
        <w:spacing w:before="120"/>
        <w:ind w:left="4320"/>
        <w:rPr>
          <w:b/>
          <w:bCs/>
        </w:rPr>
      </w:pPr>
      <w:r w:rsidRPr="00AD3E0E">
        <w:rPr>
          <w:b/>
          <w:bCs/>
        </w:rPr>
        <w:t>Office of the Ohio Consumers’ Counsel</w:t>
      </w:r>
    </w:p>
    <w:p w:rsidR="006518A3" w:rsidRPr="00AD3E0E" w:rsidP="006518A3">
      <w:pPr>
        <w:ind w:left="4320"/>
      </w:pPr>
      <w:r w:rsidRPr="00AD3E0E">
        <w:t>65 East State Street, 7</w:t>
      </w:r>
      <w:r w:rsidRPr="00AD3E0E">
        <w:rPr>
          <w:vertAlign w:val="superscript"/>
        </w:rPr>
        <w:t>th</w:t>
      </w:r>
      <w:r w:rsidRPr="00AD3E0E">
        <w:t xml:space="preserve"> Floor</w:t>
      </w:r>
    </w:p>
    <w:p w:rsidR="006518A3" w:rsidRPr="00AD3E0E" w:rsidP="006518A3">
      <w:pPr>
        <w:ind w:left="4320"/>
      </w:pPr>
      <w:r w:rsidRPr="00AD3E0E">
        <w:t>Columbus, Ohio 43215</w:t>
      </w:r>
    </w:p>
    <w:p w:rsidR="006518A3" w:rsidRPr="00AD3E0E" w:rsidP="006518A3">
      <w:pPr>
        <w:autoSpaceDE w:val="0"/>
        <w:autoSpaceDN w:val="0"/>
        <w:adjustRightInd w:val="0"/>
        <w:ind w:left="4320"/>
      </w:pPr>
      <w:r w:rsidRPr="00AD3E0E">
        <w:t>Telephone [Etter]: (614) 466-7964</w:t>
      </w:r>
    </w:p>
    <w:p w:rsidR="006518A3" w:rsidRPr="00AD3E0E" w:rsidP="006518A3">
      <w:pPr>
        <w:autoSpaceDE w:val="0"/>
        <w:autoSpaceDN w:val="0"/>
        <w:adjustRightInd w:val="0"/>
        <w:ind w:left="4320"/>
      </w:pPr>
      <w:r w:rsidRPr="00AD3E0E">
        <w:t>Telephone [O’Brien]: (614) 466-9531</w:t>
      </w:r>
    </w:p>
    <w:p w:rsidR="006518A3" w:rsidP="006518A3">
      <w:pPr>
        <w:ind w:left="4320"/>
      </w:pPr>
      <w:r>
        <w:fldChar w:fldCharType="begin"/>
      </w:r>
      <w:r>
        <w:instrText xml:space="preserve"> HYPERLINK "mailto:terry.etter@occ.ohio.gov" </w:instrText>
      </w:r>
      <w:r>
        <w:fldChar w:fldCharType="separate"/>
      </w:r>
      <w:r w:rsidRPr="007947F0" w:rsidR="00AD3E0E">
        <w:rPr>
          <w:rStyle w:val="Hyperlink"/>
        </w:rPr>
        <w:t>terry.etter@occ.ohio.gov</w:t>
      </w:r>
      <w:r>
        <w:fldChar w:fldCharType="end"/>
      </w:r>
    </w:p>
    <w:p w:rsidR="006518A3" w:rsidP="006518A3">
      <w:pPr>
        <w:ind w:left="4320"/>
      </w:pPr>
      <w:r>
        <w:fldChar w:fldCharType="begin"/>
      </w:r>
      <w:r>
        <w:instrText xml:space="preserve"> HYPERLINK "mailto:angela.obrien@occ.ohio.gov" </w:instrText>
      </w:r>
      <w:r>
        <w:fldChar w:fldCharType="separate"/>
      </w:r>
      <w:r w:rsidRPr="007947F0" w:rsidR="00AD3E0E">
        <w:rPr>
          <w:rStyle w:val="Hyperlink"/>
        </w:rPr>
        <w:t>angela.obrien@occ.ohio.gov</w:t>
      </w:r>
      <w:r>
        <w:fldChar w:fldCharType="end"/>
      </w:r>
    </w:p>
    <w:p w:rsidR="006518A3" w:rsidRPr="00AD3E0E" w:rsidP="006518A3">
      <w:pPr>
        <w:ind w:left="4320"/>
      </w:pPr>
      <w:r w:rsidRPr="00AD3E0E">
        <w:t>(Will</w:t>
      </w:r>
      <w:r w:rsidR="00AD3E0E">
        <w:t>ing to</w:t>
      </w:r>
      <w:r w:rsidRPr="00AD3E0E">
        <w:t xml:space="preserve"> accept service </w:t>
      </w:r>
      <w:r w:rsidR="00AD3E0E">
        <w:t xml:space="preserve">by </w:t>
      </w:r>
      <w:r w:rsidRPr="00AD3E0E">
        <w:t>e</w:t>
      </w:r>
      <w:r w:rsidR="00AD3E0E">
        <w:t>-</w:t>
      </w:r>
      <w:r w:rsidRPr="00AD3E0E">
        <w:t>mail)</w:t>
      </w:r>
    </w:p>
    <w:p w:rsidR="006518A3" w:rsidRPr="00AD3E0E">
      <w:pPr>
        <w:spacing w:after="200" w:line="276" w:lineRule="auto"/>
      </w:pPr>
      <w:r w:rsidRPr="00AD3E0E">
        <w:br w:type="page"/>
      </w:r>
    </w:p>
    <w:p w:rsidR="006518A3" w:rsidRPr="00AD3E0E" w:rsidP="006518A3">
      <w:pPr>
        <w:autoSpaceDE w:val="0"/>
        <w:autoSpaceDN w:val="0"/>
        <w:adjustRightInd w:val="0"/>
        <w:spacing w:line="480" w:lineRule="auto"/>
        <w:jc w:val="center"/>
        <w:rPr>
          <w:rFonts w:eastAsia="Times New Roman"/>
          <w:b/>
          <w:bCs/>
          <w:color w:val="000000"/>
        </w:rPr>
      </w:pPr>
      <w:r w:rsidRPr="00AD3E0E">
        <w:rPr>
          <w:rFonts w:eastAsia="Times New Roman"/>
          <w:b/>
          <w:bCs/>
          <w:color w:val="000000"/>
        </w:rPr>
        <w:t>CERTIFICATE OF SERVICE</w:t>
      </w:r>
    </w:p>
    <w:p w:rsidR="006518A3" w:rsidRPr="00AD3E0E" w:rsidP="006518A3">
      <w:pPr>
        <w:autoSpaceDE w:val="0"/>
        <w:autoSpaceDN w:val="0"/>
        <w:adjustRightInd w:val="0"/>
        <w:spacing w:line="480" w:lineRule="auto"/>
        <w:ind w:firstLine="720"/>
        <w:rPr>
          <w:rFonts w:eastAsia="Times New Roman"/>
          <w:b/>
          <w:bCs/>
          <w:color w:val="000000"/>
        </w:rPr>
      </w:pPr>
      <w:r w:rsidRPr="00AD3E0E">
        <w:rPr>
          <w:rFonts w:eastAsia="Times New Roman"/>
          <w:color w:val="000000"/>
        </w:rPr>
        <w:t xml:space="preserve">I hereby certify that a true copy of the foregoing </w:t>
      </w:r>
      <w:r w:rsidR="0061216E">
        <w:rPr>
          <w:rFonts w:eastAsia="Times New Roman"/>
          <w:color w:val="000000"/>
        </w:rPr>
        <w:t>Reply</w:t>
      </w:r>
      <w:r w:rsidRPr="00AD3E0E">
        <w:rPr>
          <w:rFonts w:eastAsia="Times New Roman"/>
          <w:color w:val="000000"/>
        </w:rPr>
        <w:t xml:space="preserve"> was served electronically on the parties listed below on this </w:t>
      </w:r>
      <w:r w:rsidR="0061216E">
        <w:rPr>
          <w:rFonts w:eastAsia="Times New Roman"/>
          <w:color w:val="000000"/>
        </w:rPr>
        <w:t>15</w:t>
      </w:r>
      <w:r w:rsidRPr="00AD3E0E">
        <w:rPr>
          <w:rFonts w:eastAsia="Times New Roman"/>
          <w:color w:val="000000"/>
          <w:vertAlign w:val="superscript"/>
        </w:rPr>
        <w:t>th</w:t>
      </w:r>
      <w:r w:rsidRPr="00AD3E0E">
        <w:rPr>
          <w:rFonts w:eastAsia="Times New Roman"/>
          <w:color w:val="000000"/>
        </w:rPr>
        <w:t xml:space="preserve"> day of October 2019. </w:t>
      </w:r>
    </w:p>
    <w:p w:rsidR="006518A3" w:rsidRPr="00AD3E0E" w:rsidP="006518A3">
      <w:pPr>
        <w:tabs>
          <w:tab w:val="left" w:pos="4320"/>
        </w:tabs>
        <w:ind w:left="4320"/>
        <w:rPr>
          <w:i/>
          <w:u w:val="single"/>
        </w:rPr>
      </w:pPr>
      <w:r w:rsidRPr="00AD3E0E">
        <w:rPr>
          <w:i/>
          <w:u w:val="single"/>
        </w:rPr>
        <w:t>/s/ Terry L. Etter</w:t>
      </w:r>
      <w:r w:rsidRPr="00AD3E0E">
        <w:rPr>
          <w:i/>
          <w:u w:val="single"/>
        </w:rPr>
        <w:tab/>
      </w:r>
      <w:r w:rsidRPr="00AD3E0E">
        <w:rPr>
          <w:i/>
          <w:u w:val="single"/>
        </w:rPr>
        <w:tab/>
      </w:r>
    </w:p>
    <w:p w:rsidR="006518A3" w:rsidRPr="00AD3E0E" w:rsidP="006518A3">
      <w:pPr>
        <w:tabs>
          <w:tab w:val="left" w:pos="4320"/>
        </w:tabs>
        <w:ind w:left="4320"/>
      </w:pPr>
      <w:r w:rsidRPr="00AD3E0E">
        <w:t>Terry L. Etter</w:t>
      </w:r>
    </w:p>
    <w:p w:rsidR="006518A3" w:rsidP="006518A3">
      <w:pPr>
        <w:tabs>
          <w:tab w:val="left" w:pos="4320"/>
        </w:tabs>
        <w:ind w:left="4320"/>
      </w:pPr>
      <w:r w:rsidRPr="00AD3E0E">
        <w:t>Assistant Consumers’ Counsel</w:t>
      </w:r>
    </w:p>
    <w:p w:rsidR="00AD3E0E" w:rsidP="00AD3E0E">
      <w:pPr>
        <w:jc w:val="both"/>
      </w:pPr>
    </w:p>
    <w:p w:rsidR="00AD3E0E" w:rsidRPr="00AD3E0E" w:rsidP="00AD3E0E">
      <w:pPr>
        <w:pStyle w:val="CommentText"/>
        <w:rPr>
          <w:sz w:val="24"/>
          <w:szCs w:val="24"/>
        </w:rPr>
      </w:pPr>
      <w:r w:rsidRPr="00AD3E0E">
        <w:rPr>
          <w:sz w:val="24"/>
          <w:szCs w:val="24"/>
        </w:rPr>
        <w:t>The PUCO’s e-filing system will electronically serve notice of the filing of this document on the following parties:</w:t>
      </w:r>
    </w:p>
    <w:p w:rsidR="00AD3E0E" w:rsidRPr="00AD3E0E" w:rsidP="00AD3E0E">
      <w:pPr>
        <w:jc w:val="both"/>
      </w:pPr>
    </w:p>
    <w:p w:rsidR="006518A3" w:rsidRPr="00AD3E0E" w:rsidP="006518A3"/>
    <w:p w:rsidR="00AD3E0E" w:rsidRPr="00215DDF" w:rsidP="00AD3E0E">
      <w:pPr>
        <w:jc w:val="center"/>
        <w:rPr>
          <w:b/>
        </w:rPr>
      </w:pPr>
      <w:r w:rsidRPr="00215DDF">
        <w:rPr>
          <w:b/>
        </w:rPr>
        <w:t>SERVICE LIST:</w:t>
      </w:r>
    </w:p>
    <w:p w:rsidR="00AD3E0E" w:rsidP="00AD3E0E">
      <w:pPr>
        <w:pStyle w:val="BodyText"/>
        <w:rPr>
          <w:b/>
          <w:bCs/>
        </w:rPr>
      </w:pPr>
    </w:p>
    <w:tbl>
      <w:tblPr>
        <w:tblW w:w="0" w:type="auto"/>
        <w:tblInd w:w="0" w:type="dxa"/>
        <w:tblCellMar>
          <w:top w:w="0" w:type="dxa"/>
          <w:left w:w="108" w:type="dxa"/>
          <w:bottom w:w="0" w:type="dxa"/>
          <w:right w:w="108" w:type="dxa"/>
        </w:tblCellMar>
        <w:tblLook w:val="04A0"/>
      </w:tblPr>
      <w:tblGrid>
        <w:gridCol w:w="4374"/>
        <w:gridCol w:w="4266"/>
      </w:tblGrid>
      <w:tr w:rsidTr="00857871">
        <w:tblPrEx>
          <w:tblW w:w="0" w:type="auto"/>
          <w:tblInd w:w="0" w:type="dxa"/>
          <w:tblCellMar>
            <w:top w:w="0" w:type="dxa"/>
            <w:left w:w="108" w:type="dxa"/>
            <w:bottom w:w="0" w:type="dxa"/>
            <w:right w:w="108" w:type="dxa"/>
          </w:tblCellMar>
          <w:tblLook w:val="04A0"/>
        </w:tblPrEx>
        <w:tc>
          <w:tcPr>
            <w:tcW w:w="4428" w:type="dxa"/>
            <w:shd w:val="clear" w:color="auto" w:fill="auto"/>
          </w:tcPr>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"mailto:steven.beeler@ohioattorneygeneral.gov" </w:instrText>
            </w:r>
            <w:r>
              <w:fldChar w:fldCharType="separate"/>
            </w:r>
            <w:r w:rsidRPr="007947F0">
              <w:rPr>
                <w:rStyle w:val="Hyperlink"/>
                <w:rFonts w:eastAsiaTheme="minorHAnsi"/>
                <w:color w:val="0000FF" w:themeColor="hyperlink"/>
                <w:sz w:val="24"/>
                <w:szCs w:val="24"/>
                <w:u w:val="single"/>
                <w:lang w:val="en-US" w:eastAsia="en-US" w:bidi="ar-SA"/>
              </w:rPr>
              <w:t>steven.beeler@ohioattorneygeneral.gov</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"mailto:Robert.eubanks@ohioattorneygeneral.gov" </w:instrText>
            </w:r>
            <w:r>
              <w:fldChar w:fldCharType="separate"/>
            </w:r>
            <w:r w:rsidRPr="007947F0">
              <w:rPr>
                <w:rStyle w:val="Hyperlink"/>
                <w:rFonts w:eastAsiaTheme="minorHAnsi"/>
                <w:color w:val="0000FF" w:themeColor="hyperlink"/>
                <w:sz w:val="24"/>
                <w:szCs w:val="24"/>
                <w:u w:val="single"/>
                <w:lang w:val="en-US" w:eastAsia="en-US" w:bidi="ar-SA"/>
              </w:rPr>
              <w:t>Robert.eubanks@ohioattorneygeneral.gov</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"mailto:Bethany.allen@igs.com" </w:instrText>
            </w:r>
            <w:r>
              <w:fldChar w:fldCharType="separate"/>
            </w:r>
            <w:r w:rsidRPr="007947F0">
              <w:rPr>
                <w:rStyle w:val="Hyperlink"/>
                <w:rFonts w:eastAsiaTheme="minorHAnsi"/>
                <w:color w:val="0000FF" w:themeColor="hyperlink"/>
                <w:sz w:val="24"/>
                <w:szCs w:val="24"/>
                <w:u w:val="single"/>
                <w:lang w:val="en-US" w:eastAsia="en-US" w:bidi="ar-SA"/>
              </w:rPr>
              <w:t>Bethany.allen@igs.com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"mailto:Joe.oliker@igs.com" </w:instrText>
            </w:r>
            <w:r>
              <w:fldChar w:fldCharType="separate"/>
            </w:r>
            <w:r w:rsidRPr="007947F0">
              <w:rPr>
                <w:rStyle w:val="Hyperlink"/>
                <w:rFonts w:eastAsiaTheme="minorHAnsi"/>
                <w:color w:val="0000FF" w:themeColor="hyperlink"/>
                <w:sz w:val="24"/>
                <w:szCs w:val="24"/>
                <w:u w:val="single"/>
                <w:lang w:val="en-US" w:eastAsia="en-US" w:bidi="ar-SA"/>
              </w:rPr>
              <w:t>Joe.oliker@igs.com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"mailto:Michael.nugent@igs.com" </w:instrText>
            </w:r>
            <w:r>
              <w:fldChar w:fldCharType="separate"/>
            </w:r>
            <w:r w:rsidRPr="007947F0">
              <w:rPr>
                <w:rStyle w:val="Hyperlink"/>
                <w:rFonts w:eastAsiaTheme="minorHAnsi"/>
                <w:color w:val="0000FF" w:themeColor="hyperlink"/>
                <w:sz w:val="24"/>
                <w:szCs w:val="24"/>
                <w:u w:val="single"/>
                <w:lang w:val="en-US" w:eastAsia="en-US" w:bidi="ar-SA"/>
              </w:rPr>
              <w:t>Michael.nugent@igs.com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"mailto:mleppa@theoec.org" </w:instrText>
            </w:r>
            <w:r>
              <w:fldChar w:fldCharType="separate"/>
            </w:r>
            <w:r w:rsidRPr="007947F0">
              <w:rPr>
                <w:rStyle w:val="Hyperlink"/>
                <w:rFonts w:eastAsiaTheme="minorHAnsi"/>
                <w:color w:val="0000FF" w:themeColor="hyperlink"/>
                <w:sz w:val="24"/>
                <w:szCs w:val="24"/>
                <w:u w:val="single"/>
                <w:lang w:val="en-US" w:eastAsia="en-US" w:bidi="ar-SA"/>
              </w:rPr>
              <w:t>mleppa@theoec.org</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"mailto:dborchers@bricker.com" </w:instrText>
            </w:r>
            <w:r>
              <w:fldChar w:fldCharType="separate"/>
            </w:r>
            <w:r w:rsidRPr="007947F0">
              <w:rPr>
                <w:rStyle w:val="Hyperlink"/>
                <w:rFonts w:eastAsiaTheme="minorHAnsi"/>
                <w:color w:val="0000FF" w:themeColor="hyperlink"/>
                <w:sz w:val="24"/>
                <w:szCs w:val="24"/>
                <w:u w:val="single"/>
                <w:lang w:val="en-US" w:eastAsia="en-US" w:bidi="ar-SA"/>
              </w:rPr>
              <w:t>dborchers@bricker.com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"mailto:kherstein@bricker.com" </w:instrText>
            </w:r>
            <w:r>
              <w:fldChar w:fldCharType="separate"/>
            </w:r>
            <w:r w:rsidRPr="007947F0">
              <w:rPr>
                <w:rStyle w:val="Hyperlink"/>
                <w:rFonts w:eastAsiaTheme="minorHAnsi"/>
                <w:color w:val="0000FF" w:themeColor="hyperlink"/>
                <w:sz w:val="24"/>
                <w:szCs w:val="24"/>
                <w:u w:val="single"/>
                <w:lang w:val="en-US" w:eastAsia="en-US" w:bidi="ar-SA"/>
              </w:rPr>
              <w:t>kherstein@bricker.com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"mailto:jspottswood@bricker.com" </w:instrText>
            </w:r>
            <w:r>
              <w:fldChar w:fldCharType="separate"/>
            </w:r>
            <w:r w:rsidRPr="007947F0">
              <w:rPr>
                <w:rStyle w:val="Hyperlink"/>
                <w:rFonts w:eastAsiaTheme="minorHAnsi"/>
                <w:color w:val="0000FF" w:themeColor="hyperlink"/>
                <w:sz w:val="24"/>
                <w:szCs w:val="24"/>
                <w:u w:val="single"/>
                <w:lang w:val="en-US" w:eastAsia="en-US" w:bidi="ar-SA"/>
              </w:rPr>
              <w:t>jspottswood@bricker.com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"mailto:rkelter@elpc.org" </w:instrText>
            </w:r>
            <w:r>
              <w:fldChar w:fldCharType="separate"/>
            </w:r>
            <w:r w:rsidRPr="007947F0">
              <w:rPr>
                <w:rStyle w:val="Hyperlink"/>
                <w:rFonts w:eastAsiaTheme="minorHAnsi"/>
                <w:color w:val="0000FF" w:themeColor="hyperlink"/>
                <w:sz w:val="24"/>
                <w:szCs w:val="24"/>
                <w:u w:val="single"/>
                <w:lang w:val="en-US" w:eastAsia="en-US" w:bidi="ar-SA"/>
              </w:rPr>
              <w:t>rkelter@elpc.org</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"mailto:jdunnlegal@gmail.com" </w:instrText>
            </w:r>
            <w:r>
              <w:fldChar w:fldCharType="separate"/>
            </w:r>
            <w:r w:rsidRPr="007947F0">
              <w:rPr>
                <w:rStyle w:val="Hyperlink"/>
                <w:rFonts w:eastAsiaTheme="minorHAnsi"/>
                <w:color w:val="0000FF" w:themeColor="hyperlink"/>
                <w:sz w:val="24"/>
                <w:szCs w:val="24"/>
                <w:u w:val="single"/>
                <w:lang w:val="en-US" w:eastAsia="en-US" w:bidi="ar-SA"/>
              </w:rPr>
              <w:t>jdunnlegal@gmail.com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"mailto:tdougherty@theoec.org" </w:instrText>
            </w:r>
            <w:r>
              <w:fldChar w:fldCharType="separate"/>
            </w:r>
            <w:r w:rsidRPr="007947F0">
              <w:rPr>
                <w:rStyle w:val="Hyperlink"/>
                <w:rFonts w:eastAsiaTheme="minorHAnsi"/>
                <w:color w:val="0000FF" w:themeColor="hyperlink"/>
                <w:sz w:val="24"/>
                <w:szCs w:val="24"/>
                <w:u w:val="single"/>
                <w:lang w:val="en-US" w:eastAsia="en-US" w:bidi="ar-SA"/>
              </w:rPr>
              <w:t>tdougherty@theoec.org</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"mailto:kevin.oles@thompsonhine.com" </w:instrText>
            </w:r>
            <w:r>
              <w:fldChar w:fldCharType="separate"/>
            </w:r>
            <w:r w:rsidRPr="007947F0">
              <w:rPr>
                <w:rStyle w:val="Hyperlink"/>
                <w:rFonts w:eastAsiaTheme="minorHAnsi"/>
                <w:color w:val="0000FF" w:themeColor="hyperlink"/>
                <w:sz w:val="24"/>
                <w:szCs w:val="24"/>
                <w:u w:val="single"/>
                <w:lang w:val="en-US" w:eastAsia="en-US" w:bidi="ar-SA"/>
              </w:rPr>
              <w:t>kevin.oles@thompsonhine.com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"mailto:stephanie.chmiel@thompsonhine.com" </w:instrText>
            </w:r>
            <w:r>
              <w:fldChar w:fldCharType="separate"/>
            </w:r>
            <w:r w:rsidRPr="007947F0">
              <w:rPr>
                <w:rStyle w:val="Hyperlink"/>
                <w:rFonts w:eastAsiaTheme="minorHAnsi"/>
                <w:color w:val="0000FF" w:themeColor="hyperlink"/>
                <w:sz w:val="24"/>
                <w:szCs w:val="24"/>
                <w:u w:val="single"/>
                <w:lang w:val="en-US" w:eastAsia="en-US" w:bidi="ar-SA"/>
              </w:rPr>
              <w:t>stephanie.chmiel@thompsonhine.com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"mailto:cmooney@opae.org" </w:instrText>
            </w:r>
            <w:r>
              <w:fldChar w:fldCharType="separate"/>
            </w:r>
            <w:r w:rsidRPr="007947F0">
              <w:rPr>
                <w:rStyle w:val="Hyperlink"/>
                <w:rFonts w:eastAsiaTheme="minorHAnsi"/>
                <w:color w:val="0000FF" w:themeColor="hyperlink"/>
                <w:sz w:val="24"/>
                <w:szCs w:val="24"/>
                <w:u w:val="single"/>
                <w:lang w:val="en-US" w:eastAsia="en-US" w:bidi="ar-SA"/>
              </w:rPr>
              <w:t>cmooney@opae.org</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"mailto:whitt@whitt-sturtevant.com" </w:instrText>
            </w:r>
            <w:r>
              <w:fldChar w:fldCharType="separate"/>
            </w:r>
            <w:r w:rsidRPr="007947F0">
              <w:rPr>
                <w:rStyle w:val="Hyperlink"/>
                <w:rFonts w:eastAsiaTheme="minorHAnsi"/>
                <w:color w:val="0000FF" w:themeColor="hyperlink"/>
                <w:sz w:val="24"/>
                <w:szCs w:val="24"/>
                <w:u w:val="single"/>
                <w:lang w:val="en-US" w:eastAsia="en-US" w:bidi="ar-SA"/>
              </w:rPr>
              <w:t>whitt@whitt-sturtevant.com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"mailto:glover@whitt-sturtevant.com" </w:instrText>
            </w:r>
            <w:r>
              <w:fldChar w:fldCharType="separate"/>
            </w:r>
            <w:r w:rsidRPr="007947F0">
              <w:rPr>
                <w:rStyle w:val="Hyperlink"/>
                <w:rFonts w:eastAsiaTheme="minorHAnsi"/>
                <w:color w:val="0000FF" w:themeColor="hyperlink"/>
                <w:sz w:val="24"/>
                <w:szCs w:val="24"/>
                <w:u w:val="single"/>
                <w:lang w:val="en-US" w:eastAsia="en-US" w:bidi="ar-SA"/>
              </w:rPr>
              <w:t>glover@whitt-sturtevant.com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"mailto:rdove@keglerbrown.com" </w:instrText>
            </w:r>
            <w:r>
              <w:fldChar w:fldCharType="separate"/>
            </w:r>
            <w:r w:rsidRPr="007947F0">
              <w:rPr>
                <w:rStyle w:val="Hyperlink"/>
                <w:rFonts w:eastAsiaTheme="minorHAnsi"/>
                <w:color w:val="0000FF" w:themeColor="hyperlink"/>
                <w:sz w:val="24"/>
                <w:szCs w:val="24"/>
                <w:u w:val="single"/>
                <w:lang w:val="en-US" w:eastAsia="en-US" w:bidi="ar-SA"/>
              </w:rPr>
              <w:t>rdove@keglerbrown.com</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"mailto:nvijaykar@elpc.org" </w:instrText>
            </w:r>
            <w:r>
              <w:fldChar w:fldCharType="separate"/>
            </w:r>
            <w:r w:rsidRPr="007947F0">
              <w:rPr>
                <w:rStyle w:val="Hyperlink"/>
                <w:rFonts w:eastAsiaTheme="minorHAnsi"/>
                <w:color w:val="0000FF" w:themeColor="hyperlink"/>
                <w:sz w:val="24"/>
                <w:szCs w:val="24"/>
                <w:u w:val="single"/>
                <w:lang w:val="en-US" w:eastAsia="en-US" w:bidi="ar-SA"/>
              </w:rPr>
              <w:t>nvijaykar@elpc.org</w:t>
            </w:r>
            <w:r>
              <w:fldChar w:fldCharType="end"/>
            </w:r>
          </w:p>
          <w:p w:rsidR="00AD3E0E" w:rsidRPr="00D72549" w:rsidP="00857871">
            <w:pPr>
              <w:pStyle w:val="BodyText"/>
              <w:spacing w:after="0" w:line="240" w:lineRule="auto"/>
              <w:jc w:val="both"/>
              <w:rPr>
                <w:rStyle w:val="DefaultParagraphFont"/>
                <w:rFonts w:eastAsiaTheme="minorHAnsi"/>
                <w:sz w:val="24"/>
                <w:szCs w:val="24"/>
                <w:lang w:val="en-US" w:eastAsia="en-US" w:bidi="ar-SA"/>
              </w:rPr>
            </w:pPr>
          </w:p>
          <w:p w:rsidR="00AD3E0E" w:rsidRPr="00D72549" w:rsidP="00857871">
            <w:pPr>
              <w:pStyle w:val="BodyText"/>
              <w:spacing w:after="120" w:line="240" w:lineRule="auto"/>
              <w:jc w:val="both"/>
              <w:rPr>
                <w:rStyle w:val="DefaultParagraphFont"/>
                <w:rFonts w:eastAsiaTheme="minorHAnsi"/>
                <w:sz w:val="24"/>
                <w:szCs w:val="24"/>
                <w:lang w:val="en-US" w:eastAsia="en-US" w:bidi="ar-SA"/>
              </w:rPr>
            </w:pPr>
            <w:r w:rsidRPr="00D72549">
              <w:rPr>
                <w:rFonts w:eastAsiaTheme="minorHAnsi"/>
                <w:sz w:val="24"/>
                <w:szCs w:val="24"/>
                <w:lang w:val="en-US" w:eastAsia="en-US" w:bidi="ar-SA"/>
              </w:rPr>
              <w:t>Attorney Examiner:</w:t>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"mailto:Gregory.price@puc.state.oh.us" </w:instrText>
            </w:r>
            <w:r>
              <w:fldChar w:fldCharType="separate"/>
            </w:r>
            <w:r w:rsidRPr="007947F0">
              <w:rPr>
                <w:rStyle w:val="Hyperlink"/>
                <w:rFonts w:eastAsiaTheme="minorHAnsi"/>
                <w:color w:val="0000FF" w:themeColor="hyperlink"/>
                <w:sz w:val="24"/>
                <w:szCs w:val="24"/>
                <w:u w:val="single"/>
                <w:lang w:val="en-US" w:eastAsia="en-US" w:bidi="ar-SA"/>
              </w:rPr>
              <w:t>Gregory.price@puc.state.oh.us</w:t>
            </w:r>
            <w:r>
              <w:fldChar w:fldCharType="end"/>
            </w:r>
          </w:p>
          <w:p w:rsidR="00AD3E0E" w:rsidP="00857871">
            <w:pPr>
              <w:pStyle w:val="BodyText"/>
              <w:spacing w:after="0" w:line="240" w:lineRule="auto"/>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"mailto:patricia.schabo@puc.state.oh.us" </w:instrText>
            </w:r>
            <w:r>
              <w:fldChar w:fldCharType="separate"/>
            </w:r>
            <w:r w:rsidRPr="007947F0">
              <w:rPr>
                <w:rStyle w:val="Hyperlink"/>
                <w:rFonts w:eastAsiaTheme="minorHAnsi"/>
                <w:color w:val="0000FF" w:themeColor="hyperlink"/>
                <w:sz w:val="24"/>
                <w:szCs w:val="24"/>
                <w:u w:val="single"/>
                <w:lang w:val="en-US" w:eastAsia="en-US" w:bidi="ar-SA"/>
              </w:rPr>
              <w:t>patricia.schabo@puc.state.oh.us</w:t>
            </w:r>
            <w:r>
              <w:fldChar w:fldCharType="end"/>
            </w:r>
          </w:p>
          <w:p w:rsidR="00AD3E0E" w:rsidRPr="00D72549" w:rsidP="00857871">
            <w:pPr>
              <w:pStyle w:val="BodyText"/>
              <w:spacing w:after="0" w:line="240" w:lineRule="auto"/>
              <w:jc w:val="both"/>
              <w:rPr>
                <w:rStyle w:val="DefaultParagraphFont"/>
                <w:rFonts w:eastAsiaTheme="minorHAnsi"/>
                <w:sz w:val="24"/>
                <w:szCs w:val="24"/>
                <w:lang w:val="en-US" w:eastAsia="en-US" w:bidi="ar-SA"/>
              </w:rPr>
            </w:pPr>
          </w:p>
        </w:tc>
        <w:tc>
          <w:tcPr>
            <w:tcW w:w="4428" w:type="dxa"/>
            <w:shd w:val="clear" w:color="auto" w:fill="auto"/>
          </w:tcPr>
          <w:p w:rsidR="00AD3E0E" w:rsidP="00AD3E0E">
            <w:pPr>
              <w:pStyle w:val="BodyText"/>
              <w:spacing w:after="0" w:line="240" w:lineRule="auto"/>
              <w:ind w:left="594"/>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"mailto:Michael.schuler@aes.com" </w:instrText>
            </w:r>
            <w:r>
              <w:fldChar w:fldCharType="separate"/>
            </w:r>
            <w:r w:rsidRPr="007947F0">
              <w:rPr>
                <w:rStyle w:val="Hyperlink"/>
                <w:rFonts w:eastAsiaTheme="minorHAnsi"/>
                <w:color w:val="0000FF" w:themeColor="hyperlink"/>
                <w:sz w:val="24"/>
                <w:szCs w:val="24"/>
                <w:u w:val="single"/>
                <w:lang w:val="en-US" w:eastAsia="en-US" w:bidi="ar-SA"/>
              </w:rPr>
              <w:t>Michael.schuler@aes.com</w:t>
            </w:r>
            <w:r>
              <w:fldChar w:fldCharType="end"/>
            </w:r>
          </w:p>
          <w:p w:rsidR="00AD3E0E" w:rsidP="00AD3E0E">
            <w:pPr>
              <w:autoSpaceDE w:val="0"/>
              <w:autoSpaceDN w:val="0"/>
              <w:adjustRightInd w:val="0"/>
              <w:spacing w:after="0" w:line="240" w:lineRule="auto"/>
              <w:ind w:left="594"/>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"mailto:jsharkey@ficlaw.com" </w:instrText>
            </w:r>
            <w:r>
              <w:fldChar w:fldCharType="separate"/>
            </w:r>
            <w:r w:rsidRPr="007947F0">
              <w:rPr>
                <w:rStyle w:val="Hyperlink"/>
                <w:rFonts w:eastAsiaTheme="minorHAnsi"/>
                <w:color w:val="0000FF" w:themeColor="hyperlink"/>
                <w:sz w:val="24"/>
                <w:szCs w:val="24"/>
                <w:u w:val="single"/>
                <w:lang w:val="en-US" w:eastAsia="en-US" w:bidi="he-IL"/>
              </w:rPr>
              <w:t>jsharkey@ficlaw.com</w:t>
            </w:r>
            <w:r>
              <w:fldChar w:fldCharType="end"/>
            </w:r>
          </w:p>
          <w:p w:rsidR="00AD3E0E" w:rsidP="00AD3E0E">
            <w:pPr>
              <w:autoSpaceDE w:val="0"/>
              <w:autoSpaceDN w:val="0"/>
              <w:adjustRightInd w:val="0"/>
              <w:spacing w:after="0" w:line="240" w:lineRule="auto"/>
              <w:ind w:left="594"/>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"mailto:djireland@ficlaw.com" </w:instrText>
            </w:r>
            <w:r>
              <w:fldChar w:fldCharType="separate"/>
            </w:r>
            <w:r w:rsidRPr="007947F0">
              <w:rPr>
                <w:rStyle w:val="Hyperlink"/>
                <w:rFonts w:eastAsiaTheme="minorHAnsi"/>
                <w:color w:val="0000FF" w:themeColor="hyperlink"/>
                <w:sz w:val="24"/>
                <w:szCs w:val="24"/>
                <w:u w:val="single"/>
                <w:lang w:val="en-US" w:eastAsia="en-US" w:bidi="he-IL"/>
              </w:rPr>
              <w:t>djireland@ficlaw.com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"mailto:chollon@ficlaw.com" </w:instrText>
            </w:r>
            <w:r>
              <w:fldChar w:fldCharType="separate"/>
            </w:r>
            <w:r w:rsidRPr="007947F0">
              <w:rPr>
                <w:rStyle w:val="Hyperlink"/>
                <w:rFonts w:eastAsiaTheme="minorHAnsi"/>
                <w:color w:val="0000FF" w:themeColor="hyperlink"/>
                <w:sz w:val="24"/>
                <w:szCs w:val="24"/>
                <w:u w:val="single"/>
                <w:lang w:val="en-US" w:eastAsia="en-US" w:bidi="he-IL"/>
              </w:rPr>
              <w:t>chollon@ficlaw.com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"mailto:fdarr@mwncmh.com" </w:instrText>
            </w:r>
            <w:r>
              <w:fldChar w:fldCharType="separate"/>
            </w:r>
            <w:r w:rsidRPr="007947F0">
              <w:rPr>
                <w:rStyle w:val="Hyperlink"/>
                <w:rFonts w:eastAsiaTheme="minorHAnsi"/>
                <w:color w:val="0000FF" w:themeColor="hyperlink"/>
                <w:sz w:val="24"/>
                <w:szCs w:val="24"/>
                <w:u w:val="single"/>
                <w:lang w:val="en-US" w:eastAsia="en-US" w:bidi="ar-SA"/>
              </w:rPr>
              <w:t>fdarr@mwncmh.com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ar-SA"/>
              </w:rPr>
            </w:pPr>
            <w:r>
              <w:fldChar w:fldCharType="begin"/>
            </w:r>
            <w:r>
              <w:rPr>
                <w:rFonts w:eastAsiaTheme="minorHAnsi"/>
                <w:sz w:val="24"/>
                <w:szCs w:val="24"/>
                <w:lang w:val="en-US" w:eastAsia="en-US" w:bidi="ar-SA"/>
              </w:rPr>
              <w:instrText xml:space="preserve"> HYPERLINK "mailto:mpritchard@mwncmh.com" </w:instrText>
            </w:r>
            <w:r>
              <w:fldChar w:fldCharType="separate"/>
            </w:r>
            <w:r w:rsidRPr="007947F0">
              <w:rPr>
                <w:rStyle w:val="Hyperlink"/>
                <w:rFonts w:eastAsiaTheme="minorHAnsi"/>
                <w:color w:val="0000FF" w:themeColor="hyperlink"/>
                <w:sz w:val="24"/>
                <w:szCs w:val="24"/>
                <w:u w:val="single"/>
                <w:lang w:val="en-US" w:eastAsia="en-US" w:bidi="ar-SA"/>
              </w:rPr>
              <w:t>mpritchard@mwncmh.com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"mailto:mfleisher@dickinsonwright.com" </w:instrText>
            </w:r>
            <w:r>
              <w:fldChar w:fldCharType="separate"/>
            </w:r>
            <w:r w:rsidRPr="007947F0">
              <w:rPr>
                <w:rStyle w:val="Hyperlink"/>
                <w:rFonts w:eastAsiaTheme="minorHAnsi"/>
                <w:color w:val="0000FF" w:themeColor="hyperlink"/>
                <w:sz w:val="24"/>
                <w:szCs w:val="24"/>
                <w:u w:val="single"/>
                <w:lang w:val="en-US" w:eastAsia="en-US" w:bidi="he-IL"/>
              </w:rPr>
              <w:t>mfleisher@dickinsonwright.com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"mailto:mkurtz@bkllawfirm.com" </w:instrText>
            </w:r>
            <w:r>
              <w:fldChar w:fldCharType="separate"/>
            </w:r>
            <w:r w:rsidRPr="007947F0">
              <w:rPr>
                <w:rStyle w:val="Hyperlink"/>
                <w:rFonts w:eastAsiaTheme="minorHAnsi"/>
                <w:color w:val="0000FF" w:themeColor="hyperlink"/>
                <w:sz w:val="24"/>
                <w:szCs w:val="24"/>
                <w:u w:val="single"/>
                <w:lang w:val="en-US" w:eastAsia="en-US" w:bidi="he-IL"/>
              </w:rPr>
              <w:t>mkurtz@bkllawfirm.com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"mailto:kboehm@bklawfirm.com" </w:instrText>
            </w:r>
            <w:r>
              <w:fldChar w:fldCharType="separate"/>
            </w:r>
            <w:r w:rsidRPr="007947F0">
              <w:rPr>
                <w:rStyle w:val="Hyperlink"/>
                <w:rFonts w:eastAsiaTheme="minorHAnsi"/>
                <w:color w:val="0000FF" w:themeColor="hyperlink"/>
                <w:sz w:val="24"/>
                <w:szCs w:val="24"/>
                <w:u w:val="single"/>
                <w:lang w:val="en-US" w:eastAsia="en-US" w:bidi="he-IL"/>
              </w:rPr>
              <w:t>kboehm@bklawfirm.com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"mailto:jkylercohn@bkllawfirm.com" </w:instrText>
            </w:r>
            <w:r>
              <w:fldChar w:fldCharType="separate"/>
            </w:r>
            <w:r w:rsidRPr="007947F0">
              <w:rPr>
                <w:rStyle w:val="Hyperlink"/>
                <w:rFonts w:eastAsiaTheme="minorHAnsi"/>
                <w:color w:val="0000FF" w:themeColor="hyperlink"/>
                <w:sz w:val="24"/>
                <w:szCs w:val="24"/>
                <w:u w:val="single"/>
                <w:lang w:val="en-US" w:eastAsia="en-US" w:bidi="he-IL"/>
              </w:rPr>
              <w:t>jkylercohn@bkllawfirm.com</w:t>
            </w:r>
            <w:r>
              <w:fldChar w:fldCharType="end"/>
            </w:r>
          </w:p>
          <w:p w:rsidR="00AD3E0E" w:rsidP="00AD3E0E">
            <w:pPr>
              <w:autoSpaceDE w:val="0"/>
              <w:autoSpaceDN w:val="0"/>
              <w:adjustRightInd w:val="0"/>
              <w:spacing w:after="0" w:line="240" w:lineRule="auto"/>
              <w:ind w:left="594"/>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"mailto:Bojko@carpenterlipps.com" </w:instrText>
            </w:r>
            <w:r>
              <w:fldChar w:fldCharType="separate"/>
            </w:r>
            <w:r w:rsidRPr="007947F0">
              <w:rPr>
                <w:rStyle w:val="Hyperlink"/>
                <w:rFonts w:eastAsiaTheme="minorHAnsi"/>
                <w:color w:val="0000FF" w:themeColor="hyperlink"/>
                <w:sz w:val="24"/>
                <w:szCs w:val="24"/>
                <w:u w:val="single"/>
                <w:lang w:val="en-US" w:eastAsia="en-US" w:bidi="he-IL"/>
              </w:rPr>
              <w:t>Bojko@carpenterlipps.com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"mailto:Dressel@carpenterlipps.com" </w:instrText>
            </w:r>
            <w:r>
              <w:fldChar w:fldCharType="separate"/>
            </w:r>
            <w:r w:rsidRPr="007947F0">
              <w:rPr>
                <w:rStyle w:val="Hyperlink"/>
                <w:rFonts w:eastAsiaTheme="minorHAnsi"/>
                <w:color w:val="0000FF" w:themeColor="hyperlink"/>
                <w:sz w:val="24"/>
                <w:szCs w:val="24"/>
                <w:u w:val="single"/>
                <w:lang w:val="en-US" w:eastAsia="en-US" w:bidi="he-IL"/>
              </w:rPr>
              <w:t>Dressel@carpenterlipps.com</w:t>
            </w:r>
            <w:r>
              <w:fldChar w:fldCharType="end"/>
            </w:r>
          </w:p>
          <w:p w:rsidR="00AD3E0E" w:rsidP="00AD3E0E">
            <w:pPr>
              <w:autoSpaceDE w:val="0"/>
              <w:autoSpaceDN w:val="0"/>
              <w:adjustRightInd w:val="0"/>
              <w:spacing w:after="0" w:line="240" w:lineRule="auto"/>
              <w:ind w:left="594"/>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"mailto:Paul@carpenterlipps.com" </w:instrText>
            </w:r>
            <w:r>
              <w:fldChar w:fldCharType="separate"/>
            </w:r>
            <w:r w:rsidRPr="007947F0">
              <w:rPr>
                <w:rStyle w:val="Hyperlink"/>
                <w:rFonts w:eastAsiaTheme="minorHAnsi"/>
                <w:color w:val="0000FF" w:themeColor="hyperlink"/>
                <w:sz w:val="24"/>
                <w:szCs w:val="24"/>
                <w:u w:val="single"/>
                <w:lang w:val="en-US" w:eastAsia="en-US" w:bidi="he-IL"/>
              </w:rPr>
              <w:t>Paul@carpenterlipps.com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"mailto:Dutton@carpenterlipps.com" </w:instrText>
            </w:r>
            <w:r>
              <w:fldChar w:fldCharType="separate"/>
            </w:r>
            <w:r w:rsidRPr="007947F0">
              <w:rPr>
                <w:rStyle w:val="Hyperlink"/>
                <w:rFonts w:eastAsiaTheme="minorHAnsi"/>
                <w:color w:val="0000FF" w:themeColor="hyperlink"/>
                <w:sz w:val="24"/>
                <w:szCs w:val="24"/>
                <w:u w:val="single"/>
                <w:lang w:val="en-US" w:eastAsia="en-US" w:bidi="he-IL"/>
              </w:rPr>
              <w:t>Dutton@carpenterlipps.com</w:t>
            </w:r>
            <w:r>
              <w:fldChar w:fldCharType="end"/>
            </w:r>
          </w:p>
          <w:p w:rsidR="00AD3E0E" w:rsidP="00AD3E0E">
            <w:pPr>
              <w:autoSpaceDE w:val="0"/>
              <w:autoSpaceDN w:val="0"/>
              <w:adjustRightInd w:val="0"/>
              <w:spacing w:after="0" w:line="240" w:lineRule="auto"/>
              <w:ind w:left="594"/>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"mailto:slesser@calfee.com" </w:instrText>
            </w:r>
            <w:r>
              <w:fldChar w:fldCharType="separate"/>
            </w:r>
            <w:r w:rsidRPr="007947F0">
              <w:rPr>
                <w:rStyle w:val="Hyperlink"/>
                <w:rFonts w:eastAsiaTheme="minorHAnsi"/>
                <w:color w:val="0000FF" w:themeColor="hyperlink"/>
                <w:sz w:val="24"/>
                <w:szCs w:val="24"/>
                <w:u w:val="single"/>
                <w:lang w:val="en-US" w:eastAsia="en-US" w:bidi="he-IL"/>
              </w:rPr>
              <w:t>slesser@calfee.com</w:t>
            </w:r>
            <w:r>
              <w:fldChar w:fldCharType="end"/>
            </w:r>
          </w:p>
          <w:p w:rsidR="00AD3E0E" w:rsidP="00AD3E0E">
            <w:pPr>
              <w:autoSpaceDE w:val="0"/>
              <w:autoSpaceDN w:val="0"/>
              <w:adjustRightInd w:val="0"/>
              <w:spacing w:after="0" w:line="240" w:lineRule="auto"/>
              <w:ind w:left="594"/>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"mailto:talexander@calfee.com" </w:instrText>
            </w:r>
            <w:r>
              <w:fldChar w:fldCharType="separate"/>
            </w:r>
            <w:r w:rsidRPr="007947F0">
              <w:rPr>
                <w:rStyle w:val="Hyperlink"/>
                <w:rFonts w:eastAsiaTheme="minorHAnsi"/>
                <w:color w:val="0000FF" w:themeColor="hyperlink"/>
                <w:sz w:val="24"/>
                <w:szCs w:val="24"/>
                <w:u w:val="single"/>
                <w:lang w:val="en-US" w:eastAsia="en-US" w:bidi="he-IL"/>
              </w:rPr>
              <w:t>talexander@calfee.com</w:t>
            </w:r>
            <w:r>
              <w:fldChar w:fldCharType="end"/>
            </w:r>
          </w:p>
          <w:p w:rsidR="00AD3E0E" w:rsidP="00AD3E0E">
            <w:pPr>
              <w:pStyle w:val="BodyText"/>
              <w:spacing w:after="0" w:line="240" w:lineRule="auto"/>
              <w:ind w:left="594"/>
              <w:jc w:val="both"/>
              <w:rPr>
                <w:rStyle w:val="DefaultParagraphFont"/>
                <w:rFonts w:eastAsiaTheme="minorHAnsi"/>
                <w:sz w:val="24"/>
                <w:szCs w:val="24"/>
                <w:lang w:val="en-US" w:eastAsia="en-US" w:bidi="he-IL"/>
              </w:rPr>
            </w:pPr>
            <w:r>
              <w:fldChar w:fldCharType="begin"/>
            </w:r>
            <w:r>
              <w:rPr>
                <w:rFonts w:eastAsiaTheme="minorHAnsi"/>
                <w:sz w:val="24"/>
                <w:szCs w:val="24"/>
                <w:lang w:val="en-US" w:eastAsia="en-US" w:bidi="ar-SA"/>
              </w:rPr>
              <w:instrText xml:space="preserve"> HYPERLINK "mailto:mkeaney@calfee.com" </w:instrText>
            </w:r>
            <w:r>
              <w:fldChar w:fldCharType="separate"/>
            </w:r>
            <w:r w:rsidRPr="007947F0">
              <w:rPr>
                <w:rStyle w:val="Hyperlink"/>
                <w:rFonts w:eastAsiaTheme="minorHAnsi"/>
                <w:color w:val="0000FF" w:themeColor="hyperlink"/>
                <w:sz w:val="24"/>
                <w:szCs w:val="24"/>
                <w:u w:val="single"/>
                <w:lang w:val="en-US" w:eastAsia="en-US" w:bidi="he-IL"/>
              </w:rPr>
              <w:t>mkeaney@calfee.com</w:t>
            </w:r>
            <w:r>
              <w:fldChar w:fldCharType="end"/>
            </w:r>
          </w:p>
          <w:p w:rsidR="00AD3E0E" w:rsidRPr="00D72549" w:rsidP="00857871">
            <w:pPr>
              <w:pStyle w:val="BodyText"/>
              <w:spacing w:after="0" w:line="240" w:lineRule="auto"/>
              <w:jc w:val="both"/>
              <w:rPr>
                <w:rStyle w:val="DefaultParagraphFont"/>
                <w:rFonts w:eastAsiaTheme="minorHAnsi"/>
                <w:sz w:val="24"/>
                <w:szCs w:val="24"/>
                <w:lang w:val="en-US" w:eastAsia="en-US" w:bidi="he-IL"/>
              </w:rPr>
            </w:pPr>
          </w:p>
          <w:p w:rsidR="00AD3E0E" w:rsidRPr="00D72549" w:rsidP="00857871">
            <w:pPr>
              <w:pStyle w:val="BodyText"/>
              <w:spacing w:after="120" w:line="240" w:lineRule="auto"/>
              <w:jc w:val="both"/>
              <w:rPr>
                <w:rStyle w:val="DefaultParagraphFont"/>
                <w:rFonts w:eastAsiaTheme="minorHAnsi"/>
                <w:sz w:val="24"/>
                <w:szCs w:val="24"/>
                <w:lang w:val="en-US" w:eastAsia="en-US" w:bidi="ar-SA"/>
              </w:rPr>
            </w:pPr>
          </w:p>
          <w:p w:rsidR="00AD3E0E" w:rsidRPr="00D72549" w:rsidP="00857871">
            <w:pPr>
              <w:pStyle w:val="BodyText"/>
              <w:spacing w:after="120" w:line="240" w:lineRule="auto"/>
              <w:jc w:val="both"/>
              <w:rPr>
                <w:rStyle w:val="DefaultParagraphFont"/>
                <w:rFonts w:eastAsiaTheme="minorHAnsi"/>
                <w:sz w:val="24"/>
                <w:szCs w:val="24"/>
                <w:lang w:val="en-US" w:eastAsia="en-US" w:bidi="ar-SA"/>
              </w:rPr>
            </w:pPr>
          </w:p>
        </w:tc>
      </w:tr>
    </w:tbl>
    <w:p w:rsidR="006518A3" w:rsidP="006C6C6E">
      <w:pPr>
        <w:autoSpaceDE w:val="0"/>
        <w:autoSpaceDN w:val="0"/>
        <w:adjustRightInd w:val="0"/>
      </w:pPr>
    </w:p>
    <w:sectPr w:rsidSect="001D6C97">
      <w:footerReference w:type="first" r:id="rId11"/>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5440247"/>
      <w:docPartObj>
        <w:docPartGallery w:val="Page Numbers (Bottom of Page)"/>
        <w:docPartUnique/>
      </w:docPartObj>
    </w:sdtPr>
    <w:sdtEndPr>
      <w:rPr>
        <w:noProof/>
      </w:rPr>
    </w:sdtEndPr>
    <w:sdtContent>
      <w:p w:rsidR="001D6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6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E0E">
    <w:pPr>
      <w:pStyle w:val="Footer"/>
      <w:jc w:val="center"/>
    </w:pPr>
  </w:p>
  <w:p w:rsidR="00AD3E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6678702"/>
      <w:docPartObj>
        <w:docPartGallery w:val="Page Numbers (Bottom of Page)"/>
        <w:docPartUnique/>
      </w:docPartObj>
    </w:sdtPr>
    <w:sdtEndPr>
      <w:rPr>
        <w:noProof/>
      </w:rPr>
    </w:sdtEndPr>
    <w:sdtContent>
      <w:p w:rsidR="00AD3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6DDD" w:rsidP="006518A3">
      <w:r>
        <w:separator/>
      </w:r>
    </w:p>
  </w:footnote>
  <w:footnote w:type="continuationSeparator" w:id="1">
    <w:p w:rsidR="00876DDD" w:rsidP="006518A3">
      <w:r>
        <w:continuationSeparator/>
      </w:r>
    </w:p>
  </w:footnote>
  <w:footnote w:id="2">
    <w:p w:rsidR="00207ED8" w:rsidRPr="00DB20F0" w:rsidP="00207ED8">
      <w:pPr>
        <w:pStyle w:val="FootnoteText1"/>
      </w:pPr>
      <w:r>
        <w:rPr>
          <w:rStyle w:val="FootnoteReference"/>
        </w:rPr>
        <w:footnoteRef/>
      </w:r>
      <w:r>
        <w:t xml:space="preserve"> </w:t>
      </w:r>
      <w:r>
        <w:rPr>
          <w:i/>
          <w:iCs/>
        </w:rPr>
        <w:t>See</w:t>
      </w:r>
      <w:r>
        <w:t xml:space="preserve"> Application (December 21, 2018) at 5.</w:t>
      </w:r>
    </w:p>
  </w:footnote>
  <w:footnote w:id="3">
    <w:p w:rsidR="00B33D31" w:rsidRPr="00B33D31">
      <w:pPr>
        <w:pStyle w:val="FootnoteText"/>
      </w:pPr>
      <w:r>
        <w:rPr>
          <w:rStyle w:val="FootnoteReference"/>
        </w:rPr>
        <w:footnoteRef/>
      </w:r>
      <w:r>
        <w:t xml:space="preserve"> </w:t>
      </w:r>
      <w:r>
        <w:rPr>
          <w:i/>
          <w:iCs/>
        </w:rPr>
        <w:t>See</w:t>
      </w:r>
      <w:r>
        <w:t xml:space="preserve"> </w:t>
      </w:r>
      <w:r>
        <w:fldChar w:fldCharType="begin"/>
      </w:r>
      <w:r>
        <w:instrText xml:space="preserve"> HYPERLINK "https://www.census.gov/quickfacts/daytoncityohio" </w:instrText>
      </w:r>
      <w:r>
        <w:fldChar w:fldCharType="separate"/>
      </w:r>
      <w:r w:rsidRPr="00CB0873">
        <w:rPr>
          <w:rStyle w:val="Hyperlink"/>
        </w:rPr>
        <w:t>https://www.census.gov/quickfacts/daytoncityohio</w:t>
      </w:r>
      <w:r>
        <w:fldChar w:fldCharType="end"/>
      </w:r>
      <w:r>
        <w:t xml:space="preserve">. </w:t>
      </w:r>
    </w:p>
  </w:footnote>
  <w:footnote w:id="4">
    <w:p w:rsidR="006518A3" w:rsidP="00BA1289">
      <w:pPr>
        <w:pStyle w:val="FootnoteText1"/>
      </w:pPr>
      <w:r>
        <w:rPr>
          <w:rStyle w:val="FootnoteReference"/>
        </w:rPr>
        <w:footnoteRef/>
      </w:r>
      <w:r>
        <w:t xml:space="preserve"> ELPC</w:t>
      </w:r>
      <w:r w:rsidR="005940CE">
        <w:t>’s</w:t>
      </w:r>
      <w:r>
        <w:t xml:space="preserve"> Motion, Memorandum in Support at 4-11</w:t>
      </w:r>
      <w:r w:rsidR="00067B1B">
        <w:t xml:space="preserve"> (Sept</w:t>
      </w:r>
      <w:r w:rsidR="0061216E">
        <w:t>ember</w:t>
      </w:r>
      <w:r w:rsidR="00067B1B">
        <w:t xml:space="preserve"> 19, 2019)</w:t>
      </w:r>
      <w:r>
        <w:t>.</w:t>
      </w:r>
    </w:p>
  </w:footnote>
  <w:footnote w:id="5">
    <w:p w:rsidR="00810AB2" w:rsidRPr="00810AB2">
      <w:pPr>
        <w:pStyle w:val="FootnoteText"/>
      </w:pPr>
      <w:r>
        <w:rPr>
          <w:rStyle w:val="FootnoteReference"/>
        </w:rPr>
        <w:footnoteRef/>
      </w:r>
      <w:r>
        <w:t xml:space="preserve"> DP&amp;L</w:t>
      </w:r>
      <w:r w:rsidR="005940CE">
        <w:t>’s</w:t>
      </w:r>
      <w:r>
        <w:t xml:space="preserve"> Memorandum </w:t>
      </w:r>
      <w:r w:rsidR="005940CE">
        <w:t xml:space="preserve">in Opposition </w:t>
      </w:r>
      <w:r>
        <w:t xml:space="preserve">at 3-9.  DP&amp;L also argued that ELPC’s attorneys are engaged in the unauthorized practice of law in Ohio.  </w:t>
      </w:r>
      <w:r>
        <w:rPr>
          <w:i/>
          <w:iCs/>
        </w:rPr>
        <w:t>Id.</w:t>
      </w:r>
      <w:r>
        <w:t xml:space="preserve"> at 9-10.  OCC does not agree with DP&amp;L’s assertion.</w:t>
      </w:r>
    </w:p>
  </w:footnote>
  <w:footnote w:id="6">
    <w:p w:rsidR="00195AFE" w:rsidRPr="00195AFE">
      <w:pPr>
        <w:pStyle w:val="FootnoteText"/>
      </w:pPr>
      <w:r>
        <w:rPr>
          <w:rStyle w:val="FootnoteReference"/>
        </w:rPr>
        <w:footnoteRef/>
      </w:r>
      <w:r>
        <w:t xml:space="preserve"> </w:t>
      </w:r>
      <w:r>
        <w:rPr>
          <w:i/>
          <w:iCs/>
        </w:rPr>
        <w:t>Id.</w:t>
      </w:r>
      <w:r>
        <w:t xml:space="preserve"> at 3.</w:t>
      </w:r>
    </w:p>
  </w:footnote>
  <w:footnote w:id="7">
    <w:p w:rsidR="00070BEC" w:rsidRPr="00070BEC">
      <w:pPr>
        <w:pStyle w:val="FootnoteText"/>
      </w:pPr>
      <w:r>
        <w:rPr>
          <w:rStyle w:val="FootnoteReference"/>
        </w:rPr>
        <w:footnoteRef/>
      </w:r>
      <w:r>
        <w:t xml:space="preserve"> </w:t>
      </w:r>
      <w:r>
        <w:rPr>
          <w:i/>
          <w:iCs/>
        </w:rPr>
        <w:t>Id.</w:t>
      </w:r>
      <w:r>
        <w:t xml:space="preserve"> at 4-5.</w:t>
      </w:r>
    </w:p>
  </w:footnote>
  <w:footnote w:id="8">
    <w:p w:rsidR="00CB637B" w:rsidRPr="00CB637B">
      <w:pPr>
        <w:pStyle w:val="FootnoteText"/>
      </w:pPr>
      <w:r>
        <w:rPr>
          <w:rStyle w:val="FootnoteReference"/>
        </w:rPr>
        <w:footnoteRef/>
      </w:r>
      <w:r>
        <w:t xml:space="preserve"> </w:t>
      </w:r>
      <w:r>
        <w:rPr>
          <w:i/>
          <w:iCs/>
        </w:rPr>
        <w:t>See</w:t>
      </w:r>
      <w:r>
        <w:t xml:space="preserve"> Ohio Adm. Code 4901-1-12(B)(1).</w:t>
      </w:r>
    </w:p>
  </w:footnote>
  <w:footnote w:id="9">
    <w:p w:rsidR="00070BEC">
      <w:pPr>
        <w:pStyle w:val="FootnoteText"/>
      </w:pPr>
      <w:r>
        <w:rPr>
          <w:rStyle w:val="FootnoteReference"/>
        </w:rPr>
        <w:footnoteRef/>
      </w:r>
      <w:r>
        <w:t xml:space="preserve"> ELPC</w:t>
      </w:r>
      <w:r w:rsidR="005940CE">
        <w:t>’s</w:t>
      </w:r>
      <w:r>
        <w:t xml:space="preserve"> Motion to Intervene (January 30, 2019), Memorandum in Support at 2.</w:t>
      </w:r>
    </w:p>
  </w:footnote>
  <w:footnote w:id="10">
    <w:p w:rsidR="00BA6519" w:rsidRPr="00BA6519">
      <w:pPr>
        <w:pStyle w:val="FootnoteText"/>
        <w:rPr>
          <w:i/>
          <w:iCs/>
        </w:rPr>
      </w:pPr>
      <w:r>
        <w:rPr>
          <w:rStyle w:val="FootnoteReference"/>
        </w:rPr>
        <w:footnoteRef/>
      </w:r>
      <w:r>
        <w:t xml:space="preserve"> </w:t>
      </w:r>
      <w:r>
        <w:rPr>
          <w:i/>
          <w:iCs/>
        </w:rPr>
        <w:t>Id.</w:t>
      </w:r>
    </w:p>
  </w:footnote>
  <w:footnote w:id="11">
    <w:p w:rsidR="00CB637B">
      <w:pPr>
        <w:pStyle w:val="FootnoteText"/>
      </w:pPr>
      <w:r>
        <w:rPr>
          <w:rStyle w:val="FootnoteReference"/>
        </w:rPr>
        <w:footnoteRef/>
      </w:r>
      <w:r>
        <w:t xml:space="preserve"> DP&amp;L’s Memorandum </w:t>
      </w:r>
      <w:r w:rsidR="005940CE">
        <w:t xml:space="preserve">in Opposition </w:t>
      </w:r>
      <w:r>
        <w:t>at 4.</w:t>
      </w:r>
    </w:p>
  </w:footnote>
  <w:footnote w:id="12">
    <w:p w:rsidR="00956DCA" w:rsidRPr="00956DCA">
      <w:pPr>
        <w:pStyle w:val="FootnoteText"/>
        <w:rPr>
          <w:i/>
          <w:iCs/>
        </w:rPr>
      </w:pPr>
      <w:r>
        <w:rPr>
          <w:rStyle w:val="FootnoteReference"/>
        </w:rPr>
        <w:footnoteRef/>
      </w:r>
      <w:r>
        <w:t xml:space="preserve"> </w:t>
      </w:r>
      <w:r>
        <w:rPr>
          <w:i/>
          <w:iCs/>
        </w:rPr>
        <w:t>Id.</w:t>
      </w:r>
    </w:p>
  </w:footnote>
  <w:footnote w:id="13">
    <w:p w:rsidR="00A93C08" w:rsidRPr="00A93C08">
      <w:pPr>
        <w:pStyle w:val="FootnoteText"/>
      </w:pPr>
      <w:r>
        <w:rPr>
          <w:rStyle w:val="FootnoteReference"/>
        </w:rPr>
        <w:footnoteRef/>
      </w:r>
      <w:r>
        <w:t xml:space="preserve"> </w:t>
      </w:r>
      <w:r>
        <w:rPr>
          <w:i/>
          <w:iCs/>
        </w:rPr>
        <w:t>Id.</w:t>
      </w:r>
      <w:r>
        <w:t xml:space="preserve"> at 5.</w:t>
      </w:r>
    </w:p>
  </w:footnote>
  <w:footnote w:id="14">
    <w:p w:rsidR="006518A3" w:rsidRPr="003A1531" w:rsidP="00BA1289">
      <w:pPr>
        <w:pStyle w:val="FootnoteText1"/>
      </w:pPr>
      <w:r>
        <w:rPr>
          <w:rStyle w:val="FootnoteReference"/>
        </w:rPr>
        <w:footnoteRef/>
      </w:r>
      <w:r>
        <w:t xml:space="preserve"> </w:t>
      </w:r>
      <w:r w:rsidR="003660A6">
        <w:t>ELPC’s Motion</w:t>
      </w:r>
      <w:r w:rsidR="005940CE">
        <w:t>,</w:t>
      </w:r>
      <w:r w:rsidRPr="005940CE" w:rsidR="005940CE">
        <w:t xml:space="preserve"> </w:t>
      </w:r>
      <w:r w:rsidR="005940CE">
        <w:t>Memorandum in Support</w:t>
      </w:r>
      <w:r>
        <w:t xml:space="preserve"> at 4-11.</w:t>
      </w:r>
    </w:p>
  </w:footnote>
  <w:footnote w:id="15">
    <w:p w:rsidR="003660A6" w:rsidRPr="003660A6">
      <w:pPr>
        <w:pStyle w:val="FootnoteText"/>
      </w:pPr>
      <w:r>
        <w:rPr>
          <w:rStyle w:val="FootnoteReference"/>
        </w:rPr>
        <w:footnoteRef/>
      </w:r>
      <w:r>
        <w:t xml:space="preserve"> </w:t>
      </w:r>
      <w:r>
        <w:rPr>
          <w:i/>
          <w:iCs/>
        </w:rPr>
        <w:t>Id.</w:t>
      </w:r>
      <w:r>
        <w:t xml:space="preserve"> at 4.</w:t>
      </w:r>
    </w:p>
  </w:footnote>
  <w:footnote w:id="16">
    <w:p w:rsidR="00CA4313">
      <w:pPr>
        <w:pStyle w:val="FootnoteText"/>
      </w:pPr>
      <w:r>
        <w:rPr>
          <w:rStyle w:val="FootnoteReference"/>
        </w:rPr>
        <w:footnoteRef/>
      </w:r>
      <w:r>
        <w:t xml:space="preserve"> DP&amp;L</w:t>
      </w:r>
      <w:r w:rsidR="005940CE">
        <w:t>’s</w:t>
      </w:r>
      <w:r>
        <w:t xml:space="preserve"> Memorandum </w:t>
      </w:r>
      <w:r w:rsidR="005940CE">
        <w:t xml:space="preserve">in Opposition </w:t>
      </w:r>
      <w:r>
        <w:t>at 5.</w:t>
      </w:r>
    </w:p>
  </w:footnote>
  <w:footnote w:id="17">
    <w:p w:rsidR="00CA4313" w:rsidRPr="00CA4313">
      <w:pPr>
        <w:pStyle w:val="FootnoteText"/>
        <w:rPr>
          <w:i/>
          <w:iCs/>
        </w:rPr>
      </w:pPr>
      <w:r>
        <w:rPr>
          <w:rStyle w:val="FootnoteReference"/>
        </w:rPr>
        <w:footnoteRef/>
      </w:r>
      <w:r>
        <w:t xml:space="preserve"> </w:t>
      </w:r>
      <w:r>
        <w:rPr>
          <w:i/>
          <w:iCs/>
        </w:rPr>
        <w:t>Id.</w:t>
      </w:r>
    </w:p>
  </w:footnote>
  <w:footnote w:id="18">
    <w:p w:rsidR="00CA4313" w:rsidRPr="00CA4313">
      <w:pPr>
        <w:pStyle w:val="FootnoteText"/>
        <w:rPr>
          <w:i/>
          <w:iCs/>
        </w:rPr>
      </w:pPr>
      <w:r>
        <w:rPr>
          <w:rStyle w:val="FootnoteReference"/>
        </w:rPr>
        <w:footnoteRef/>
      </w:r>
      <w:r>
        <w:t xml:space="preserve"> </w:t>
      </w:r>
      <w:r>
        <w:rPr>
          <w:i/>
          <w:iCs/>
        </w:rPr>
        <w:t>Id.</w:t>
      </w:r>
    </w:p>
  </w:footnote>
  <w:footnote w:id="19">
    <w:p w:rsidR="00CA4313" w:rsidRPr="00CA4313">
      <w:pPr>
        <w:pStyle w:val="FootnoteText"/>
        <w:rPr>
          <w:i/>
          <w:iCs/>
        </w:rPr>
      </w:pPr>
      <w:r>
        <w:rPr>
          <w:rStyle w:val="FootnoteReference"/>
        </w:rPr>
        <w:footnoteRef/>
      </w:r>
      <w:r>
        <w:t xml:space="preserve"> </w:t>
      </w:r>
      <w:r>
        <w:rPr>
          <w:i/>
          <w:iCs/>
        </w:rPr>
        <w:t>Id.</w:t>
      </w:r>
    </w:p>
  </w:footnote>
  <w:footnote w:id="20">
    <w:p w:rsidR="0018180F">
      <w:pPr>
        <w:pStyle w:val="FootnoteText"/>
      </w:pPr>
      <w:r>
        <w:rPr>
          <w:rStyle w:val="FootnoteReference"/>
        </w:rPr>
        <w:footnoteRef/>
      </w:r>
      <w:r>
        <w:t xml:space="preserve"> ELPC</w:t>
      </w:r>
      <w:r w:rsidR="005940CE">
        <w:t>’s</w:t>
      </w:r>
      <w:r>
        <w:t xml:space="preserve"> Motion</w:t>
      </w:r>
      <w:r w:rsidR="005940CE">
        <w:t>,</w:t>
      </w:r>
      <w:r w:rsidRPr="005940CE" w:rsidR="005940CE">
        <w:t xml:space="preserve"> </w:t>
      </w:r>
      <w:r w:rsidR="005940CE">
        <w:t>Memorandum in Support</w:t>
      </w:r>
      <w:r>
        <w:t xml:space="preserve"> at 6.</w:t>
      </w:r>
    </w:p>
  </w:footnote>
  <w:footnote w:id="21">
    <w:p w:rsidR="0018180F" w:rsidRPr="0018180F">
      <w:pPr>
        <w:pStyle w:val="FootnoteText"/>
      </w:pPr>
      <w:r>
        <w:rPr>
          <w:rStyle w:val="FootnoteReference"/>
        </w:rPr>
        <w:footnoteRef/>
      </w:r>
      <w:r>
        <w:t xml:space="preserve"> </w:t>
      </w:r>
      <w:r>
        <w:rPr>
          <w:i/>
          <w:iCs/>
        </w:rPr>
        <w:t>Id.</w:t>
      </w:r>
      <w:r>
        <w:t xml:space="preserve"> at 8.</w:t>
      </w:r>
    </w:p>
  </w:footnote>
  <w:footnote w:id="22">
    <w:p w:rsidR="00032922" w:rsidRPr="00032922">
      <w:pPr>
        <w:pStyle w:val="FootnoteText"/>
      </w:pPr>
      <w:r>
        <w:rPr>
          <w:rStyle w:val="FootnoteReference"/>
        </w:rPr>
        <w:footnoteRef/>
      </w:r>
      <w:r>
        <w:t xml:space="preserve"> </w:t>
      </w:r>
      <w:r>
        <w:rPr>
          <w:i/>
          <w:iCs/>
        </w:rPr>
        <w:t>Id.</w:t>
      </w:r>
      <w:r>
        <w:t xml:space="preserve"> at 10.</w:t>
      </w:r>
    </w:p>
  </w:footnote>
  <w:footnote w:id="23">
    <w:p w:rsidR="00032922" w:rsidRPr="00032922">
      <w:pPr>
        <w:pStyle w:val="FootnoteText"/>
        <w:rPr>
          <w:i/>
          <w:iCs/>
        </w:rPr>
      </w:pPr>
      <w:r>
        <w:rPr>
          <w:rStyle w:val="FootnoteReference"/>
        </w:rPr>
        <w:footnoteRef/>
      </w:r>
      <w:r>
        <w:t xml:space="preserve"> </w:t>
      </w:r>
      <w:r>
        <w:rPr>
          <w:i/>
          <w:iCs/>
        </w:rPr>
        <w:t>Id.</w:t>
      </w:r>
    </w:p>
  </w:footnote>
  <w:footnote w:id="24">
    <w:p w:rsidR="00032922" w:rsidRPr="00032922">
      <w:pPr>
        <w:pStyle w:val="FootnoteText"/>
      </w:pPr>
      <w:r>
        <w:rPr>
          <w:rStyle w:val="FootnoteReference"/>
        </w:rPr>
        <w:footnoteRef/>
      </w:r>
      <w:r>
        <w:t xml:space="preserve"> </w:t>
      </w:r>
      <w:r>
        <w:rPr>
          <w:i/>
          <w:iCs/>
        </w:rPr>
        <w:t>Id.</w:t>
      </w:r>
      <w:r>
        <w:t xml:space="preserve"> at 11.</w:t>
      </w:r>
    </w:p>
  </w:footnote>
  <w:footnote w:id="25">
    <w:p w:rsidR="00D6503D" w:rsidRPr="00D6503D">
      <w:pPr>
        <w:pStyle w:val="FootnoteText"/>
        <w:rPr>
          <w:i/>
          <w:iCs/>
        </w:rPr>
      </w:pPr>
      <w:r>
        <w:rPr>
          <w:rStyle w:val="FootnoteReference"/>
        </w:rPr>
        <w:footnoteRef/>
      </w:r>
      <w:r>
        <w:t xml:space="preserve"> </w:t>
      </w:r>
      <w:r>
        <w:rPr>
          <w:i/>
          <w:iCs/>
        </w:rPr>
        <w:t>Id.</w:t>
      </w:r>
    </w:p>
  </w:footnote>
  <w:footnote w:id="26">
    <w:p w:rsidR="005940CE">
      <w:pPr>
        <w:pStyle w:val="FootnoteText"/>
      </w:pPr>
      <w:r>
        <w:rPr>
          <w:rStyle w:val="FootnoteReference"/>
        </w:rPr>
        <w:footnoteRef/>
      </w:r>
      <w:r>
        <w:t xml:space="preserve"> DP&amp;L’s Memorandum in Opposition at 6-8.</w:t>
      </w:r>
    </w:p>
  </w:footnote>
  <w:footnote w:id="27">
    <w:p w:rsidR="0013544E" w:rsidRPr="0013544E">
      <w:pPr>
        <w:pStyle w:val="FootnoteText"/>
      </w:pPr>
      <w:r>
        <w:rPr>
          <w:rStyle w:val="FootnoteReference"/>
        </w:rPr>
        <w:footnoteRef/>
      </w:r>
      <w:r>
        <w:t xml:space="preserve"> </w:t>
      </w:r>
      <w:r>
        <w:rPr>
          <w:i/>
          <w:iCs/>
        </w:rPr>
        <w:t>See, e.g.,</w:t>
      </w:r>
      <w:r>
        <w:t xml:space="preserve"> Case No. 16-1602-EL-ESS, Direct Testimony of James D. Williams (June 25, 2018) at 11-12.</w:t>
      </w:r>
    </w:p>
  </w:footnote>
  <w:footnote w:id="28">
    <w:p w:rsidR="007C3B87" w:rsidRPr="007C3B87">
      <w:pPr>
        <w:pStyle w:val="FootnoteText"/>
      </w:pPr>
      <w:r>
        <w:rPr>
          <w:rStyle w:val="FootnoteReference"/>
        </w:rPr>
        <w:footnoteRef/>
      </w:r>
      <w:r>
        <w:t xml:space="preserve"> </w:t>
      </w:r>
      <w:r>
        <w:rPr>
          <w:i/>
          <w:iCs/>
        </w:rPr>
        <w:t>See</w:t>
      </w:r>
      <w:r>
        <w:t xml:space="preserve"> Case No. 19-992-EL-ESS, Annual Report of Electric Distribution System Reliability (March 29, 2019) at 2</w:t>
      </w:r>
      <w:r w:rsidR="001429F3">
        <w:t>,</w:t>
      </w:r>
      <w:r>
        <w:t xml:space="preserve"> </w:t>
      </w:r>
    </w:p>
  </w:footnote>
  <w:footnote w:id="29">
    <w:p w:rsidR="00D6503D" w:rsidP="00D6503D">
      <w:pPr>
        <w:pStyle w:val="FootnoteText"/>
      </w:pPr>
      <w:r>
        <w:rPr>
          <w:rStyle w:val="FootnoteReference"/>
        </w:rPr>
        <w:footnoteRef/>
      </w:r>
      <w:r>
        <w:t xml:space="preserve"> Application at 9-10.</w:t>
      </w:r>
    </w:p>
  </w:footnote>
  <w:footnote w:id="30">
    <w:p w:rsidR="00D6503D" w:rsidRPr="003151FE" w:rsidP="00D6503D">
      <w:pPr>
        <w:pStyle w:val="FootnoteText"/>
      </w:pPr>
      <w:r>
        <w:rPr>
          <w:rStyle w:val="FootnoteReference"/>
        </w:rPr>
        <w:footnoteRef/>
      </w:r>
      <w:r>
        <w:t xml:space="preserve"> </w:t>
      </w:r>
      <w:r>
        <w:rPr>
          <w:i/>
          <w:iCs/>
        </w:rPr>
        <w:t>Id.</w:t>
      </w:r>
      <w:r>
        <w:t xml:space="preserve"> at 7.</w:t>
      </w:r>
    </w:p>
  </w:footnote>
  <w:footnote w:id="31">
    <w:p w:rsidR="00981129">
      <w:pPr>
        <w:pStyle w:val="FootnoteText"/>
      </w:pPr>
      <w:r>
        <w:rPr>
          <w:rStyle w:val="FootnoteReference"/>
        </w:rPr>
        <w:footnoteRef/>
      </w:r>
      <w:r>
        <w:t xml:space="preserve"> ELPC’s Motion, Memorandum in Support at 12.</w:t>
      </w:r>
    </w:p>
  </w:footnote>
  <w:footnote w:id="32">
    <w:p w:rsidR="00981129" w:rsidRPr="00981129">
      <w:pPr>
        <w:pStyle w:val="FootnoteText"/>
        <w:rPr>
          <w:i/>
          <w:iCs/>
        </w:rPr>
      </w:pPr>
      <w:r>
        <w:rPr>
          <w:rStyle w:val="FootnoteReference"/>
        </w:rPr>
        <w:footnoteRef/>
      </w:r>
      <w:r>
        <w:t xml:space="preserve"> </w:t>
      </w:r>
      <w:r>
        <w:rPr>
          <w:i/>
          <w:iCs/>
        </w:rPr>
        <w:t>Id.</w:t>
      </w:r>
    </w:p>
  </w:footnote>
  <w:footnote w:id="33">
    <w:p w:rsidR="00981129">
      <w:pPr>
        <w:pStyle w:val="FootnoteText"/>
      </w:pPr>
      <w:r>
        <w:rPr>
          <w:rStyle w:val="FootnoteReference"/>
        </w:rPr>
        <w:footnoteRef/>
      </w:r>
      <w:r>
        <w:t xml:space="preserve"> DP&amp;L’s Memorandum in Opposition at 8.</w:t>
      </w:r>
    </w:p>
  </w:footnote>
  <w:footnote w:id="34">
    <w:p w:rsidR="00A90FDD">
      <w:pPr>
        <w:pStyle w:val="FootnoteText"/>
      </w:pPr>
      <w:r>
        <w:rPr>
          <w:rStyle w:val="FootnoteReference"/>
        </w:rPr>
        <w:footnoteRef/>
      </w:r>
      <w:r>
        <w:t xml:space="preserve"> ELPC’s Motion, Memorandum in Support at 13.</w:t>
      </w:r>
    </w:p>
  </w:footnote>
  <w:footnote w:id="35">
    <w:p w:rsidR="00A90FDD">
      <w:pPr>
        <w:pStyle w:val="FootnoteText"/>
      </w:pPr>
      <w:r>
        <w:rPr>
          <w:rStyle w:val="FootnoteReference"/>
        </w:rPr>
        <w:footnoteRef/>
      </w:r>
      <w:r>
        <w:t xml:space="preserve"> DP&amp;L’s </w:t>
      </w:r>
      <w:r w:rsidR="0061216E">
        <w:t>Memorandum in Opposition</w:t>
      </w:r>
      <w:r>
        <w:t xml:space="preserve"> at 8-9.</w:t>
      </w:r>
    </w:p>
  </w:footnote>
  <w:footnote w:id="36">
    <w:p w:rsidR="006518A3" w:rsidP="00BA1289">
      <w:pPr>
        <w:pStyle w:val="FootnoteText1"/>
      </w:pPr>
      <w:r>
        <w:rPr>
          <w:rStyle w:val="FootnoteReference"/>
        </w:rPr>
        <w:footnoteRef/>
      </w:r>
      <w:r>
        <w:t xml:space="preserve"> Power Forward Roadmap (August 29, 2018) at 35. </w:t>
      </w:r>
    </w:p>
  </w:footnote>
  <w:footnote w:id="37">
    <w:p w:rsidR="00446138">
      <w:pPr>
        <w:pStyle w:val="FootnoteText"/>
      </w:pPr>
      <w:r>
        <w:rPr>
          <w:rStyle w:val="FootnoteReference"/>
        </w:rPr>
        <w:footnoteRef/>
      </w:r>
      <w:r>
        <w:t xml:space="preserve"> Application at 10.</w:t>
      </w:r>
    </w:p>
  </w:footnote>
  <w:footnote w:id="38">
    <w:p w:rsidR="00CE1393" w:rsidRPr="001667F0" w:rsidP="00CE1393">
      <w:pPr>
        <w:pStyle w:val="FootnoteText"/>
      </w:pPr>
      <w:r w:rsidRPr="001667F0">
        <w:rPr>
          <w:rStyle w:val="FootnoteReference"/>
        </w:rPr>
        <w:footnoteRef/>
      </w:r>
      <w:r w:rsidRPr="001667F0">
        <w:t xml:space="preserve"> </w:t>
      </w:r>
      <w:r w:rsidRPr="005348EC">
        <w:rPr>
          <w:i/>
          <w:iCs/>
        </w:rPr>
        <w:t>See</w:t>
      </w:r>
      <w:r w:rsidRPr="001667F0">
        <w:t xml:space="preserve"> </w:t>
      </w:r>
      <w:r>
        <w:t xml:space="preserve">Case No. 16-395-EL-SSO, </w:t>
      </w:r>
      <w:r w:rsidRPr="001667F0">
        <w:t>DP&amp;L</w:t>
      </w:r>
      <w:r>
        <w:t>’s</w:t>
      </w:r>
      <w:r w:rsidRPr="001667F0">
        <w:t xml:space="preserve"> Initial Post-Hearing Brief</w:t>
      </w:r>
      <w:r>
        <w:t>,</w:t>
      </w:r>
      <w:r w:rsidRPr="001667F0">
        <w:t xml:space="preserve"> Public Version (</w:t>
      </w:r>
      <w:r>
        <w:t>May 5, 2017</w:t>
      </w:r>
      <w:r w:rsidRPr="001667F0">
        <w:t>) at 44</w:t>
      </w:r>
      <w:r>
        <w:t xml:space="preserve">. </w:t>
      </w:r>
    </w:p>
  </w:footnote>
  <w:footnote w:id="39">
    <w:p w:rsidR="00111587">
      <w:pPr>
        <w:pStyle w:val="FootnoteText"/>
      </w:pPr>
      <w:r>
        <w:rPr>
          <w:rStyle w:val="FootnoteReference"/>
        </w:rPr>
        <w:footnoteRef/>
      </w:r>
      <w:r>
        <w:t xml:space="preserve"> </w:t>
      </w:r>
      <w:r>
        <w:rPr>
          <w:i/>
          <w:iCs/>
        </w:rPr>
        <w:t>See</w:t>
      </w:r>
      <w:r w:rsidRPr="001667F0">
        <w:t xml:space="preserve"> </w:t>
      </w:r>
      <w:r w:rsidRPr="001667F0">
        <w:rPr>
          <w:i/>
        </w:rPr>
        <w:t>In re Application of Columbus Southern Power Co.</w:t>
      </w:r>
      <w:r w:rsidRPr="001667F0">
        <w:t xml:space="preserve">, 147 Ohio St. 3d </w:t>
      </w:r>
      <w:r>
        <w:t>439,</w:t>
      </w:r>
      <w:r w:rsidRPr="001667F0">
        <w:t xml:space="preserve"> 444</w:t>
      </w:r>
      <w:r>
        <w:t xml:space="preserve">, 2016-OHIO-1608, ¶21; </w:t>
      </w:r>
      <w:r w:rsidRPr="001667F0">
        <w:rPr>
          <w:i/>
        </w:rPr>
        <w:t>In re Dayton Power &amp; Light Co.</w:t>
      </w:r>
      <w:r w:rsidRPr="001667F0">
        <w:t>, 147 Ohio St. 3d 166</w:t>
      </w:r>
      <w:r>
        <w:t xml:space="preserve">, </w:t>
      </w:r>
      <w:r w:rsidRPr="001667F0">
        <w:t>2016</w:t>
      </w:r>
      <w:r>
        <w:t>-OHIO-3490</w:t>
      </w:r>
      <w:r w:rsidRPr="001667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38688C"/>
    <w:multiLevelType w:val="hybridMultilevel"/>
    <w:tmpl w:val="3D4AA0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56181CE7"/>
    <w:multiLevelType w:val="hybridMultilevel"/>
    <w:tmpl w:val="412213EE"/>
    <w:lvl w:ilvl="0">
      <w:start w:val="1"/>
      <w:numFmt w:val="upperRoman"/>
      <w:pStyle w:val="Heading1"/>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95"/>
    <w:pPr>
      <w:spacing w:after="0" w:line="240" w:lineRule="auto"/>
    </w:pPr>
  </w:style>
  <w:style w:type="paragraph" w:styleId="Heading1">
    <w:name w:val="heading 1"/>
    <w:basedOn w:val="Normal"/>
    <w:next w:val="Normal"/>
    <w:link w:val="Heading1Char"/>
    <w:uiPriority w:val="9"/>
    <w:qFormat/>
    <w:rsid w:val="006518A3"/>
    <w:pPr>
      <w:keepNext/>
      <w:keepLines/>
      <w:numPr>
        <w:numId w:val="1"/>
      </w:numPr>
      <w:spacing w:after="240"/>
      <w:ind w:left="720" w:hanging="720"/>
      <w:contextualSpacing/>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 Char,Footnote Text Char Char4 Char Char Char,Footnote Text Char1 Char,Footnote Text Char2,Footnote Text Char4 Char,Footnote Text Char4 Char Char Char,Footnote Text Char4 Char1 Char Char Char Char,fn"/>
    <w:basedOn w:val="Normal"/>
    <w:link w:val="FootnoteTextChar"/>
    <w:uiPriority w:val="99"/>
    <w:qFormat/>
    <w:rsid w:val="00195AFE"/>
    <w:pPr>
      <w:spacing w:after="120"/>
    </w:pPr>
    <w:rPr>
      <w:sz w:val="20"/>
    </w:rPr>
  </w:style>
  <w:style w:type="character" w:customStyle="1" w:styleId="FootnoteTextChar">
    <w:name w:val="Footnote Text Char"/>
    <w:aliases w:val="Footnote Text Char Char Char Char1,Footnote Text Char Char4 Char Char Char Char1,Footnote Text Char1 Char Char1,Footnote Text Char2 Char,Footnote Text Char4 Char Char Char Char1,Footnote Text Char4 Char1 Char Char Char Char Char1"/>
    <w:link w:val="FootnoteText"/>
    <w:uiPriority w:val="99"/>
    <w:rsid w:val="00195AFE"/>
    <w:rPr>
      <w:sz w:val="20"/>
    </w:rPr>
  </w:style>
  <w:style w:type="paragraph" w:customStyle="1" w:styleId="FootnoteText1">
    <w:name w:val="Footnote Text1"/>
    <w:basedOn w:val="Normal"/>
    <w:qFormat/>
    <w:rsid w:val="00F67600"/>
    <w:pPr>
      <w:spacing w:after="120"/>
    </w:pPr>
    <w:rPr>
      <w:rFonts w:eastAsia="Calibri"/>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paragraph" w:styleId="BalloonText">
    <w:name w:val="Balloon Text"/>
    <w:basedOn w:val="Normal"/>
    <w:link w:val="BalloonTextChar"/>
    <w:uiPriority w:val="99"/>
    <w:semiHidden/>
    <w:unhideWhenUsed/>
    <w:rsid w:val="006C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6E"/>
    <w:rPr>
      <w:rFonts w:ascii="Segoe UI" w:hAnsi="Segoe UI" w:cs="Segoe UI"/>
      <w:sz w:val="18"/>
      <w:szCs w:val="18"/>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6518A3"/>
    <w:rPr>
      <w:vertAlign w:val="superscript"/>
    </w:rPr>
  </w:style>
  <w:style w:type="character" w:customStyle="1" w:styleId="Heading1Char">
    <w:name w:val="Heading 1 Char"/>
    <w:basedOn w:val="DefaultParagraphFont"/>
    <w:link w:val="Heading1"/>
    <w:uiPriority w:val="9"/>
    <w:rsid w:val="006518A3"/>
    <w:rPr>
      <w:rFonts w:eastAsiaTheme="majorEastAsia" w:cstheme="majorBidi"/>
      <w:b/>
      <w:caps/>
      <w:szCs w:val="32"/>
    </w:rPr>
  </w:style>
  <w:style w:type="paragraph" w:styleId="Footer">
    <w:name w:val="footer"/>
    <w:basedOn w:val="Normal"/>
    <w:link w:val="FooterChar"/>
    <w:uiPriority w:val="99"/>
    <w:unhideWhenUsed/>
    <w:rsid w:val="006518A3"/>
    <w:pPr>
      <w:tabs>
        <w:tab w:val="center" w:pos="4680"/>
        <w:tab w:val="right" w:pos="9360"/>
      </w:tabs>
      <w:ind w:firstLine="720"/>
      <w:contextualSpacing/>
    </w:pPr>
    <w:rPr>
      <w:rFonts w:cstheme="minorBidi"/>
      <w:szCs w:val="22"/>
    </w:rPr>
  </w:style>
  <w:style w:type="character" w:customStyle="1" w:styleId="FooterChar">
    <w:name w:val="Footer Char"/>
    <w:basedOn w:val="DefaultParagraphFont"/>
    <w:link w:val="Footer"/>
    <w:uiPriority w:val="99"/>
    <w:rsid w:val="006518A3"/>
    <w:rPr>
      <w:rFonts w:cstheme="minorBidi"/>
      <w:szCs w:val="22"/>
    </w:rPr>
  </w:style>
  <w:style w:type="paragraph" w:styleId="BodyTextIndent3">
    <w:name w:val="Body Text Indent 3"/>
    <w:basedOn w:val="Normal"/>
    <w:link w:val="BodyTextIndent3Char"/>
    <w:rsid w:val="006518A3"/>
    <w:pPr>
      <w:spacing w:line="480" w:lineRule="atLeast"/>
      <w:ind w:firstLine="720"/>
    </w:pPr>
    <w:rPr>
      <w:rFonts w:eastAsia="Times New Roman"/>
      <w:szCs w:val="20"/>
    </w:rPr>
  </w:style>
  <w:style w:type="character" w:customStyle="1" w:styleId="BodyTextIndent3Char">
    <w:name w:val="Body Text Indent 3 Char"/>
    <w:basedOn w:val="DefaultParagraphFont"/>
    <w:link w:val="BodyTextIndent3"/>
    <w:rsid w:val="006518A3"/>
    <w:rPr>
      <w:rFonts w:eastAsia="Times New Roman"/>
      <w:szCs w:val="20"/>
    </w:rPr>
  </w:style>
  <w:style w:type="paragraph" w:styleId="Header">
    <w:name w:val="header"/>
    <w:basedOn w:val="Normal"/>
    <w:link w:val="HeaderChar"/>
    <w:uiPriority w:val="99"/>
    <w:unhideWhenUsed/>
    <w:rsid w:val="00BA1289"/>
    <w:pPr>
      <w:tabs>
        <w:tab w:val="center" w:pos="4680"/>
        <w:tab w:val="right" w:pos="9360"/>
      </w:tabs>
    </w:pPr>
  </w:style>
  <w:style w:type="character" w:customStyle="1" w:styleId="HeaderChar">
    <w:name w:val="Header Char"/>
    <w:basedOn w:val="DefaultParagraphFont"/>
    <w:link w:val="Header"/>
    <w:uiPriority w:val="99"/>
    <w:rsid w:val="00BA1289"/>
  </w:style>
  <w:style w:type="character" w:styleId="CommentReference">
    <w:name w:val="annotation reference"/>
    <w:basedOn w:val="DefaultParagraphFont"/>
    <w:uiPriority w:val="99"/>
    <w:semiHidden/>
    <w:unhideWhenUsed/>
    <w:rsid w:val="00CC0A35"/>
    <w:rPr>
      <w:sz w:val="16"/>
      <w:szCs w:val="16"/>
    </w:rPr>
  </w:style>
  <w:style w:type="paragraph" w:styleId="CommentText">
    <w:name w:val="annotation text"/>
    <w:basedOn w:val="Normal"/>
    <w:link w:val="CommentTextChar"/>
    <w:unhideWhenUsed/>
    <w:rsid w:val="00CC0A35"/>
    <w:rPr>
      <w:sz w:val="20"/>
      <w:szCs w:val="20"/>
    </w:rPr>
  </w:style>
  <w:style w:type="character" w:customStyle="1" w:styleId="CommentTextChar">
    <w:name w:val="Comment Text Char"/>
    <w:basedOn w:val="DefaultParagraphFont"/>
    <w:link w:val="CommentText"/>
    <w:rsid w:val="00CC0A35"/>
    <w:rPr>
      <w:sz w:val="20"/>
      <w:szCs w:val="20"/>
    </w:rPr>
  </w:style>
  <w:style w:type="paragraph" w:styleId="CommentSubject">
    <w:name w:val="annotation subject"/>
    <w:basedOn w:val="CommentText"/>
    <w:next w:val="CommentText"/>
    <w:link w:val="CommentSubjectChar"/>
    <w:uiPriority w:val="99"/>
    <w:semiHidden/>
    <w:unhideWhenUsed/>
    <w:rsid w:val="00CC0A35"/>
    <w:rPr>
      <w:b/>
      <w:bCs/>
    </w:rPr>
  </w:style>
  <w:style w:type="character" w:customStyle="1" w:styleId="CommentSubjectChar">
    <w:name w:val="Comment Subject Char"/>
    <w:basedOn w:val="CommentTextChar"/>
    <w:link w:val="CommentSubject"/>
    <w:uiPriority w:val="99"/>
    <w:semiHidden/>
    <w:rsid w:val="00CC0A35"/>
    <w:rPr>
      <w:b/>
      <w:bCs/>
      <w:sz w:val="20"/>
      <w:szCs w:val="20"/>
    </w:rPr>
  </w:style>
  <w:style w:type="paragraph" w:styleId="ListParagraph">
    <w:name w:val="List Paragraph"/>
    <w:basedOn w:val="Normal"/>
    <w:uiPriority w:val="34"/>
    <w:qFormat/>
    <w:rsid w:val="00981129"/>
    <w:pPr>
      <w:ind w:left="720"/>
      <w:contextualSpacing/>
    </w:pPr>
  </w:style>
  <w:style w:type="character" w:styleId="Hyperlink">
    <w:name w:val="Hyperlink"/>
    <w:basedOn w:val="DefaultParagraphFont"/>
    <w:uiPriority w:val="99"/>
    <w:unhideWhenUsed/>
    <w:rsid w:val="00B33D31"/>
    <w:rPr>
      <w:color w:val="0000FF" w:themeColor="hyperlink"/>
      <w:u w:val="single"/>
    </w:rPr>
  </w:style>
  <w:style w:type="character" w:customStyle="1" w:styleId="UnresolvedMention">
    <w:name w:val="Unresolved Mention"/>
    <w:basedOn w:val="DefaultParagraphFont"/>
    <w:uiPriority w:val="99"/>
    <w:semiHidden/>
    <w:unhideWhenUsed/>
    <w:rsid w:val="00B33D31"/>
    <w:rPr>
      <w:color w:val="605E5C"/>
      <w:shd w:val="clear" w:color="auto" w:fill="E1DFDD"/>
    </w:rPr>
  </w:style>
  <w:style w:type="paragraph" w:styleId="BodyText">
    <w:name w:val="Body Text"/>
    <w:basedOn w:val="Normal"/>
    <w:link w:val="BodyTextChar"/>
    <w:uiPriority w:val="99"/>
    <w:semiHidden/>
    <w:unhideWhenUsed/>
    <w:rsid w:val="00AD3E0E"/>
    <w:pPr>
      <w:spacing w:after="120"/>
    </w:pPr>
  </w:style>
  <w:style w:type="character" w:customStyle="1" w:styleId="BodyTextChar">
    <w:name w:val="Body Text Char"/>
    <w:basedOn w:val="DefaultParagraphFont"/>
    <w:link w:val="BodyText"/>
    <w:uiPriority w:val="99"/>
    <w:semiHidden/>
    <w:rsid w:val="00AD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Reply to DPL's MC ELPC's motion to dismiss (18-1875).docx</vt:lpstr>
    </vt:vector>
  </TitlesOfParts>
  <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2019-10-15T21:11:07Z</dcterms:created>
  <dcterms:modified xsi:type="dcterms:W3CDTF">2019-10-15T21:11:07Z</dcterms:modified>
</cp:coreProperties>
</file>