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F" w:rsidRDefault="0067056F" w:rsidP="0067056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7056F" w:rsidRDefault="0067056F" w:rsidP="0067056F">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4567A4" w:rsidRDefault="004567A4" w:rsidP="0067056F">
      <w:pPr>
        <w:pStyle w:val="HTMLPreformatted"/>
        <w:jc w:val="center"/>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567A4" w:rsidTr="004567A4">
        <w:trPr>
          <w:trHeight w:val="807"/>
        </w:trPr>
        <w:tc>
          <w:tcPr>
            <w:tcW w:w="4332" w:type="dxa"/>
            <w:shd w:val="clear" w:color="auto" w:fill="auto"/>
          </w:tcPr>
          <w:p w:rsidR="004567A4" w:rsidRDefault="004567A4" w:rsidP="00FF0E01">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Commission’s </w:t>
            </w:r>
          </w:p>
          <w:p w:rsidR="004567A4" w:rsidRPr="004567A4" w:rsidRDefault="004567A4" w:rsidP="00FF0E01">
            <w:pPr>
              <w:pStyle w:val="HTMLPreformatted"/>
              <w:rPr>
                <w:rFonts w:ascii="Times New Roman" w:hAnsi="Times New Roman" w:cs="Times New Roman"/>
                <w:sz w:val="24"/>
                <w:szCs w:val="24"/>
              </w:rPr>
            </w:pPr>
            <w:r>
              <w:rPr>
                <w:rFonts w:ascii="Times New Roman" w:hAnsi="Times New Roman" w:cs="Times New Roman"/>
                <w:sz w:val="24"/>
                <w:szCs w:val="24"/>
              </w:rPr>
              <w:t xml:space="preserve">Investigation of Ohio’s Retail Electric Service Market. </w:t>
            </w:r>
          </w:p>
        </w:tc>
        <w:tc>
          <w:tcPr>
            <w:tcW w:w="360" w:type="dxa"/>
            <w:shd w:val="clear" w:color="auto" w:fill="auto"/>
          </w:tcPr>
          <w:p w:rsidR="004567A4" w:rsidRDefault="004567A4" w:rsidP="00FF0E01">
            <w:pPr>
              <w:pStyle w:val="HTMLPreformatted"/>
              <w:rPr>
                <w:rFonts w:ascii="Times New Roman" w:hAnsi="Times New Roman"/>
                <w:sz w:val="24"/>
              </w:rPr>
            </w:pPr>
            <w:r>
              <w:rPr>
                <w:rFonts w:ascii="Times New Roman" w:hAnsi="Times New Roman"/>
                <w:sz w:val="24"/>
              </w:rPr>
              <w:t>)</w:t>
            </w:r>
          </w:p>
          <w:p w:rsidR="004567A4" w:rsidRDefault="004567A4" w:rsidP="00FF0E01">
            <w:pPr>
              <w:pStyle w:val="HTMLPreformatted"/>
              <w:rPr>
                <w:rFonts w:ascii="Times New Roman" w:hAnsi="Times New Roman"/>
                <w:sz w:val="24"/>
              </w:rPr>
            </w:pPr>
            <w:r>
              <w:rPr>
                <w:rFonts w:ascii="Times New Roman" w:hAnsi="Times New Roman"/>
                <w:sz w:val="24"/>
              </w:rPr>
              <w:t>)</w:t>
            </w:r>
          </w:p>
          <w:p w:rsidR="004567A4" w:rsidRDefault="004567A4" w:rsidP="00FF0E01">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4567A4" w:rsidRDefault="004567A4" w:rsidP="00FF0E01">
            <w:pPr>
              <w:pStyle w:val="HTMLPreformatted"/>
              <w:rPr>
                <w:rFonts w:ascii="Times New Roman" w:hAnsi="Times New Roman"/>
                <w:sz w:val="24"/>
              </w:rPr>
            </w:pPr>
          </w:p>
          <w:p w:rsidR="004567A4" w:rsidRDefault="004567A4" w:rsidP="00FF0E01">
            <w:pPr>
              <w:pStyle w:val="HTMLPreformatted"/>
              <w:rPr>
                <w:rFonts w:ascii="Times New Roman" w:hAnsi="Times New Roman"/>
                <w:sz w:val="24"/>
              </w:rPr>
            </w:pPr>
            <w:r>
              <w:rPr>
                <w:rFonts w:ascii="Times New Roman" w:hAnsi="Times New Roman"/>
                <w:sz w:val="24"/>
              </w:rPr>
              <w:t>Case No. 12-3151-EL-COI</w:t>
            </w:r>
          </w:p>
          <w:p w:rsidR="004567A4" w:rsidRDefault="004567A4" w:rsidP="00FF0E01">
            <w:pPr>
              <w:pStyle w:val="HTMLPreformatted"/>
              <w:rPr>
                <w:rFonts w:ascii="Times New Roman" w:hAnsi="Times New Roman"/>
                <w:sz w:val="24"/>
              </w:rPr>
            </w:pPr>
          </w:p>
        </w:tc>
      </w:tr>
      <w:tr w:rsidR="0067056F" w:rsidTr="004567A4">
        <w:trPr>
          <w:trHeight w:val="1224"/>
        </w:trPr>
        <w:tc>
          <w:tcPr>
            <w:tcW w:w="4332" w:type="dxa"/>
            <w:shd w:val="clear" w:color="auto" w:fill="auto"/>
          </w:tcPr>
          <w:p w:rsidR="004567A4" w:rsidRDefault="004567A4" w:rsidP="00FF0E01">
            <w:pPr>
              <w:pStyle w:val="HTMLPreformatted"/>
              <w:rPr>
                <w:rFonts w:ascii="Times New Roman" w:hAnsi="Times New Roman" w:cs="Times New Roman"/>
                <w:sz w:val="24"/>
                <w:szCs w:val="24"/>
              </w:rPr>
            </w:pPr>
          </w:p>
          <w:p w:rsidR="004567A4" w:rsidRDefault="004567A4" w:rsidP="004567A4">
            <w:pPr>
              <w:pStyle w:val="HTMLPreformatted"/>
              <w:rPr>
                <w:rFonts w:ascii="Times New Roman" w:hAnsi="Times New Roman" w:cs="Times New Roman"/>
                <w:sz w:val="24"/>
                <w:szCs w:val="24"/>
              </w:rPr>
            </w:pPr>
          </w:p>
          <w:p w:rsidR="0067056F" w:rsidRPr="005C1DD6" w:rsidRDefault="0067056F" w:rsidP="004567A4">
            <w:pPr>
              <w:pStyle w:val="HTMLPreformatted"/>
              <w:rPr>
                <w:rFonts w:ascii="Times New Roman" w:hAnsi="Times New Roman"/>
                <w:sz w:val="24"/>
                <w:szCs w:val="24"/>
              </w:rPr>
            </w:pPr>
            <w:r w:rsidRPr="005C1DD6">
              <w:rPr>
                <w:rFonts w:ascii="Times New Roman" w:hAnsi="Times New Roman" w:cs="Times New Roman"/>
                <w:sz w:val="24"/>
                <w:szCs w:val="24"/>
              </w:rPr>
              <w:t xml:space="preserve">In the Matter of the </w:t>
            </w:r>
            <w:r w:rsidR="004567A4" w:rsidRPr="005C1DD6">
              <w:rPr>
                <w:rFonts w:ascii="Times New Roman" w:hAnsi="Times New Roman" w:cs="Times New Roman"/>
                <w:sz w:val="24"/>
                <w:szCs w:val="24"/>
              </w:rPr>
              <w:t>Market Development Working Group</w:t>
            </w:r>
            <w:r w:rsidRPr="005C1DD6">
              <w:rPr>
                <w:rFonts w:ascii="Times New Roman" w:hAnsi="Times New Roman" w:cs="Times New Roman"/>
                <w:sz w:val="24"/>
                <w:szCs w:val="24"/>
              </w:rPr>
              <w:t xml:space="preserve">. </w:t>
            </w:r>
          </w:p>
        </w:tc>
        <w:tc>
          <w:tcPr>
            <w:tcW w:w="360" w:type="dxa"/>
            <w:shd w:val="clear" w:color="auto" w:fill="auto"/>
          </w:tcPr>
          <w:p w:rsidR="0067056F" w:rsidRDefault="0067056F" w:rsidP="00FF0E01">
            <w:pPr>
              <w:pStyle w:val="HTMLPreformatted"/>
              <w:rPr>
                <w:rFonts w:ascii="Times New Roman" w:hAnsi="Times New Roman"/>
                <w:sz w:val="24"/>
              </w:rPr>
            </w:pPr>
          </w:p>
          <w:p w:rsidR="004567A4" w:rsidRDefault="004567A4" w:rsidP="00FF0E01">
            <w:pPr>
              <w:pStyle w:val="HTMLPreformatted"/>
              <w:rPr>
                <w:rFonts w:ascii="Times New Roman" w:hAnsi="Times New Roman"/>
                <w:sz w:val="24"/>
              </w:rPr>
            </w:pPr>
          </w:p>
          <w:p w:rsidR="0067056F" w:rsidRDefault="0067056F" w:rsidP="00FF0E01">
            <w:pPr>
              <w:pStyle w:val="HTMLPreformatted"/>
              <w:rPr>
                <w:rFonts w:ascii="Times New Roman" w:hAnsi="Times New Roman"/>
                <w:sz w:val="24"/>
              </w:rPr>
            </w:pPr>
            <w:r>
              <w:rPr>
                <w:rFonts w:ascii="Times New Roman" w:hAnsi="Times New Roman"/>
                <w:sz w:val="24"/>
              </w:rPr>
              <w:t>)</w:t>
            </w:r>
          </w:p>
          <w:p w:rsidR="0067056F" w:rsidRDefault="0067056F" w:rsidP="00FF0E01">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67056F" w:rsidRDefault="0067056F" w:rsidP="00FF0E01">
            <w:pPr>
              <w:pStyle w:val="HTMLPreformatted"/>
              <w:rPr>
                <w:rFonts w:ascii="Times New Roman" w:hAnsi="Times New Roman"/>
                <w:sz w:val="24"/>
              </w:rPr>
            </w:pPr>
          </w:p>
          <w:p w:rsidR="004567A4" w:rsidRDefault="004567A4" w:rsidP="00FF0E01">
            <w:pPr>
              <w:pStyle w:val="HTMLPreformatted"/>
              <w:rPr>
                <w:rFonts w:ascii="Times New Roman" w:hAnsi="Times New Roman"/>
                <w:sz w:val="24"/>
              </w:rPr>
            </w:pPr>
          </w:p>
          <w:p w:rsidR="004567A4" w:rsidRDefault="0067056F" w:rsidP="00FF0E01">
            <w:pPr>
              <w:pStyle w:val="HTMLPreformatted"/>
              <w:rPr>
                <w:rFonts w:ascii="Times New Roman" w:hAnsi="Times New Roman"/>
                <w:sz w:val="24"/>
              </w:rPr>
            </w:pPr>
            <w:r>
              <w:rPr>
                <w:rFonts w:ascii="Times New Roman" w:hAnsi="Times New Roman"/>
                <w:sz w:val="24"/>
              </w:rPr>
              <w:t>Case No. 1</w:t>
            </w:r>
            <w:r w:rsidR="004567A4">
              <w:rPr>
                <w:rFonts w:ascii="Times New Roman" w:hAnsi="Times New Roman"/>
                <w:sz w:val="24"/>
              </w:rPr>
              <w:t>4</w:t>
            </w:r>
            <w:r>
              <w:rPr>
                <w:rFonts w:ascii="Times New Roman" w:hAnsi="Times New Roman"/>
                <w:sz w:val="24"/>
              </w:rPr>
              <w:t>-</w:t>
            </w:r>
            <w:r w:rsidR="004567A4">
              <w:rPr>
                <w:rFonts w:ascii="Times New Roman" w:hAnsi="Times New Roman"/>
                <w:sz w:val="24"/>
              </w:rPr>
              <w:t>2074</w:t>
            </w:r>
            <w:r>
              <w:rPr>
                <w:rFonts w:ascii="Times New Roman" w:hAnsi="Times New Roman"/>
                <w:sz w:val="24"/>
              </w:rPr>
              <w:t>-EL-</w:t>
            </w:r>
            <w:r w:rsidR="004567A4">
              <w:rPr>
                <w:rFonts w:ascii="Times New Roman" w:hAnsi="Times New Roman"/>
                <w:sz w:val="24"/>
              </w:rPr>
              <w:t>EDI</w:t>
            </w:r>
          </w:p>
          <w:p w:rsidR="0067056F" w:rsidRDefault="0067056F" w:rsidP="00FF0E01">
            <w:pPr>
              <w:pStyle w:val="HTMLPreformatted"/>
              <w:rPr>
                <w:rFonts w:ascii="Times New Roman" w:hAnsi="Times New Roman"/>
                <w:sz w:val="24"/>
              </w:rPr>
            </w:pPr>
          </w:p>
        </w:tc>
      </w:tr>
    </w:tbl>
    <w:p w:rsidR="0067056F" w:rsidRDefault="0067056F" w:rsidP="0067056F">
      <w:pPr>
        <w:pStyle w:val="HTMLPreformatted"/>
        <w:rPr>
          <w:rFonts w:ascii="Times New Roman" w:hAnsi="Times New Roman"/>
          <w:sz w:val="24"/>
        </w:rPr>
      </w:pPr>
    </w:p>
    <w:p w:rsidR="0067056F" w:rsidRDefault="0067056F" w:rsidP="0067056F">
      <w:pPr>
        <w:pStyle w:val="HTMLPreformatted"/>
        <w:pBdr>
          <w:top w:val="single" w:sz="12" w:space="0" w:color="auto"/>
        </w:pBdr>
        <w:jc w:val="center"/>
        <w:rPr>
          <w:rFonts w:ascii="Times New Roman" w:hAnsi="Times New Roman"/>
          <w:b/>
          <w:sz w:val="24"/>
        </w:rPr>
      </w:pPr>
    </w:p>
    <w:p w:rsidR="0067056F" w:rsidRPr="00F425FD" w:rsidRDefault="000646CF" w:rsidP="002F0200">
      <w:pPr>
        <w:pStyle w:val="HTMLPreformatted"/>
        <w:pBdr>
          <w:top w:val="single" w:sz="12" w:space="0" w:color="auto"/>
        </w:pBdr>
        <w:jc w:val="center"/>
        <w:rPr>
          <w:rFonts w:ascii="Times New Roman" w:hAnsi="Times New Roman"/>
          <w:b/>
          <w:sz w:val="24"/>
        </w:rPr>
      </w:pPr>
      <w:r>
        <w:rPr>
          <w:rFonts w:ascii="Times New Roman" w:hAnsi="Times New Roman"/>
          <w:b/>
          <w:sz w:val="24"/>
        </w:rPr>
        <w:t xml:space="preserve">REPLY </w:t>
      </w:r>
      <w:r w:rsidR="000756EA">
        <w:rPr>
          <w:rFonts w:ascii="Times New Roman" w:hAnsi="Times New Roman"/>
          <w:b/>
          <w:sz w:val="24"/>
        </w:rPr>
        <w:t>COMMENTS</w:t>
      </w:r>
      <w:r w:rsidR="0067056F">
        <w:rPr>
          <w:rFonts w:ascii="Times New Roman" w:hAnsi="Times New Roman"/>
          <w:b/>
          <w:sz w:val="24"/>
        </w:rPr>
        <w:t xml:space="preserve"> </w:t>
      </w:r>
    </w:p>
    <w:p w:rsidR="0067056F" w:rsidRDefault="0067056F" w:rsidP="0067056F">
      <w:pPr>
        <w:jc w:val="center"/>
        <w:rPr>
          <w:b/>
          <w:bCs/>
        </w:rPr>
      </w:pPr>
      <w:r>
        <w:rPr>
          <w:b/>
          <w:bCs/>
        </w:rPr>
        <w:t>BY</w:t>
      </w:r>
    </w:p>
    <w:p w:rsidR="0067056F" w:rsidRDefault="0067056F" w:rsidP="0067056F">
      <w:pPr>
        <w:jc w:val="center"/>
        <w:rPr>
          <w:b/>
          <w:bCs/>
        </w:rPr>
      </w:pPr>
      <w:r>
        <w:rPr>
          <w:b/>
          <w:bCs/>
        </w:rPr>
        <w:t>THE OFFICE OF THE OHIO CONSUMERS’ COUNSEL</w:t>
      </w:r>
    </w:p>
    <w:p w:rsidR="0067056F" w:rsidRDefault="0067056F" w:rsidP="0067056F">
      <w:pPr>
        <w:pBdr>
          <w:bottom w:val="single" w:sz="12" w:space="1" w:color="auto"/>
        </w:pBdr>
        <w:tabs>
          <w:tab w:val="left" w:pos="4320"/>
        </w:tabs>
      </w:pPr>
    </w:p>
    <w:p w:rsidR="0067056F" w:rsidRDefault="0067056F" w:rsidP="0067056F">
      <w:pPr>
        <w:tabs>
          <w:tab w:val="left" w:pos="4320"/>
        </w:tabs>
      </w:pPr>
    </w:p>
    <w:p w:rsidR="000756EA" w:rsidRPr="00FB7501" w:rsidRDefault="000756EA" w:rsidP="00FB7501">
      <w:pPr>
        <w:pStyle w:val="Heading1"/>
      </w:pPr>
      <w:r w:rsidRPr="00FB7501">
        <w:t>INTRODUCTION</w:t>
      </w:r>
    </w:p>
    <w:p w:rsidR="004D6A9C" w:rsidRDefault="000756EA" w:rsidP="004D6A9C">
      <w:pPr>
        <w:spacing w:line="480" w:lineRule="auto"/>
        <w:ind w:firstLine="720"/>
        <w:rPr>
          <w:szCs w:val="24"/>
        </w:rPr>
      </w:pPr>
      <w:r>
        <w:rPr>
          <w:szCs w:val="24"/>
        </w:rPr>
        <w:t>Th</w:t>
      </w:r>
      <w:r w:rsidR="00A275F2">
        <w:rPr>
          <w:szCs w:val="24"/>
        </w:rPr>
        <w:t xml:space="preserve">is is a case about assuring that Ohioans receive the benefits of retail </w:t>
      </w:r>
      <w:r w:rsidR="00851BA7">
        <w:rPr>
          <w:szCs w:val="24"/>
        </w:rPr>
        <w:t xml:space="preserve">electric </w:t>
      </w:r>
      <w:r w:rsidR="00A275F2">
        <w:rPr>
          <w:szCs w:val="24"/>
        </w:rPr>
        <w:t xml:space="preserve">competition as intended by the Ohio General Assembly. The </w:t>
      </w:r>
      <w:r>
        <w:rPr>
          <w:szCs w:val="24"/>
        </w:rPr>
        <w:t>Office of the Ohio Consumer’s Counsel</w:t>
      </w:r>
      <w:r w:rsidR="00A275F2">
        <w:rPr>
          <w:szCs w:val="24"/>
        </w:rPr>
        <w:t xml:space="preserve"> ("OCC") </w:t>
      </w:r>
      <w:r>
        <w:rPr>
          <w:szCs w:val="24"/>
        </w:rPr>
        <w:t xml:space="preserve">respectfully submits these </w:t>
      </w:r>
      <w:r w:rsidR="000646CF">
        <w:rPr>
          <w:szCs w:val="24"/>
        </w:rPr>
        <w:t>reply co</w:t>
      </w:r>
      <w:r>
        <w:rPr>
          <w:szCs w:val="24"/>
        </w:rPr>
        <w:t>mments</w:t>
      </w:r>
      <w:r w:rsidR="00A275F2">
        <w:rPr>
          <w:szCs w:val="24"/>
        </w:rPr>
        <w:t xml:space="preserve"> </w:t>
      </w:r>
      <w:r>
        <w:rPr>
          <w:szCs w:val="24"/>
        </w:rPr>
        <w:t>on behalf of 4.6 million residential electric customers in Ohio</w:t>
      </w:r>
      <w:r w:rsidR="00623BCA">
        <w:rPr>
          <w:szCs w:val="24"/>
        </w:rPr>
        <w:t xml:space="preserve">.  </w:t>
      </w:r>
    </w:p>
    <w:p w:rsidR="000756EA" w:rsidRDefault="000756EA" w:rsidP="00FB7501">
      <w:pPr>
        <w:rPr>
          <w:szCs w:val="24"/>
        </w:rPr>
      </w:pPr>
    </w:p>
    <w:p w:rsidR="000756EA" w:rsidRDefault="000756EA" w:rsidP="00FB7501">
      <w:pPr>
        <w:pStyle w:val="Heading1"/>
      </w:pPr>
      <w:r w:rsidRPr="005C1DD6">
        <w:t>BACKGROUND</w:t>
      </w:r>
    </w:p>
    <w:p w:rsidR="001E3B56" w:rsidRDefault="00851BA7" w:rsidP="004567A4">
      <w:pPr>
        <w:spacing w:line="480" w:lineRule="auto"/>
        <w:ind w:firstLine="720"/>
        <w:rPr>
          <w:szCs w:val="24"/>
        </w:rPr>
        <w:sectPr w:rsidR="001E3B56" w:rsidSect="007A382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docGrid w:linePitch="360"/>
        </w:sectPr>
      </w:pPr>
      <w:r>
        <w:rPr>
          <w:szCs w:val="24"/>
        </w:rPr>
        <w:t xml:space="preserve">The </w:t>
      </w:r>
      <w:r w:rsidR="000756EA" w:rsidRPr="00BB02F4">
        <w:rPr>
          <w:szCs w:val="24"/>
        </w:rPr>
        <w:t>Market Development Working Group (“MDWG”</w:t>
      </w:r>
      <w:r w:rsidR="004D6A9C">
        <w:rPr>
          <w:szCs w:val="24"/>
        </w:rPr>
        <w:t xml:space="preserve"> or "</w:t>
      </w:r>
      <w:r w:rsidR="00B156AA">
        <w:rPr>
          <w:szCs w:val="24"/>
        </w:rPr>
        <w:t>W</w:t>
      </w:r>
      <w:r w:rsidR="004D6A9C">
        <w:rPr>
          <w:szCs w:val="24"/>
        </w:rPr>
        <w:t xml:space="preserve">orking </w:t>
      </w:r>
      <w:r w:rsidR="00B156AA">
        <w:rPr>
          <w:szCs w:val="24"/>
        </w:rPr>
        <w:t>G</w:t>
      </w:r>
      <w:r w:rsidR="004D6A9C">
        <w:rPr>
          <w:szCs w:val="24"/>
        </w:rPr>
        <w:t>roup"</w:t>
      </w:r>
      <w:r w:rsidR="000756EA" w:rsidRPr="00BB02F4">
        <w:rPr>
          <w:szCs w:val="24"/>
        </w:rPr>
        <w:t>)</w:t>
      </w:r>
      <w:r w:rsidR="00B156AA">
        <w:rPr>
          <w:szCs w:val="24"/>
        </w:rPr>
        <w:t xml:space="preserve"> created by the Public Utilities Commission of Ohio (“PUCO”) is</w:t>
      </w:r>
      <w:r w:rsidR="00A275F2">
        <w:rPr>
          <w:szCs w:val="24"/>
        </w:rPr>
        <w:t xml:space="preserve"> composed of st</w:t>
      </w:r>
      <w:r w:rsidR="000756EA" w:rsidRPr="00BB02F4">
        <w:rPr>
          <w:szCs w:val="24"/>
        </w:rPr>
        <w:t>akeholders with diverse interests</w:t>
      </w:r>
      <w:r w:rsidR="00B156AA">
        <w:rPr>
          <w:szCs w:val="24"/>
        </w:rPr>
        <w:t xml:space="preserve">.  It </w:t>
      </w:r>
      <w:r w:rsidR="00A275F2">
        <w:rPr>
          <w:szCs w:val="24"/>
        </w:rPr>
        <w:t xml:space="preserve">was tasked with </w:t>
      </w:r>
      <w:r w:rsidR="000756EA" w:rsidRPr="00BB02F4">
        <w:rPr>
          <w:szCs w:val="24"/>
        </w:rPr>
        <w:t>develop</w:t>
      </w:r>
      <w:r w:rsidR="00A275F2">
        <w:rPr>
          <w:szCs w:val="24"/>
        </w:rPr>
        <w:t>ing</w:t>
      </w:r>
      <w:r w:rsidR="009B72CE">
        <w:rPr>
          <w:szCs w:val="24"/>
        </w:rPr>
        <w:t xml:space="preserve"> </w:t>
      </w:r>
      <w:r w:rsidR="000756EA" w:rsidRPr="00BB02F4">
        <w:rPr>
          <w:szCs w:val="24"/>
        </w:rPr>
        <w:t xml:space="preserve">an operational plan </w:t>
      </w:r>
      <w:r w:rsidR="00292741">
        <w:rPr>
          <w:szCs w:val="24"/>
        </w:rPr>
        <w:t>t</w:t>
      </w:r>
      <w:r w:rsidR="00A275F2">
        <w:rPr>
          <w:szCs w:val="24"/>
        </w:rPr>
        <w:t xml:space="preserve">hat would permit customers to </w:t>
      </w:r>
      <w:r w:rsidR="009B72CE">
        <w:rPr>
          <w:szCs w:val="24"/>
        </w:rPr>
        <w:t xml:space="preserve">maintain their status as shopping customers </w:t>
      </w:r>
      <w:r w:rsidR="00007C7C">
        <w:rPr>
          <w:szCs w:val="24"/>
        </w:rPr>
        <w:t>if they relocate from one address to another.</w:t>
      </w:r>
    </w:p>
    <w:p w:rsidR="004152C8" w:rsidRDefault="004152C8" w:rsidP="00C8572B">
      <w:pPr>
        <w:spacing w:line="480" w:lineRule="auto"/>
        <w:ind w:firstLine="720"/>
        <w:rPr>
          <w:szCs w:val="24"/>
        </w:rPr>
      </w:pPr>
      <w:r>
        <w:rPr>
          <w:szCs w:val="24"/>
        </w:rPr>
        <w:lastRenderedPageBreak/>
        <w:t xml:space="preserve">The Working Group considered a number of options including </w:t>
      </w:r>
      <w:r w:rsidRPr="00BB02F4">
        <w:rPr>
          <w:szCs w:val="24"/>
        </w:rPr>
        <w:t>a statewide seamless move,</w:t>
      </w:r>
      <w:r w:rsidR="00B156AA">
        <w:rPr>
          <w:rStyle w:val="FootnoteReference"/>
          <w:szCs w:val="24"/>
        </w:rPr>
        <w:footnoteReference w:id="1"/>
      </w:r>
      <w:r w:rsidRPr="00BB02F4">
        <w:rPr>
          <w:szCs w:val="24"/>
        </w:rPr>
        <w:t xml:space="preserve"> contract portability,</w:t>
      </w:r>
      <w:r w:rsidR="00B156AA">
        <w:rPr>
          <w:rStyle w:val="FootnoteReference"/>
          <w:szCs w:val="24"/>
        </w:rPr>
        <w:footnoteReference w:id="2"/>
      </w:r>
      <w:r w:rsidRPr="00BB02F4">
        <w:rPr>
          <w:szCs w:val="24"/>
        </w:rPr>
        <w:t xml:space="preserve"> instant connect,</w:t>
      </w:r>
      <w:r w:rsidR="00B156AA">
        <w:rPr>
          <w:rStyle w:val="FootnoteReference"/>
          <w:szCs w:val="24"/>
        </w:rPr>
        <w:footnoteReference w:id="3"/>
      </w:r>
      <w:r w:rsidRPr="00BB02F4">
        <w:rPr>
          <w:szCs w:val="24"/>
        </w:rPr>
        <w:t xml:space="preserve"> </w:t>
      </w:r>
      <w:r w:rsidR="00B156AA">
        <w:rPr>
          <w:szCs w:val="24"/>
        </w:rPr>
        <w:t>and</w:t>
      </w:r>
      <w:r w:rsidRPr="00BB02F4">
        <w:rPr>
          <w:szCs w:val="24"/>
        </w:rPr>
        <w:t xml:space="preserve"> </w:t>
      </w:r>
      <w:r>
        <w:rPr>
          <w:szCs w:val="24"/>
        </w:rPr>
        <w:t>“Warm T</w:t>
      </w:r>
      <w:r w:rsidRPr="00BB02F4">
        <w:rPr>
          <w:szCs w:val="24"/>
        </w:rPr>
        <w:t>ransfer</w:t>
      </w:r>
      <w:r>
        <w:rPr>
          <w:szCs w:val="24"/>
        </w:rPr>
        <w:t>”</w:t>
      </w:r>
      <w:r w:rsidRPr="00BB02F4">
        <w:rPr>
          <w:szCs w:val="24"/>
        </w:rPr>
        <w:t xml:space="preserve"> process.</w:t>
      </w:r>
      <w:r w:rsidRPr="00BB02F4">
        <w:rPr>
          <w:rStyle w:val="FootnoteReference"/>
          <w:szCs w:val="24"/>
        </w:rPr>
        <w:footnoteReference w:id="4"/>
      </w:r>
      <w:r w:rsidRPr="00BB02F4">
        <w:rPr>
          <w:szCs w:val="24"/>
        </w:rPr>
        <w:t xml:space="preserve">  Each </w:t>
      </w:r>
      <w:r w:rsidR="00B156AA">
        <w:rPr>
          <w:szCs w:val="24"/>
        </w:rPr>
        <w:t>process</w:t>
      </w:r>
      <w:r w:rsidRPr="00BB02F4">
        <w:rPr>
          <w:szCs w:val="24"/>
        </w:rPr>
        <w:t xml:space="preserve"> involve</w:t>
      </w:r>
      <w:r w:rsidR="00B156AA">
        <w:rPr>
          <w:szCs w:val="24"/>
        </w:rPr>
        <w:t>s</w:t>
      </w:r>
      <w:r w:rsidRPr="00BB02F4">
        <w:rPr>
          <w:szCs w:val="24"/>
        </w:rPr>
        <w:t xml:space="preserve"> different methods in which customers can </w:t>
      </w:r>
      <w:r>
        <w:rPr>
          <w:szCs w:val="24"/>
        </w:rPr>
        <w:t xml:space="preserve">control/ </w:t>
      </w:r>
      <w:r w:rsidRPr="00BB02F4">
        <w:rPr>
          <w:szCs w:val="24"/>
        </w:rPr>
        <w:t xml:space="preserve">maintain their relationship with a </w:t>
      </w:r>
      <w:r>
        <w:rPr>
          <w:szCs w:val="24"/>
        </w:rPr>
        <w:t>Competitive Retail Electric Service (“</w:t>
      </w:r>
      <w:r w:rsidRPr="00BB02F4">
        <w:rPr>
          <w:szCs w:val="24"/>
        </w:rPr>
        <w:t>CRES</w:t>
      </w:r>
      <w:r>
        <w:rPr>
          <w:szCs w:val="24"/>
        </w:rPr>
        <w:t>”)</w:t>
      </w:r>
      <w:r w:rsidRPr="00BB02F4">
        <w:rPr>
          <w:szCs w:val="24"/>
        </w:rPr>
        <w:t xml:space="preserve"> provider while initiating service or having electric service transferred from one address to another.  </w:t>
      </w:r>
      <w:r w:rsidR="000646CF">
        <w:rPr>
          <w:szCs w:val="24"/>
        </w:rPr>
        <w:t xml:space="preserve">The PUCO Staff </w:t>
      </w:r>
      <w:r>
        <w:rPr>
          <w:szCs w:val="24"/>
        </w:rPr>
        <w:t xml:space="preserve">provided invaluable assistance in </w:t>
      </w:r>
      <w:r w:rsidR="000646CF">
        <w:rPr>
          <w:szCs w:val="24"/>
        </w:rPr>
        <w:t>facilitat</w:t>
      </w:r>
      <w:r>
        <w:rPr>
          <w:szCs w:val="24"/>
        </w:rPr>
        <w:t xml:space="preserve">ing </w:t>
      </w:r>
      <w:r w:rsidR="000646CF">
        <w:rPr>
          <w:szCs w:val="24"/>
        </w:rPr>
        <w:t xml:space="preserve">discussions and </w:t>
      </w:r>
      <w:r>
        <w:rPr>
          <w:szCs w:val="24"/>
        </w:rPr>
        <w:t xml:space="preserve">in </w:t>
      </w:r>
      <w:r w:rsidR="000646CF">
        <w:rPr>
          <w:szCs w:val="24"/>
        </w:rPr>
        <w:t>memorializ</w:t>
      </w:r>
      <w:r>
        <w:rPr>
          <w:szCs w:val="24"/>
        </w:rPr>
        <w:t xml:space="preserve">ing </w:t>
      </w:r>
      <w:r w:rsidR="000646CF">
        <w:rPr>
          <w:szCs w:val="24"/>
        </w:rPr>
        <w:t xml:space="preserve">the diverse positions of parties within a Staff Report.  </w:t>
      </w:r>
      <w:r>
        <w:rPr>
          <w:szCs w:val="24"/>
        </w:rPr>
        <w:t>Ultimately</w:t>
      </w:r>
      <w:r w:rsidR="00B156AA">
        <w:rPr>
          <w:szCs w:val="24"/>
        </w:rPr>
        <w:t>,</w:t>
      </w:r>
      <w:r>
        <w:rPr>
          <w:szCs w:val="24"/>
        </w:rPr>
        <w:t xml:space="preserve"> the </w:t>
      </w:r>
      <w:r w:rsidR="000646CF">
        <w:rPr>
          <w:szCs w:val="24"/>
        </w:rPr>
        <w:t xml:space="preserve">Staff recommended that the </w:t>
      </w:r>
      <w:r w:rsidR="00292741">
        <w:rPr>
          <w:szCs w:val="24"/>
        </w:rPr>
        <w:t xml:space="preserve">PUCO </w:t>
      </w:r>
      <w:r w:rsidR="000646CF">
        <w:rPr>
          <w:szCs w:val="24"/>
        </w:rPr>
        <w:t>mandate a statewide warm transfer capability</w:t>
      </w:r>
      <w:r w:rsidR="0077207B">
        <w:rPr>
          <w:szCs w:val="24"/>
        </w:rPr>
        <w:t xml:space="preserve">.  </w:t>
      </w:r>
    </w:p>
    <w:p w:rsidR="006E2753" w:rsidRDefault="00A83FAA" w:rsidP="00360D9B">
      <w:pPr>
        <w:spacing w:line="480" w:lineRule="auto"/>
        <w:ind w:firstLine="720"/>
        <w:rPr>
          <w:szCs w:val="24"/>
        </w:rPr>
      </w:pPr>
      <w:r>
        <w:rPr>
          <w:szCs w:val="24"/>
        </w:rPr>
        <w:t>The PUCO provided parties the opportunity to file initial comments on the Staff Report by January 6, 2016</w:t>
      </w:r>
      <w:r w:rsidR="004152C8">
        <w:rPr>
          <w:szCs w:val="24"/>
        </w:rPr>
        <w:t xml:space="preserve"> and reply comments by January 20, 2016</w:t>
      </w:r>
      <w:r>
        <w:rPr>
          <w:szCs w:val="24"/>
        </w:rPr>
        <w:t>.</w:t>
      </w:r>
      <w:r w:rsidR="004152C8">
        <w:rPr>
          <w:szCs w:val="24"/>
        </w:rPr>
        <w:t xml:space="preserve">  </w:t>
      </w:r>
      <w:r>
        <w:rPr>
          <w:szCs w:val="24"/>
        </w:rPr>
        <w:t xml:space="preserve">Initial comments were filed by Ohio Power (“OP” or </w:t>
      </w:r>
      <w:r w:rsidR="00B156AA">
        <w:rPr>
          <w:szCs w:val="24"/>
        </w:rPr>
        <w:t>“</w:t>
      </w:r>
      <w:r>
        <w:rPr>
          <w:szCs w:val="24"/>
        </w:rPr>
        <w:t>AEP Ohio”), First Energy Corporation (“First Energy”), Dayton Power and Light (</w:t>
      </w:r>
      <w:r w:rsidR="00B156AA">
        <w:rPr>
          <w:szCs w:val="24"/>
        </w:rPr>
        <w:t>“</w:t>
      </w:r>
      <w:r>
        <w:rPr>
          <w:szCs w:val="24"/>
        </w:rPr>
        <w:t>DP&amp;L</w:t>
      </w:r>
      <w:r w:rsidR="00B156AA">
        <w:rPr>
          <w:szCs w:val="24"/>
        </w:rPr>
        <w:t>”</w:t>
      </w:r>
      <w:r>
        <w:rPr>
          <w:szCs w:val="24"/>
        </w:rPr>
        <w:t xml:space="preserve">), Duke Energy Ohio (“Duke”), the Retail Energy Supply Association (“RESA”), IGS Energy (“IGS”), and the Office of the Ohio Consumers’ Counsel (“OCC”).  </w:t>
      </w:r>
      <w:r w:rsidR="004152C8">
        <w:rPr>
          <w:szCs w:val="24"/>
        </w:rPr>
        <w:t xml:space="preserve">In general, the EDUs and OCC agreed with Staff that the implementation of contract portability, </w:t>
      </w:r>
      <w:r w:rsidR="005A34FD">
        <w:rPr>
          <w:szCs w:val="24"/>
        </w:rPr>
        <w:t>seamless moves, and instant connect were not cost effective and could present serious consu</w:t>
      </w:r>
      <w:r w:rsidR="00B156AA">
        <w:rPr>
          <w:szCs w:val="24"/>
        </w:rPr>
        <w:t xml:space="preserve">mer protection issues.  </w:t>
      </w:r>
    </w:p>
    <w:p w:rsidR="006E2753" w:rsidRDefault="006E2753" w:rsidP="00360D9B">
      <w:pPr>
        <w:spacing w:line="480" w:lineRule="auto"/>
        <w:ind w:firstLine="720"/>
        <w:rPr>
          <w:szCs w:val="24"/>
        </w:rPr>
      </w:pPr>
    </w:p>
    <w:p w:rsidR="00360D9B" w:rsidRDefault="00B156AA" w:rsidP="006E2753">
      <w:pPr>
        <w:spacing w:line="480" w:lineRule="auto"/>
        <w:rPr>
          <w:szCs w:val="24"/>
        </w:rPr>
      </w:pPr>
      <w:r>
        <w:rPr>
          <w:szCs w:val="24"/>
        </w:rPr>
        <w:lastRenderedPageBreak/>
        <w:t>The EDU</w:t>
      </w:r>
      <w:r w:rsidR="005A34FD">
        <w:rPr>
          <w:szCs w:val="24"/>
        </w:rPr>
        <w:t>s generally supported the use of a third-party if there had to be a warm transfer capability.</w:t>
      </w:r>
      <w:r w:rsidR="00A41CDC">
        <w:rPr>
          <w:szCs w:val="24"/>
        </w:rPr>
        <w:t xml:space="preserve">  </w:t>
      </w:r>
      <w:r w:rsidR="00851BA7">
        <w:rPr>
          <w:szCs w:val="24"/>
        </w:rPr>
        <w:t xml:space="preserve">But OCC and Duke commented that a </w:t>
      </w:r>
      <w:r w:rsidR="00A41CDC">
        <w:rPr>
          <w:szCs w:val="24"/>
        </w:rPr>
        <w:t>“</w:t>
      </w:r>
      <w:r w:rsidR="00851BA7">
        <w:rPr>
          <w:szCs w:val="24"/>
        </w:rPr>
        <w:t>C</w:t>
      </w:r>
      <w:r w:rsidR="00A41CDC">
        <w:rPr>
          <w:szCs w:val="24"/>
        </w:rPr>
        <w:t xml:space="preserve">old </w:t>
      </w:r>
      <w:r w:rsidR="00851BA7">
        <w:rPr>
          <w:szCs w:val="24"/>
        </w:rPr>
        <w:t>T</w:t>
      </w:r>
      <w:r w:rsidR="00A41CDC">
        <w:rPr>
          <w:szCs w:val="24"/>
        </w:rPr>
        <w:t xml:space="preserve">ransfer” </w:t>
      </w:r>
      <w:r w:rsidR="00851BA7">
        <w:rPr>
          <w:szCs w:val="24"/>
        </w:rPr>
        <w:t xml:space="preserve">could be </w:t>
      </w:r>
      <w:r w:rsidR="00A41CDC">
        <w:rPr>
          <w:szCs w:val="24"/>
        </w:rPr>
        <w:t>more appropriate</w:t>
      </w:r>
      <w:r w:rsidR="00851BA7">
        <w:rPr>
          <w:szCs w:val="24"/>
        </w:rPr>
        <w:t>.</w:t>
      </w:r>
      <w:r w:rsidR="001351AE">
        <w:rPr>
          <w:rStyle w:val="FootnoteReference"/>
          <w:szCs w:val="24"/>
        </w:rPr>
        <w:footnoteReference w:id="5"/>
      </w:r>
      <w:r w:rsidR="00851BA7">
        <w:rPr>
          <w:szCs w:val="24"/>
        </w:rPr>
        <w:t xml:space="preserve">  In the initial comments, OCC defined a cold transfer as </w:t>
      </w:r>
      <w:r w:rsidR="00A41CDC">
        <w:rPr>
          <w:szCs w:val="24"/>
        </w:rPr>
        <w:t xml:space="preserve">where </w:t>
      </w:r>
      <w:r w:rsidR="00851BA7">
        <w:rPr>
          <w:szCs w:val="24"/>
        </w:rPr>
        <w:t xml:space="preserve">an EDU provides </w:t>
      </w:r>
      <w:r>
        <w:rPr>
          <w:szCs w:val="24"/>
        </w:rPr>
        <w:t xml:space="preserve">a </w:t>
      </w:r>
      <w:r w:rsidR="00E73E7C">
        <w:rPr>
          <w:szCs w:val="24"/>
        </w:rPr>
        <w:t xml:space="preserve">shopping customer with the name and number of the CRES supplier who could be contacted </w:t>
      </w:r>
      <w:r w:rsidR="00A41CDC">
        <w:rPr>
          <w:szCs w:val="24"/>
        </w:rPr>
        <w:t xml:space="preserve">by the customer </w:t>
      </w:r>
      <w:r w:rsidR="00E73E7C">
        <w:rPr>
          <w:szCs w:val="24"/>
        </w:rPr>
        <w:t xml:space="preserve">at a later time. </w:t>
      </w:r>
      <w:r w:rsidR="002B1579">
        <w:rPr>
          <w:szCs w:val="24"/>
        </w:rPr>
        <w:t xml:space="preserve">OCC </w:t>
      </w:r>
      <w:r w:rsidR="00A41CDC">
        <w:rPr>
          <w:szCs w:val="24"/>
        </w:rPr>
        <w:t>commented further t</w:t>
      </w:r>
      <w:r w:rsidR="002B1579">
        <w:rPr>
          <w:szCs w:val="24"/>
        </w:rPr>
        <w:t xml:space="preserve">hat the MDWG would be an appropriate forum for discussions about helpful information and resources </w:t>
      </w:r>
      <w:r w:rsidR="00360D9B">
        <w:rPr>
          <w:szCs w:val="24"/>
        </w:rPr>
        <w:t>that could be provided to customers to help make informed energy choices.</w:t>
      </w:r>
      <w:r w:rsidR="001351AE">
        <w:rPr>
          <w:rStyle w:val="FootnoteReference"/>
          <w:szCs w:val="24"/>
        </w:rPr>
        <w:footnoteReference w:id="6"/>
      </w:r>
      <w:r w:rsidR="00360D9B">
        <w:rPr>
          <w:szCs w:val="24"/>
        </w:rPr>
        <w:t xml:space="preserve">  </w:t>
      </w:r>
      <w:r w:rsidR="002B1579">
        <w:rPr>
          <w:szCs w:val="24"/>
        </w:rPr>
        <w:t>IGS and RESA continu</w:t>
      </w:r>
      <w:r w:rsidR="00A41CDC">
        <w:rPr>
          <w:szCs w:val="24"/>
        </w:rPr>
        <w:t xml:space="preserve">ed </w:t>
      </w:r>
      <w:r w:rsidR="00360D9B">
        <w:rPr>
          <w:szCs w:val="24"/>
        </w:rPr>
        <w:t xml:space="preserve">support for </w:t>
      </w:r>
      <w:r w:rsidR="002B1579">
        <w:rPr>
          <w:szCs w:val="24"/>
        </w:rPr>
        <w:t>contract portability, seamless moves, and instant connect</w:t>
      </w:r>
      <w:r w:rsidR="00641465">
        <w:rPr>
          <w:szCs w:val="24"/>
        </w:rPr>
        <w:t xml:space="preserve"> in the</w:t>
      </w:r>
      <w:r w:rsidR="003D6E2B">
        <w:rPr>
          <w:szCs w:val="24"/>
        </w:rPr>
        <w:t>ir</w:t>
      </w:r>
      <w:r w:rsidR="00641465">
        <w:rPr>
          <w:szCs w:val="24"/>
        </w:rPr>
        <w:t xml:space="preserve"> initial comments without regard for the need or cost effectiveness</w:t>
      </w:r>
      <w:r w:rsidR="002B1579">
        <w:rPr>
          <w:szCs w:val="24"/>
        </w:rPr>
        <w:t>.</w:t>
      </w:r>
      <w:r w:rsidR="001351AE">
        <w:rPr>
          <w:rStyle w:val="FootnoteReference"/>
          <w:szCs w:val="24"/>
        </w:rPr>
        <w:footnoteReference w:id="7"/>
      </w:r>
      <w:r w:rsidR="00E73E7C">
        <w:rPr>
          <w:szCs w:val="24"/>
        </w:rPr>
        <w:t xml:space="preserve"> </w:t>
      </w:r>
    </w:p>
    <w:p w:rsidR="00C8572B" w:rsidRDefault="00C8572B" w:rsidP="00C8572B">
      <w:pPr>
        <w:rPr>
          <w:szCs w:val="24"/>
        </w:rPr>
      </w:pPr>
    </w:p>
    <w:p w:rsidR="000756EA" w:rsidRPr="009F3E24" w:rsidRDefault="00360D9B" w:rsidP="009F3E24">
      <w:pPr>
        <w:pStyle w:val="Heading1"/>
      </w:pPr>
      <w:r>
        <w:t>REPLY COMMENTS</w:t>
      </w:r>
    </w:p>
    <w:p w:rsidR="000756EA" w:rsidRPr="005C1DD6" w:rsidRDefault="000756EA" w:rsidP="005C1DD6">
      <w:pPr>
        <w:pStyle w:val="Heading2"/>
        <w:ind w:right="720"/>
      </w:pPr>
      <w:r w:rsidRPr="005C1DD6">
        <w:t>A.</w:t>
      </w:r>
      <w:r w:rsidRPr="005C1DD6">
        <w:tab/>
      </w:r>
      <w:r w:rsidR="00F77FF5" w:rsidRPr="00FB7501">
        <w:t xml:space="preserve">The cost effectiveness in having </w:t>
      </w:r>
      <w:r w:rsidR="003D6E2B" w:rsidRPr="00FB7501">
        <w:t>EDU</w:t>
      </w:r>
      <w:r w:rsidR="00EC0AC6" w:rsidRPr="00FB7501">
        <w:t xml:space="preserve">s </w:t>
      </w:r>
      <w:r w:rsidR="00733787" w:rsidRPr="00FB7501">
        <w:t xml:space="preserve">warm </w:t>
      </w:r>
      <w:r w:rsidR="00EC0AC6" w:rsidRPr="00FB7501">
        <w:t xml:space="preserve">transfer calls from customers </w:t>
      </w:r>
      <w:r w:rsidR="00F77FF5" w:rsidRPr="00FB7501">
        <w:t xml:space="preserve">to CRES either directly or through </w:t>
      </w:r>
      <w:r w:rsidR="00733787" w:rsidRPr="00FB7501">
        <w:t xml:space="preserve">a </w:t>
      </w:r>
      <w:r w:rsidR="00EC0AC6" w:rsidRPr="00FB7501">
        <w:t xml:space="preserve">third-party </w:t>
      </w:r>
      <w:r w:rsidR="00F77FF5" w:rsidRPr="00FB7501">
        <w:t>has not been determined.</w:t>
      </w:r>
      <w:r w:rsidR="00F77FF5" w:rsidRPr="005C1DD6">
        <w:t xml:space="preserve">  </w:t>
      </w:r>
    </w:p>
    <w:p w:rsidR="00FB7501" w:rsidRDefault="003D6E2B" w:rsidP="000756EA">
      <w:pPr>
        <w:spacing w:line="480" w:lineRule="auto"/>
        <w:ind w:firstLine="720"/>
        <w:rPr>
          <w:szCs w:val="24"/>
        </w:rPr>
      </w:pPr>
      <w:r>
        <w:rPr>
          <w:szCs w:val="24"/>
        </w:rPr>
        <w:t>Each of the EDU</w:t>
      </w:r>
      <w:r w:rsidR="00324ABE">
        <w:rPr>
          <w:szCs w:val="24"/>
        </w:rPr>
        <w:t xml:space="preserve">s commented that if there </w:t>
      </w:r>
      <w:r w:rsidR="00125ABA">
        <w:rPr>
          <w:szCs w:val="24"/>
        </w:rPr>
        <w:t xml:space="preserve">is to be </w:t>
      </w:r>
      <w:r w:rsidR="00324ABE">
        <w:rPr>
          <w:szCs w:val="24"/>
        </w:rPr>
        <w:t>a warm transfer capability, the transfer should be to a third-party</w:t>
      </w:r>
      <w:r w:rsidR="00B90F4A">
        <w:rPr>
          <w:szCs w:val="24"/>
        </w:rPr>
        <w:t xml:space="preserve"> who can then interface with the CRES.</w:t>
      </w:r>
      <w:r w:rsidR="001351AE">
        <w:rPr>
          <w:rStyle w:val="FootnoteReference"/>
          <w:szCs w:val="24"/>
        </w:rPr>
        <w:footnoteReference w:id="8"/>
      </w:r>
      <w:r w:rsidR="00B90F4A">
        <w:rPr>
          <w:szCs w:val="24"/>
        </w:rPr>
        <w:t xml:space="preserve">  </w:t>
      </w:r>
      <w:r w:rsidR="009E0C7B">
        <w:rPr>
          <w:szCs w:val="24"/>
        </w:rPr>
        <w:t xml:space="preserve">This concern seems to stem from </w:t>
      </w:r>
      <w:r>
        <w:rPr>
          <w:szCs w:val="24"/>
        </w:rPr>
        <w:t>a</w:t>
      </w:r>
      <w:r w:rsidR="009E0C7B">
        <w:rPr>
          <w:szCs w:val="24"/>
        </w:rPr>
        <w:t xml:space="preserve"> perception that </w:t>
      </w:r>
      <w:r>
        <w:rPr>
          <w:szCs w:val="24"/>
        </w:rPr>
        <w:t xml:space="preserve">a </w:t>
      </w:r>
      <w:r w:rsidR="009E0C7B">
        <w:rPr>
          <w:szCs w:val="24"/>
        </w:rPr>
        <w:t>warm tra</w:t>
      </w:r>
      <w:r>
        <w:rPr>
          <w:szCs w:val="24"/>
        </w:rPr>
        <w:t>nsfer, without a third-party intermediary, would indicate that an</w:t>
      </w:r>
      <w:r w:rsidR="009E0C7B">
        <w:rPr>
          <w:szCs w:val="24"/>
        </w:rPr>
        <w:t xml:space="preserve"> EDU </w:t>
      </w:r>
      <w:r w:rsidR="00C5620E">
        <w:rPr>
          <w:szCs w:val="24"/>
        </w:rPr>
        <w:t xml:space="preserve">is </w:t>
      </w:r>
      <w:r w:rsidR="009E0C7B">
        <w:rPr>
          <w:szCs w:val="24"/>
        </w:rPr>
        <w:t xml:space="preserve">advocating for </w:t>
      </w:r>
      <w:r w:rsidR="00C5620E">
        <w:rPr>
          <w:szCs w:val="24"/>
        </w:rPr>
        <w:t xml:space="preserve">a </w:t>
      </w:r>
      <w:r w:rsidR="00C5620E" w:rsidRPr="003D6E2B">
        <w:rPr>
          <w:i/>
          <w:szCs w:val="24"/>
        </w:rPr>
        <w:t>specific</w:t>
      </w:r>
      <w:r w:rsidR="00C5620E">
        <w:rPr>
          <w:szCs w:val="24"/>
        </w:rPr>
        <w:t xml:space="preserve"> </w:t>
      </w:r>
      <w:r w:rsidR="009E0C7B">
        <w:rPr>
          <w:szCs w:val="24"/>
        </w:rPr>
        <w:t>competitive choice</w:t>
      </w:r>
      <w:r w:rsidR="00C5620E">
        <w:rPr>
          <w:szCs w:val="24"/>
        </w:rPr>
        <w:t xml:space="preserve"> as opposed to </w:t>
      </w:r>
      <w:r>
        <w:rPr>
          <w:i/>
          <w:szCs w:val="24"/>
        </w:rPr>
        <w:t>choice generally</w:t>
      </w:r>
      <w:r w:rsidR="00C5620E">
        <w:rPr>
          <w:szCs w:val="24"/>
        </w:rPr>
        <w:t xml:space="preserve">.  Regardless of the legitimacy of this perception, there are real </w:t>
      </w:r>
      <w:r w:rsidR="00125ABA">
        <w:rPr>
          <w:szCs w:val="24"/>
        </w:rPr>
        <w:t>cost</w:t>
      </w:r>
      <w:r w:rsidR="00C5620E">
        <w:rPr>
          <w:szCs w:val="24"/>
        </w:rPr>
        <w:t>s</w:t>
      </w:r>
      <w:r w:rsidR="00125ABA">
        <w:rPr>
          <w:szCs w:val="24"/>
        </w:rPr>
        <w:t xml:space="preserve"> associated with implementing warm transfers and these costs have not been </w:t>
      </w:r>
      <w:r>
        <w:rPr>
          <w:szCs w:val="24"/>
        </w:rPr>
        <w:t>quantified by the EDUs.  The EDU</w:t>
      </w:r>
      <w:r w:rsidR="00733787">
        <w:rPr>
          <w:szCs w:val="24"/>
        </w:rPr>
        <w:t xml:space="preserve">s appear to be more focused on cost recovery </w:t>
      </w:r>
      <w:r>
        <w:rPr>
          <w:szCs w:val="24"/>
        </w:rPr>
        <w:t>than</w:t>
      </w:r>
      <w:r w:rsidR="00733787">
        <w:rPr>
          <w:szCs w:val="24"/>
        </w:rPr>
        <w:t xml:space="preserve"> </w:t>
      </w:r>
      <w:r w:rsidR="00B805D9">
        <w:rPr>
          <w:szCs w:val="24"/>
        </w:rPr>
        <w:t xml:space="preserve">customers obtaining </w:t>
      </w:r>
      <w:r w:rsidR="00733787">
        <w:rPr>
          <w:szCs w:val="24"/>
        </w:rPr>
        <w:t>any meaningful benefit</w:t>
      </w:r>
      <w:r w:rsidR="00AD32AF">
        <w:rPr>
          <w:szCs w:val="24"/>
        </w:rPr>
        <w:t xml:space="preserve"> from the warm transfer</w:t>
      </w:r>
      <w:r w:rsidR="00733787">
        <w:rPr>
          <w:szCs w:val="24"/>
        </w:rPr>
        <w:t xml:space="preserve">.  </w:t>
      </w:r>
    </w:p>
    <w:p w:rsidR="00863975" w:rsidRPr="009F3E24" w:rsidRDefault="00733787" w:rsidP="009F3E24">
      <w:pPr>
        <w:spacing w:line="480" w:lineRule="auto"/>
        <w:rPr>
          <w:szCs w:val="24"/>
        </w:rPr>
      </w:pPr>
      <w:r>
        <w:rPr>
          <w:szCs w:val="24"/>
        </w:rPr>
        <w:t xml:space="preserve">For example, regardless of the costs, DP&amp;L </w:t>
      </w:r>
      <w:r w:rsidR="00B90F4A">
        <w:rPr>
          <w:szCs w:val="24"/>
        </w:rPr>
        <w:t xml:space="preserve">explicitly </w:t>
      </w:r>
      <w:r w:rsidR="00B805D9">
        <w:rPr>
          <w:szCs w:val="24"/>
        </w:rPr>
        <w:t>wants to ensure there is full recovery.</w:t>
      </w:r>
      <w:r w:rsidR="00B90F4A">
        <w:rPr>
          <w:rStyle w:val="FootnoteReference"/>
          <w:szCs w:val="24"/>
        </w:rPr>
        <w:footnoteReference w:id="9"/>
      </w:r>
      <w:r w:rsidR="00B805D9">
        <w:rPr>
          <w:szCs w:val="24"/>
        </w:rPr>
        <w:t xml:space="preserve"> </w:t>
      </w:r>
      <w:r>
        <w:rPr>
          <w:szCs w:val="24"/>
        </w:rPr>
        <w:t xml:space="preserve">First Energy seeks cost recovery through a Government Directives Rider (GDR) rider that </w:t>
      </w:r>
      <w:r w:rsidR="00B805D9">
        <w:rPr>
          <w:szCs w:val="24"/>
        </w:rPr>
        <w:t xml:space="preserve">was proposed in their most recent ESP, but </w:t>
      </w:r>
      <w:r w:rsidR="009E0A06">
        <w:rPr>
          <w:szCs w:val="24"/>
        </w:rPr>
        <w:t xml:space="preserve">as of now </w:t>
      </w:r>
      <w:r w:rsidR="003D6E2B">
        <w:rPr>
          <w:szCs w:val="24"/>
        </w:rPr>
        <w:t>does not</w:t>
      </w:r>
      <w:r>
        <w:rPr>
          <w:szCs w:val="24"/>
        </w:rPr>
        <w:t xml:space="preserve"> even exist.</w:t>
      </w:r>
      <w:r w:rsidR="00B90F4A">
        <w:rPr>
          <w:rStyle w:val="FootnoteReference"/>
          <w:szCs w:val="24"/>
        </w:rPr>
        <w:footnoteReference w:id="10"/>
      </w:r>
      <w:r>
        <w:rPr>
          <w:szCs w:val="24"/>
        </w:rPr>
        <w:t xml:space="preserve">   </w:t>
      </w:r>
      <w:r w:rsidR="00B805D9">
        <w:rPr>
          <w:szCs w:val="24"/>
        </w:rPr>
        <w:t xml:space="preserve">AEP </w:t>
      </w:r>
      <w:r w:rsidR="003D6E2B">
        <w:rPr>
          <w:szCs w:val="24"/>
        </w:rPr>
        <w:t xml:space="preserve">Ohio </w:t>
      </w:r>
      <w:r w:rsidR="00B805D9">
        <w:rPr>
          <w:szCs w:val="24"/>
        </w:rPr>
        <w:t xml:space="preserve">proposes a third-party call transfer capability </w:t>
      </w:r>
      <w:r w:rsidR="00B90F4A">
        <w:rPr>
          <w:szCs w:val="24"/>
        </w:rPr>
        <w:t xml:space="preserve">only </w:t>
      </w:r>
      <w:r w:rsidR="00B805D9">
        <w:rPr>
          <w:szCs w:val="24"/>
        </w:rPr>
        <w:t xml:space="preserve">in the context of </w:t>
      </w:r>
      <w:r w:rsidR="00B90F4A">
        <w:rPr>
          <w:szCs w:val="24"/>
        </w:rPr>
        <w:t xml:space="preserve">a </w:t>
      </w:r>
      <w:r w:rsidR="003D6E2B">
        <w:rPr>
          <w:szCs w:val="24"/>
        </w:rPr>
        <w:t xml:space="preserve">proposed </w:t>
      </w:r>
      <w:r w:rsidR="00B90F4A">
        <w:rPr>
          <w:szCs w:val="24"/>
        </w:rPr>
        <w:t>settlement in Case 14-1693-EL-RDR</w:t>
      </w:r>
      <w:r w:rsidR="00B90F4A">
        <w:rPr>
          <w:rStyle w:val="FootnoteReference"/>
          <w:szCs w:val="24"/>
        </w:rPr>
        <w:footnoteReference w:id="11"/>
      </w:r>
      <w:r w:rsidR="00B90F4A">
        <w:rPr>
          <w:szCs w:val="24"/>
        </w:rPr>
        <w:t xml:space="preserve"> that is highly </w:t>
      </w:r>
      <w:r w:rsidR="00C5620E">
        <w:rPr>
          <w:szCs w:val="24"/>
        </w:rPr>
        <w:t xml:space="preserve">contested and </w:t>
      </w:r>
      <w:r w:rsidR="00B90F4A">
        <w:rPr>
          <w:szCs w:val="24"/>
        </w:rPr>
        <w:t xml:space="preserve">opposed by OCC and many other parties.  </w:t>
      </w:r>
      <w:r w:rsidR="003D6E2B">
        <w:rPr>
          <w:szCs w:val="24"/>
        </w:rPr>
        <w:t xml:space="preserve">Whether a </w:t>
      </w:r>
      <w:r>
        <w:rPr>
          <w:szCs w:val="24"/>
        </w:rPr>
        <w:t xml:space="preserve">warm transfer to the CRES is performed by </w:t>
      </w:r>
      <w:r w:rsidR="003D6E2B">
        <w:rPr>
          <w:szCs w:val="24"/>
        </w:rPr>
        <w:t>an</w:t>
      </w:r>
      <w:r>
        <w:rPr>
          <w:szCs w:val="24"/>
        </w:rPr>
        <w:t xml:space="preserve"> EDU or </w:t>
      </w:r>
      <w:r w:rsidR="00B90F4A">
        <w:rPr>
          <w:szCs w:val="24"/>
        </w:rPr>
        <w:t xml:space="preserve">through a </w:t>
      </w:r>
      <w:r>
        <w:rPr>
          <w:szCs w:val="24"/>
        </w:rPr>
        <w:t>third-party, there should be a full examination of the costs</w:t>
      </w:r>
      <w:r w:rsidR="009E0A06">
        <w:rPr>
          <w:szCs w:val="24"/>
        </w:rPr>
        <w:t xml:space="preserve"> to be charged to consumers</w:t>
      </w:r>
      <w:r>
        <w:rPr>
          <w:szCs w:val="24"/>
        </w:rPr>
        <w:t xml:space="preserve"> and </w:t>
      </w:r>
      <w:r w:rsidR="009E0A06">
        <w:rPr>
          <w:szCs w:val="24"/>
        </w:rPr>
        <w:t xml:space="preserve">the </w:t>
      </w:r>
      <w:r>
        <w:rPr>
          <w:szCs w:val="24"/>
        </w:rPr>
        <w:t xml:space="preserve">benefits </w:t>
      </w:r>
      <w:r w:rsidR="009E0A06">
        <w:rPr>
          <w:szCs w:val="24"/>
        </w:rPr>
        <w:t xml:space="preserve">for consumers </w:t>
      </w:r>
      <w:r>
        <w:rPr>
          <w:szCs w:val="24"/>
        </w:rPr>
        <w:t>before the PUCO approves any warm transfer initiative.</w:t>
      </w:r>
    </w:p>
    <w:p w:rsidR="00B90F4A" w:rsidRPr="005C1DD6" w:rsidRDefault="00F77FF5" w:rsidP="005C1DD6">
      <w:pPr>
        <w:ind w:left="1440" w:right="720" w:hanging="720"/>
        <w:rPr>
          <w:rStyle w:val="Heading2Char"/>
        </w:rPr>
      </w:pPr>
      <w:r w:rsidRPr="00F77FF5">
        <w:rPr>
          <w:b/>
          <w:szCs w:val="24"/>
        </w:rPr>
        <w:t>B.</w:t>
      </w:r>
      <w:r w:rsidRPr="00F77FF5">
        <w:rPr>
          <w:b/>
          <w:szCs w:val="24"/>
        </w:rPr>
        <w:tab/>
      </w:r>
      <w:r w:rsidR="002F6D6C" w:rsidRPr="00FB7501">
        <w:rPr>
          <w:rStyle w:val="Heading2Char"/>
        </w:rPr>
        <w:t xml:space="preserve">Comments filed by </w:t>
      </w:r>
      <w:r w:rsidR="00863975" w:rsidRPr="00FB7501">
        <w:rPr>
          <w:rStyle w:val="Heading2Char"/>
        </w:rPr>
        <w:t xml:space="preserve">RESA and IGS do not change the fact that the </w:t>
      </w:r>
      <w:r w:rsidRPr="00FB7501">
        <w:rPr>
          <w:rStyle w:val="Heading2Char"/>
        </w:rPr>
        <w:t xml:space="preserve"> implementation of seamless moves, instant connect, and contract portability are cost prohibitive and </w:t>
      </w:r>
      <w:r w:rsidR="00863975" w:rsidRPr="00FB7501">
        <w:rPr>
          <w:rStyle w:val="Heading2Char"/>
        </w:rPr>
        <w:t>not in the public interest</w:t>
      </w:r>
      <w:r w:rsidR="003D6E2B" w:rsidRPr="00FB7501">
        <w:rPr>
          <w:rStyle w:val="Heading2Char"/>
        </w:rPr>
        <w:t xml:space="preserve">.  Such processes </w:t>
      </w:r>
      <w:r w:rsidR="00863975" w:rsidRPr="00FB7501">
        <w:rPr>
          <w:rStyle w:val="Heading2Char"/>
        </w:rPr>
        <w:t xml:space="preserve">should therefore not be further considered by the </w:t>
      </w:r>
      <w:r w:rsidR="009E0A06" w:rsidRPr="00FB7501">
        <w:rPr>
          <w:rStyle w:val="Heading2Char"/>
        </w:rPr>
        <w:t>PUCO</w:t>
      </w:r>
      <w:r w:rsidR="00863975" w:rsidRPr="00FB7501">
        <w:rPr>
          <w:rStyle w:val="Heading2Char"/>
        </w:rPr>
        <w:t>.</w:t>
      </w:r>
      <w:r w:rsidR="00863975" w:rsidRPr="005C1DD6">
        <w:rPr>
          <w:rStyle w:val="Heading2Char"/>
        </w:rPr>
        <w:t xml:space="preserve"> </w:t>
      </w:r>
      <w:r w:rsidRPr="005C1DD6">
        <w:rPr>
          <w:rStyle w:val="Heading2Char"/>
        </w:rPr>
        <w:t xml:space="preserve"> </w:t>
      </w:r>
    </w:p>
    <w:p w:rsidR="00863975" w:rsidRDefault="00863975" w:rsidP="005C1DD6">
      <w:pPr>
        <w:ind w:firstLine="720"/>
        <w:rPr>
          <w:szCs w:val="24"/>
        </w:rPr>
      </w:pPr>
    </w:p>
    <w:p w:rsidR="002F6D6C" w:rsidRDefault="00863975" w:rsidP="000756EA">
      <w:pPr>
        <w:spacing w:line="480" w:lineRule="auto"/>
        <w:ind w:firstLine="720"/>
        <w:rPr>
          <w:szCs w:val="24"/>
        </w:rPr>
      </w:pPr>
      <w:r>
        <w:rPr>
          <w:szCs w:val="24"/>
        </w:rPr>
        <w:t xml:space="preserve">RESA and IGS provided no information to refute </w:t>
      </w:r>
      <w:r w:rsidR="000756EA" w:rsidRPr="00BB02F4">
        <w:rPr>
          <w:szCs w:val="24"/>
        </w:rPr>
        <w:t>Staff</w:t>
      </w:r>
      <w:r>
        <w:rPr>
          <w:szCs w:val="24"/>
        </w:rPr>
        <w:t xml:space="preserve">’s </w:t>
      </w:r>
      <w:r w:rsidR="000756EA" w:rsidRPr="00BB02F4">
        <w:rPr>
          <w:szCs w:val="24"/>
        </w:rPr>
        <w:t xml:space="preserve">estimated </w:t>
      </w:r>
      <w:r>
        <w:rPr>
          <w:szCs w:val="24"/>
        </w:rPr>
        <w:t>$3.5 million</w:t>
      </w:r>
      <w:r w:rsidR="003D6E2B">
        <w:rPr>
          <w:szCs w:val="24"/>
        </w:rPr>
        <w:t xml:space="preserve"> cost</w:t>
      </w:r>
      <w:r>
        <w:rPr>
          <w:szCs w:val="24"/>
        </w:rPr>
        <w:t xml:space="preserve"> for </w:t>
      </w:r>
      <w:r w:rsidR="00D86AD8">
        <w:rPr>
          <w:szCs w:val="24"/>
        </w:rPr>
        <w:t>statewide implement</w:t>
      </w:r>
      <w:r>
        <w:rPr>
          <w:szCs w:val="24"/>
        </w:rPr>
        <w:t xml:space="preserve">ation of a </w:t>
      </w:r>
      <w:r w:rsidR="000756EA" w:rsidRPr="00BB02F4">
        <w:rPr>
          <w:szCs w:val="24"/>
        </w:rPr>
        <w:t>seamless move or instant connect capabilities</w:t>
      </w:r>
      <w:r>
        <w:rPr>
          <w:szCs w:val="24"/>
        </w:rPr>
        <w:t xml:space="preserve"> </w:t>
      </w:r>
      <w:r w:rsidR="003D6E2B">
        <w:rPr>
          <w:szCs w:val="24"/>
        </w:rPr>
        <w:t>(which did not include</w:t>
      </w:r>
      <w:r>
        <w:rPr>
          <w:szCs w:val="24"/>
        </w:rPr>
        <w:t xml:space="preserve"> costs associated with CRES supplier system changes</w:t>
      </w:r>
      <w:r w:rsidR="003D6E2B">
        <w:rPr>
          <w:szCs w:val="24"/>
        </w:rPr>
        <w:t>)</w:t>
      </w:r>
      <w:r>
        <w:rPr>
          <w:szCs w:val="24"/>
        </w:rPr>
        <w:t>.</w:t>
      </w:r>
      <w:r w:rsidR="000756EA">
        <w:rPr>
          <w:rStyle w:val="FootnoteReference"/>
          <w:szCs w:val="24"/>
        </w:rPr>
        <w:footnoteReference w:id="12"/>
      </w:r>
      <w:r>
        <w:rPr>
          <w:szCs w:val="24"/>
        </w:rPr>
        <w:t xml:space="preserve">  </w:t>
      </w:r>
      <w:r w:rsidR="003D6E2B">
        <w:rPr>
          <w:szCs w:val="24"/>
        </w:rPr>
        <w:t>Additionally</w:t>
      </w:r>
      <w:r>
        <w:rPr>
          <w:szCs w:val="24"/>
        </w:rPr>
        <w:t xml:space="preserve">, </w:t>
      </w:r>
      <w:r w:rsidR="00627C5C">
        <w:rPr>
          <w:szCs w:val="24"/>
        </w:rPr>
        <w:t xml:space="preserve">there was no information provided by RESA or IGS to refute the significant </w:t>
      </w:r>
      <w:r w:rsidR="00BC77FE">
        <w:rPr>
          <w:szCs w:val="24"/>
        </w:rPr>
        <w:t>information technology</w:t>
      </w:r>
      <w:r w:rsidR="000756EA" w:rsidRPr="00BB02F4">
        <w:rPr>
          <w:szCs w:val="24"/>
        </w:rPr>
        <w:t xml:space="preserve"> changes </w:t>
      </w:r>
      <w:r w:rsidR="003D6E2B">
        <w:rPr>
          <w:szCs w:val="24"/>
        </w:rPr>
        <w:t xml:space="preserve">that </w:t>
      </w:r>
      <w:r w:rsidR="000756EA" w:rsidRPr="00BB02F4">
        <w:rPr>
          <w:szCs w:val="24"/>
        </w:rPr>
        <w:t>wo</w:t>
      </w:r>
      <w:r w:rsidR="003D6E2B">
        <w:rPr>
          <w:szCs w:val="24"/>
        </w:rPr>
        <w:t>uld be required by both the EDU</w:t>
      </w:r>
      <w:r w:rsidR="000756EA" w:rsidRPr="00BB02F4">
        <w:rPr>
          <w:szCs w:val="24"/>
        </w:rPr>
        <w:t>s and CRES providers</w:t>
      </w:r>
      <w:r w:rsidR="00627C5C">
        <w:rPr>
          <w:szCs w:val="24"/>
        </w:rPr>
        <w:t xml:space="preserve"> to implement contract portability.  </w:t>
      </w:r>
      <w:r w:rsidR="000756EA" w:rsidRPr="00BB02F4">
        <w:rPr>
          <w:szCs w:val="24"/>
        </w:rPr>
        <w:t>Further, the</w:t>
      </w:r>
      <w:r w:rsidR="00627C5C">
        <w:rPr>
          <w:szCs w:val="24"/>
        </w:rPr>
        <w:t xml:space="preserve">re was no information provided by RESA or IGS that contract portability, seamless moves, or instant connect provide any benefit for customers or that any of these capabilities are even desired by customers.  </w:t>
      </w:r>
      <w:r w:rsidR="002F6D6C">
        <w:rPr>
          <w:szCs w:val="24"/>
        </w:rPr>
        <w:t>At best, RESA and IGS would have the PUCO require instant connect and seamless moves because similar capabilities are being made available in Pennsylvania.</w:t>
      </w:r>
      <w:r w:rsidR="001351AE">
        <w:rPr>
          <w:rStyle w:val="FootnoteReference"/>
          <w:szCs w:val="24"/>
        </w:rPr>
        <w:footnoteReference w:id="13"/>
      </w:r>
      <w:r w:rsidR="002F6D6C">
        <w:rPr>
          <w:szCs w:val="24"/>
        </w:rPr>
        <w:t xml:space="preserve">  But the regulatory construct in Pennsylvania </w:t>
      </w:r>
      <w:r w:rsidR="0098579F">
        <w:rPr>
          <w:szCs w:val="24"/>
        </w:rPr>
        <w:t xml:space="preserve">is different from Ohio and </w:t>
      </w:r>
      <w:r w:rsidR="002F6D6C">
        <w:rPr>
          <w:szCs w:val="24"/>
        </w:rPr>
        <w:t xml:space="preserve">has no bearing on decisions </w:t>
      </w:r>
      <w:r w:rsidR="003D6E2B">
        <w:rPr>
          <w:szCs w:val="24"/>
        </w:rPr>
        <w:t>here</w:t>
      </w:r>
      <w:r w:rsidR="002F6D6C">
        <w:rPr>
          <w:szCs w:val="24"/>
        </w:rPr>
        <w:t xml:space="preserve"> in Ohio.</w:t>
      </w:r>
      <w:r w:rsidR="00CC6F3A">
        <w:rPr>
          <w:szCs w:val="24"/>
        </w:rPr>
        <w:t xml:space="preserve">  The MDWG fully examined each of the alternatives.  </w:t>
      </w:r>
      <w:r w:rsidR="003D6E2B">
        <w:rPr>
          <w:szCs w:val="24"/>
        </w:rPr>
        <w:t>S</w:t>
      </w:r>
      <w:r w:rsidR="002F6D6C">
        <w:rPr>
          <w:szCs w:val="24"/>
        </w:rPr>
        <w:t xml:space="preserve">eamless moves, instant connect, and contract portability </w:t>
      </w:r>
      <w:r w:rsidR="0098579F">
        <w:rPr>
          <w:szCs w:val="24"/>
        </w:rPr>
        <w:t xml:space="preserve">capabilities </w:t>
      </w:r>
      <w:r w:rsidR="003D6E2B">
        <w:rPr>
          <w:szCs w:val="24"/>
        </w:rPr>
        <w:t>cannot</w:t>
      </w:r>
      <w:r w:rsidR="0098579F">
        <w:rPr>
          <w:szCs w:val="24"/>
        </w:rPr>
        <w:t xml:space="preserve"> </w:t>
      </w:r>
      <w:r w:rsidR="002F6D6C">
        <w:rPr>
          <w:szCs w:val="24"/>
        </w:rPr>
        <w:t>be implemented in a cost effective manner in Ohio.</w:t>
      </w:r>
      <w:r w:rsidR="00CC6F3A">
        <w:rPr>
          <w:szCs w:val="24"/>
        </w:rPr>
        <w:t xml:space="preserve">  </w:t>
      </w:r>
    </w:p>
    <w:p w:rsidR="005E0D23" w:rsidRDefault="00AD32AF" w:rsidP="005E0D23">
      <w:pPr>
        <w:autoSpaceDE w:val="0"/>
        <w:autoSpaceDN w:val="0"/>
        <w:adjustRightInd w:val="0"/>
        <w:spacing w:line="480" w:lineRule="auto"/>
        <w:ind w:firstLine="720"/>
        <w:rPr>
          <w:szCs w:val="24"/>
        </w:rPr>
      </w:pPr>
      <w:r>
        <w:rPr>
          <w:szCs w:val="24"/>
        </w:rPr>
        <w:t>IGS claims that the standard service offer (</w:t>
      </w:r>
      <w:r w:rsidR="003D6E2B">
        <w:rPr>
          <w:szCs w:val="24"/>
        </w:rPr>
        <w:t>“</w:t>
      </w:r>
      <w:r>
        <w:rPr>
          <w:szCs w:val="24"/>
        </w:rPr>
        <w:t>SSO</w:t>
      </w:r>
      <w:r w:rsidR="003D6E2B">
        <w:rPr>
          <w:szCs w:val="24"/>
        </w:rPr>
        <w:t>”</w:t>
      </w:r>
      <w:r>
        <w:rPr>
          <w:szCs w:val="24"/>
        </w:rPr>
        <w:t>) is a barrier to competition and that the instant connect, seamless move, and contract portability help remedy this barrier.</w:t>
      </w:r>
      <w:r w:rsidR="001351AE">
        <w:rPr>
          <w:rStyle w:val="FootnoteReference"/>
          <w:szCs w:val="24"/>
        </w:rPr>
        <w:footnoteReference w:id="14"/>
      </w:r>
      <w:r>
        <w:rPr>
          <w:szCs w:val="24"/>
        </w:rPr>
        <w:t xml:space="preserve"> </w:t>
      </w:r>
      <w:r w:rsidR="001351AE">
        <w:rPr>
          <w:szCs w:val="24"/>
        </w:rPr>
        <w:t xml:space="preserve">But as </w:t>
      </w:r>
      <w:r>
        <w:rPr>
          <w:szCs w:val="24"/>
        </w:rPr>
        <w:t xml:space="preserve">OCC </w:t>
      </w:r>
      <w:r w:rsidR="003D6E2B">
        <w:rPr>
          <w:szCs w:val="24"/>
        </w:rPr>
        <w:t>has pointed out</w:t>
      </w:r>
      <w:r>
        <w:rPr>
          <w:szCs w:val="24"/>
        </w:rPr>
        <w:t xml:space="preserve">, customers should be able to affirmatively choose their </w:t>
      </w:r>
      <w:r w:rsidRPr="00BB02F4">
        <w:rPr>
          <w:szCs w:val="24"/>
        </w:rPr>
        <w:t xml:space="preserve">supplier of electricity as they initiate service </w:t>
      </w:r>
      <w:r>
        <w:rPr>
          <w:szCs w:val="24"/>
        </w:rPr>
        <w:t xml:space="preserve">at a new address </w:t>
      </w:r>
      <w:r w:rsidRPr="00BB02F4">
        <w:rPr>
          <w:szCs w:val="24"/>
        </w:rPr>
        <w:t xml:space="preserve">or move from one </w:t>
      </w:r>
      <w:r>
        <w:rPr>
          <w:szCs w:val="24"/>
        </w:rPr>
        <w:t>address to another.</w:t>
      </w:r>
      <w:r>
        <w:rPr>
          <w:rStyle w:val="FootnoteReference"/>
          <w:szCs w:val="24"/>
        </w:rPr>
        <w:footnoteReference w:id="15"/>
      </w:r>
      <w:r w:rsidRPr="00BB02F4">
        <w:rPr>
          <w:szCs w:val="24"/>
        </w:rPr>
        <w:t xml:space="preserve"> </w:t>
      </w:r>
      <w:r>
        <w:rPr>
          <w:szCs w:val="24"/>
        </w:rPr>
        <w:t xml:space="preserve"> Despite IGS’s contention, t</w:t>
      </w:r>
      <w:r w:rsidRPr="00BB02F4">
        <w:rPr>
          <w:szCs w:val="24"/>
        </w:rPr>
        <w:t>he SSO is one of these choices</w:t>
      </w:r>
      <w:r>
        <w:rPr>
          <w:szCs w:val="24"/>
        </w:rPr>
        <w:t>.  C</w:t>
      </w:r>
      <w:r w:rsidRPr="00BB02F4">
        <w:rPr>
          <w:szCs w:val="24"/>
        </w:rPr>
        <w:t xml:space="preserve">ustomers should have the ability to transition to and from the SSO based </w:t>
      </w:r>
      <w:r w:rsidR="003D6E2B">
        <w:rPr>
          <w:szCs w:val="24"/>
        </w:rPr>
        <w:t>on</w:t>
      </w:r>
      <w:r w:rsidRPr="00BB02F4">
        <w:rPr>
          <w:szCs w:val="24"/>
        </w:rPr>
        <w:t xml:space="preserve"> their particular needs</w:t>
      </w:r>
      <w:r>
        <w:rPr>
          <w:szCs w:val="24"/>
        </w:rPr>
        <w:t xml:space="preserve"> as they initiate new service or move from one address to another.  </w:t>
      </w:r>
      <w:r w:rsidRPr="00BB02F4">
        <w:rPr>
          <w:szCs w:val="24"/>
        </w:rPr>
        <w:t xml:space="preserve">Seamless moves, instant connect, and contract portability </w:t>
      </w:r>
      <w:r>
        <w:rPr>
          <w:szCs w:val="24"/>
        </w:rPr>
        <w:t xml:space="preserve">can place </w:t>
      </w:r>
      <w:r w:rsidRPr="00BB02F4">
        <w:rPr>
          <w:szCs w:val="24"/>
        </w:rPr>
        <w:t>limit</w:t>
      </w:r>
      <w:r>
        <w:rPr>
          <w:szCs w:val="24"/>
        </w:rPr>
        <w:t>ations on</w:t>
      </w:r>
      <w:r w:rsidRPr="00BB02F4">
        <w:rPr>
          <w:szCs w:val="24"/>
        </w:rPr>
        <w:t xml:space="preserve"> customer choice </w:t>
      </w:r>
      <w:r>
        <w:rPr>
          <w:szCs w:val="24"/>
        </w:rPr>
        <w:t xml:space="preserve">because customers are unable to evaluate alternative competitive choices that may be available at their new residence.       </w:t>
      </w:r>
      <w:r w:rsidR="00F961AB">
        <w:rPr>
          <w:szCs w:val="24"/>
        </w:rPr>
        <w:t xml:space="preserve">   </w:t>
      </w:r>
    </w:p>
    <w:p w:rsidR="000756EA" w:rsidRPr="00FB7501" w:rsidRDefault="00AD32AF" w:rsidP="005C1DD6">
      <w:pPr>
        <w:autoSpaceDE w:val="0"/>
        <w:autoSpaceDN w:val="0"/>
        <w:adjustRightInd w:val="0"/>
        <w:ind w:left="1440" w:right="720" w:hanging="720"/>
        <w:rPr>
          <w:rStyle w:val="Heading2Char"/>
        </w:rPr>
      </w:pPr>
      <w:r w:rsidRPr="005E0D23">
        <w:rPr>
          <w:b/>
        </w:rPr>
        <w:t>C</w:t>
      </w:r>
      <w:r w:rsidR="000756EA" w:rsidRPr="005E0D23">
        <w:rPr>
          <w:b/>
        </w:rPr>
        <w:t>.</w:t>
      </w:r>
      <w:r w:rsidR="000756EA" w:rsidRPr="005E0D23">
        <w:rPr>
          <w:b/>
        </w:rPr>
        <w:tab/>
      </w:r>
      <w:r w:rsidR="002B4310" w:rsidRPr="00FB7501">
        <w:rPr>
          <w:rStyle w:val="Heading2Char"/>
        </w:rPr>
        <w:t xml:space="preserve">Given the lack of support for the warm-transfer capability proposed by Staff, the </w:t>
      </w:r>
      <w:r w:rsidR="00C67E65" w:rsidRPr="00FB7501">
        <w:rPr>
          <w:rStyle w:val="Heading2Char"/>
        </w:rPr>
        <w:t>PUCO</w:t>
      </w:r>
      <w:r w:rsidR="002B4310" w:rsidRPr="00FB7501">
        <w:rPr>
          <w:rStyle w:val="Heading2Char"/>
        </w:rPr>
        <w:t xml:space="preserve"> should reject the </w:t>
      </w:r>
      <w:r w:rsidR="000756EA" w:rsidRPr="00FB7501">
        <w:rPr>
          <w:rStyle w:val="Heading2Char"/>
        </w:rPr>
        <w:t>Staff</w:t>
      </w:r>
      <w:r w:rsidR="00BC77FE" w:rsidRPr="00FB7501">
        <w:rPr>
          <w:rStyle w:val="Heading2Char"/>
        </w:rPr>
        <w:t xml:space="preserve"> recommendation </w:t>
      </w:r>
      <w:r w:rsidR="002B4310" w:rsidRPr="00FB7501">
        <w:rPr>
          <w:rStyle w:val="Heading2Char"/>
        </w:rPr>
        <w:t xml:space="preserve">and implement a “Cold-Transfer” capability. </w:t>
      </w:r>
      <w:r w:rsidR="000756EA" w:rsidRPr="00FB7501">
        <w:rPr>
          <w:rStyle w:val="Heading2Char"/>
        </w:rPr>
        <w:t xml:space="preserve"> </w:t>
      </w:r>
    </w:p>
    <w:p w:rsidR="003D6E2B" w:rsidRPr="005E0D23" w:rsidRDefault="003D6E2B" w:rsidP="005E0D23">
      <w:pPr>
        <w:autoSpaceDE w:val="0"/>
        <w:autoSpaceDN w:val="0"/>
        <w:adjustRightInd w:val="0"/>
        <w:ind w:left="1440" w:hanging="720"/>
        <w:rPr>
          <w:b/>
        </w:rPr>
      </w:pPr>
    </w:p>
    <w:p w:rsidR="00A90B98" w:rsidRDefault="002B4310" w:rsidP="002B4310">
      <w:pPr>
        <w:spacing w:line="480" w:lineRule="auto"/>
        <w:ind w:firstLine="720"/>
        <w:rPr>
          <w:szCs w:val="24"/>
        </w:rPr>
      </w:pPr>
      <w:r>
        <w:rPr>
          <w:szCs w:val="24"/>
        </w:rPr>
        <w:t xml:space="preserve">RESA and IGS oppose </w:t>
      </w:r>
      <w:r w:rsidR="00F961AB">
        <w:rPr>
          <w:szCs w:val="24"/>
        </w:rPr>
        <w:t xml:space="preserve">Staff's recommendation </w:t>
      </w:r>
      <w:r w:rsidR="00EE393C">
        <w:rPr>
          <w:szCs w:val="24"/>
        </w:rPr>
        <w:t>that only</w:t>
      </w:r>
      <w:r>
        <w:rPr>
          <w:szCs w:val="24"/>
        </w:rPr>
        <w:t xml:space="preserve"> warm transfer capab</w:t>
      </w:r>
      <w:r w:rsidR="00EE393C">
        <w:rPr>
          <w:szCs w:val="24"/>
        </w:rPr>
        <w:t>ility be considered</w:t>
      </w:r>
      <w:r>
        <w:rPr>
          <w:szCs w:val="24"/>
        </w:rPr>
        <w:t>,</w:t>
      </w:r>
      <w:r w:rsidR="00641465">
        <w:rPr>
          <w:rStyle w:val="FootnoteReference"/>
          <w:szCs w:val="24"/>
        </w:rPr>
        <w:footnoteReference w:id="16"/>
      </w:r>
      <w:r>
        <w:rPr>
          <w:szCs w:val="24"/>
        </w:rPr>
        <w:t xml:space="preserve"> even though it is the CRES providers who supposedly want shopping customers to maintain their relationship with their supplier when they move.  RESA claims that “warm transfer requires substantial effort on the part of customers – multiple conversations, additional time, and additional effort under circumstances where the customer is already shopping”.</w:t>
      </w:r>
      <w:r w:rsidR="00641465">
        <w:rPr>
          <w:rStyle w:val="FootnoteReference"/>
          <w:szCs w:val="24"/>
        </w:rPr>
        <w:footnoteReference w:id="17"/>
      </w:r>
      <w:r>
        <w:rPr>
          <w:szCs w:val="24"/>
        </w:rPr>
        <w:t xml:space="preserve">  But RESA’s argument is meritless because the competitive options that are available for customers can be radically different when customers move to another address.  There can be different rates based on the contract, usage patterns, aggregation programs, packaging of services, and other factors that influence the competitive energy market for the consumer and CRES.  State policy supports customers having effective choices with their supplier to meet their respective needs.</w:t>
      </w:r>
      <w:r w:rsidR="00641465">
        <w:rPr>
          <w:rStyle w:val="FootnoteReference"/>
          <w:szCs w:val="24"/>
        </w:rPr>
        <w:footnoteReference w:id="18"/>
      </w:r>
      <w:r>
        <w:rPr>
          <w:szCs w:val="24"/>
        </w:rPr>
        <w:t xml:space="preserve">  </w:t>
      </w:r>
      <w:r w:rsidR="00C67E65">
        <w:rPr>
          <w:szCs w:val="24"/>
        </w:rPr>
        <w:t>If</w:t>
      </w:r>
      <w:r>
        <w:rPr>
          <w:szCs w:val="24"/>
        </w:rPr>
        <w:t xml:space="preserve"> customers spend additional time and effort examining and making informed competitive choices, </w:t>
      </w:r>
      <w:r w:rsidR="00C67E65">
        <w:rPr>
          <w:szCs w:val="24"/>
        </w:rPr>
        <w:t>that is</w:t>
      </w:r>
      <w:r>
        <w:rPr>
          <w:szCs w:val="24"/>
        </w:rPr>
        <w:t xml:space="preserve"> </w:t>
      </w:r>
      <w:r w:rsidR="00026812">
        <w:rPr>
          <w:szCs w:val="24"/>
        </w:rPr>
        <w:t xml:space="preserve">a </w:t>
      </w:r>
      <w:r>
        <w:rPr>
          <w:szCs w:val="24"/>
        </w:rPr>
        <w:t xml:space="preserve">positive </w:t>
      </w:r>
      <w:r w:rsidR="009D1B45">
        <w:rPr>
          <w:szCs w:val="24"/>
        </w:rPr>
        <w:t xml:space="preserve">outcome </w:t>
      </w:r>
      <w:r w:rsidR="00C67E65">
        <w:rPr>
          <w:szCs w:val="24"/>
        </w:rPr>
        <w:t>and</w:t>
      </w:r>
      <w:r>
        <w:rPr>
          <w:szCs w:val="24"/>
        </w:rPr>
        <w:t xml:space="preserve"> fully aligned with state policy.</w:t>
      </w:r>
      <w:r w:rsidR="00A90B98">
        <w:rPr>
          <w:szCs w:val="24"/>
        </w:rPr>
        <w:t xml:space="preserve">  </w:t>
      </w:r>
    </w:p>
    <w:p w:rsidR="005506E3" w:rsidRDefault="00A90B98" w:rsidP="000756EA">
      <w:pPr>
        <w:spacing w:line="480" w:lineRule="auto"/>
        <w:ind w:firstLine="720"/>
        <w:rPr>
          <w:szCs w:val="24"/>
        </w:rPr>
        <w:sectPr w:rsidR="005506E3" w:rsidSect="001E3B56">
          <w:footerReference w:type="default" r:id="rId14"/>
          <w:pgSz w:w="12240" w:h="15840" w:code="1"/>
          <w:pgMar w:top="1440" w:right="1800" w:bottom="1440" w:left="1800" w:header="720" w:footer="720" w:gutter="0"/>
          <w:pgNumType w:start="2"/>
          <w:cols w:space="720"/>
          <w:docGrid w:linePitch="360"/>
        </w:sectPr>
      </w:pPr>
      <w:r>
        <w:rPr>
          <w:szCs w:val="24"/>
        </w:rPr>
        <w:t>Given the lack of CRES support for the warm transfer capability</w:t>
      </w:r>
      <w:r w:rsidR="009D1B45">
        <w:rPr>
          <w:szCs w:val="24"/>
        </w:rPr>
        <w:t xml:space="preserve"> proposed by the PUCO Staff</w:t>
      </w:r>
      <w:r>
        <w:rPr>
          <w:szCs w:val="24"/>
        </w:rPr>
        <w:t>,</w:t>
      </w:r>
      <w:r w:rsidR="009D1B45">
        <w:rPr>
          <w:szCs w:val="24"/>
        </w:rPr>
        <w:t xml:space="preserve"> thus</w:t>
      </w:r>
      <w:r>
        <w:rPr>
          <w:szCs w:val="24"/>
        </w:rPr>
        <w:t xml:space="preserve"> there is no reason for the </w:t>
      </w:r>
      <w:r w:rsidR="00C67E65">
        <w:rPr>
          <w:szCs w:val="24"/>
        </w:rPr>
        <w:t>PUCO</w:t>
      </w:r>
      <w:r>
        <w:rPr>
          <w:szCs w:val="24"/>
        </w:rPr>
        <w:t xml:space="preserve"> to require EDU customers to pay for a warm-transfer capability</w:t>
      </w:r>
      <w:r w:rsidR="00FF0E01">
        <w:rPr>
          <w:szCs w:val="24"/>
        </w:rPr>
        <w:t xml:space="preserve">.  </w:t>
      </w:r>
      <w:r>
        <w:rPr>
          <w:szCs w:val="24"/>
        </w:rPr>
        <w:t xml:space="preserve">As OCC recommended in </w:t>
      </w:r>
      <w:r w:rsidR="00C67E65">
        <w:rPr>
          <w:szCs w:val="24"/>
        </w:rPr>
        <w:t>its</w:t>
      </w:r>
      <w:r>
        <w:rPr>
          <w:szCs w:val="24"/>
        </w:rPr>
        <w:t xml:space="preserve"> initial comments, </w:t>
      </w:r>
      <w:r w:rsidR="000756EA" w:rsidRPr="00BB02F4">
        <w:rPr>
          <w:szCs w:val="24"/>
        </w:rPr>
        <w:t xml:space="preserve">the PUCO </w:t>
      </w:r>
      <w:r>
        <w:rPr>
          <w:szCs w:val="24"/>
        </w:rPr>
        <w:t xml:space="preserve">should </w:t>
      </w:r>
      <w:r w:rsidR="000756EA" w:rsidRPr="00BB02F4">
        <w:rPr>
          <w:szCs w:val="24"/>
        </w:rPr>
        <w:t xml:space="preserve">require the </w:t>
      </w:r>
      <w:r>
        <w:rPr>
          <w:szCs w:val="24"/>
        </w:rPr>
        <w:t xml:space="preserve">MDWG </w:t>
      </w:r>
      <w:r w:rsidR="000756EA" w:rsidRPr="00BB02F4">
        <w:rPr>
          <w:szCs w:val="24"/>
        </w:rPr>
        <w:t xml:space="preserve">to develop an operational plan that supports a </w:t>
      </w:r>
      <w:r w:rsidR="000756EA">
        <w:rPr>
          <w:szCs w:val="24"/>
        </w:rPr>
        <w:t>“C</w:t>
      </w:r>
      <w:r w:rsidR="000756EA" w:rsidRPr="00BB02F4">
        <w:rPr>
          <w:szCs w:val="24"/>
        </w:rPr>
        <w:t xml:space="preserve">old </w:t>
      </w:r>
      <w:r w:rsidR="000756EA">
        <w:rPr>
          <w:szCs w:val="24"/>
        </w:rPr>
        <w:t>T</w:t>
      </w:r>
      <w:r w:rsidR="000756EA" w:rsidRPr="00BB02F4">
        <w:rPr>
          <w:szCs w:val="24"/>
        </w:rPr>
        <w:t>ransfer</w:t>
      </w:r>
      <w:r w:rsidR="000756EA">
        <w:rPr>
          <w:szCs w:val="24"/>
        </w:rPr>
        <w:t>”</w:t>
      </w:r>
      <w:r w:rsidR="000756EA" w:rsidRPr="00BB02F4">
        <w:rPr>
          <w:szCs w:val="24"/>
        </w:rPr>
        <w:t xml:space="preserve"> capability.</w:t>
      </w:r>
      <w:r w:rsidR="00641465">
        <w:rPr>
          <w:rStyle w:val="FootnoteReference"/>
          <w:szCs w:val="24"/>
        </w:rPr>
        <w:footnoteReference w:id="19"/>
      </w:r>
      <w:r w:rsidR="000756EA" w:rsidRPr="00BB02F4">
        <w:rPr>
          <w:szCs w:val="24"/>
        </w:rPr>
        <w:t xml:space="preserve"> </w:t>
      </w:r>
      <w:r>
        <w:rPr>
          <w:szCs w:val="24"/>
        </w:rPr>
        <w:t xml:space="preserve"> This eas</w:t>
      </w:r>
      <w:r w:rsidR="00FF0E01">
        <w:rPr>
          <w:szCs w:val="24"/>
        </w:rPr>
        <w:t xml:space="preserve">ily implemented program </w:t>
      </w:r>
      <w:r w:rsidR="00C67E65">
        <w:rPr>
          <w:szCs w:val="24"/>
        </w:rPr>
        <w:t>requires EDU</w:t>
      </w:r>
      <w:r>
        <w:rPr>
          <w:szCs w:val="24"/>
        </w:rPr>
        <w:t xml:space="preserve">s to provide shopping customers with contact information specific for their CRES provider and the </w:t>
      </w:r>
      <w:r w:rsidR="002A6A8F">
        <w:rPr>
          <w:szCs w:val="24"/>
        </w:rPr>
        <w:t>necessary information about the new account to arrange for a CRES enrollment at the new address.</w:t>
      </w:r>
      <w:r w:rsidR="00641465">
        <w:rPr>
          <w:rStyle w:val="FootnoteReference"/>
          <w:szCs w:val="24"/>
        </w:rPr>
        <w:footnoteReference w:id="20"/>
      </w:r>
    </w:p>
    <w:p w:rsidR="00463864" w:rsidRDefault="00463864" w:rsidP="000756EA">
      <w:pPr>
        <w:spacing w:line="480" w:lineRule="auto"/>
        <w:ind w:firstLine="720"/>
        <w:rPr>
          <w:szCs w:val="24"/>
        </w:rPr>
      </w:pPr>
    </w:p>
    <w:p w:rsidR="00C67E65" w:rsidRDefault="000756EA" w:rsidP="009F3E24">
      <w:pPr>
        <w:spacing w:line="480" w:lineRule="auto"/>
        <w:rPr>
          <w:szCs w:val="24"/>
        </w:rPr>
      </w:pPr>
      <w:r w:rsidRPr="00BB02F4">
        <w:rPr>
          <w:szCs w:val="24"/>
        </w:rPr>
        <w:t>Customers can then call the CRES</w:t>
      </w:r>
      <w:r>
        <w:rPr>
          <w:szCs w:val="24"/>
        </w:rPr>
        <w:t xml:space="preserve"> supplier</w:t>
      </w:r>
      <w:r w:rsidRPr="00BB02F4">
        <w:rPr>
          <w:szCs w:val="24"/>
        </w:rPr>
        <w:t xml:space="preserve"> directly to </w:t>
      </w:r>
      <w:r w:rsidR="00832F36">
        <w:rPr>
          <w:szCs w:val="24"/>
        </w:rPr>
        <w:t xml:space="preserve">arrange </w:t>
      </w:r>
      <w:r w:rsidR="00A10DEB">
        <w:rPr>
          <w:szCs w:val="24"/>
        </w:rPr>
        <w:t xml:space="preserve">an enrollment for </w:t>
      </w:r>
      <w:r w:rsidR="00832F36">
        <w:rPr>
          <w:szCs w:val="24"/>
        </w:rPr>
        <w:t xml:space="preserve">CRES service at the new address.  </w:t>
      </w:r>
    </w:p>
    <w:p w:rsidR="00FF0E01" w:rsidRPr="002638B2" w:rsidRDefault="00FF0E01" w:rsidP="00FB7501">
      <w:pPr>
        <w:ind w:left="1440" w:right="720" w:hanging="720"/>
        <w:rPr>
          <w:b/>
          <w:szCs w:val="24"/>
        </w:rPr>
      </w:pPr>
      <w:r w:rsidRPr="002638B2">
        <w:rPr>
          <w:b/>
          <w:szCs w:val="24"/>
        </w:rPr>
        <w:t>D.</w:t>
      </w:r>
      <w:r w:rsidRPr="002638B2">
        <w:rPr>
          <w:b/>
          <w:szCs w:val="24"/>
        </w:rPr>
        <w:tab/>
      </w:r>
      <w:r w:rsidRPr="00FB7501">
        <w:rPr>
          <w:rStyle w:val="Heading2Char"/>
        </w:rPr>
        <w:t xml:space="preserve">The </w:t>
      </w:r>
      <w:r w:rsidR="00C67E65" w:rsidRPr="00FB7501">
        <w:rPr>
          <w:rStyle w:val="Heading2Char"/>
        </w:rPr>
        <w:t>PUCO</w:t>
      </w:r>
      <w:r w:rsidRPr="00FB7501">
        <w:rPr>
          <w:rStyle w:val="Heading2Char"/>
        </w:rPr>
        <w:t xml:space="preserve"> should direct the MDWG </w:t>
      </w:r>
      <w:r w:rsidR="002638B2" w:rsidRPr="00FB7501">
        <w:rPr>
          <w:rStyle w:val="Heading2Char"/>
        </w:rPr>
        <w:t>to develop a recommendation for additional information and resources that can be made available for customers when they initiate new service or move to a new address.</w:t>
      </w:r>
      <w:r w:rsidR="002638B2" w:rsidRPr="002638B2">
        <w:rPr>
          <w:b/>
          <w:szCs w:val="24"/>
        </w:rPr>
        <w:t xml:space="preserve"> </w:t>
      </w:r>
    </w:p>
    <w:p w:rsidR="002638B2" w:rsidRDefault="002638B2" w:rsidP="005C1DD6">
      <w:pPr>
        <w:ind w:firstLine="720"/>
        <w:rPr>
          <w:szCs w:val="24"/>
        </w:rPr>
      </w:pPr>
    </w:p>
    <w:p w:rsidR="000756EA" w:rsidRDefault="000756EA" w:rsidP="000756EA">
      <w:pPr>
        <w:spacing w:line="480" w:lineRule="auto"/>
        <w:ind w:firstLine="720"/>
        <w:rPr>
          <w:szCs w:val="24"/>
        </w:rPr>
      </w:pPr>
      <w:r w:rsidRPr="00BB02F4">
        <w:rPr>
          <w:szCs w:val="24"/>
        </w:rPr>
        <w:t xml:space="preserve">OCC </w:t>
      </w:r>
      <w:r w:rsidR="002638B2">
        <w:rPr>
          <w:szCs w:val="24"/>
        </w:rPr>
        <w:t>commented initially that Ohio Adm. Code 4901:1-10-12 requires EDUs to provide new customers with information abo</w:t>
      </w:r>
      <w:r w:rsidR="00C67E65">
        <w:rPr>
          <w:szCs w:val="24"/>
        </w:rPr>
        <w:t xml:space="preserve">ut their rights and obligations – </w:t>
      </w:r>
      <w:r w:rsidR="002638B2">
        <w:rPr>
          <w:szCs w:val="24"/>
        </w:rPr>
        <w:t>including the right to obtain a list of CRES providers operating in the EDU service territory.</w:t>
      </w:r>
      <w:r w:rsidR="00641465">
        <w:rPr>
          <w:rStyle w:val="FootnoteReference"/>
          <w:szCs w:val="24"/>
        </w:rPr>
        <w:footnoteReference w:id="21"/>
      </w:r>
      <w:r w:rsidR="002638B2">
        <w:rPr>
          <w:szCs w:val="24"/>
        </w:rPr>
        <w:t xml:space="preserve">  But customers would benefit by having additional information about websites, fact sheets, and </w:t>
      </w:r>
      <w:r w:rsidR="00C67E65">
        <w:rPr>
          <w:szCs w:val="24"/>
        </w:rPr>
        <w:t xml:space="preserve">other </w:t>
      </w:r>
      <w:r w:rsidR="002638B2">
        <w:rPr>
          <w:szCs w:val="24"/>
        </w:rPr>
        <w:t xml:space="preserve">available resources to help them make informed competitive choices.  </w:t>
      </w:r>
      <w:r w:rsidR="00832F36">
        <w:rPr>
          <w:szCs w:val="24"/>
        </w:rPr>
        <w:t xml:space="preserve">The </w:t>
      </w:r>
      <w:r w:rsidR="00C67E65">
        <w:rPr>
          <w:szCs w:val="24"/>
        </w:rPr>
        <w:t>PUCO</w:t>
      </w:r>
      <w:r w:rsidR="002638B2">
        <w:rPr>
          <w:szCs w:val="24"/>
        </w:rPr>
        <w:t xml:space="preserve"> should direct the MDWG to develop a recommendation for the type of information </w:t>
      </w:r>
      <w:r w:rsidR="00C67E65">
        <w:rPr>
          <w:szCs w:val="24"/>
        </w:rPr>
        <w:t>that EDU</w:t>
      </w:r>
      <w:r w:rsidR="002638B2">
        <w:rPr>
          <w:szCs w:val="24"/>
        </w:rPr>
        <w:t xml:space="preserve">s should provide new customers about choice </w:t>
      </w:r>
      <w:r w:rsidR="007B71D1">
        <w:rPr>
          <w:szCs w:val="24"/>
        </w:rPr>
        <w:t xml:space="preserve">in the rights and obligations summary. </w:t>
      </w:r>
      <w:r w:rsidR="00832F36">
        <w:rPr>
          <w:szCs w:val="24"/>
        </w:rPr>
        <w:t xml:space="preserve">  </w:t>
      </w:r>
    </w:p>
    <w:p w:rsidR="00C8572B" w:rsidRPr="00BB02F4" w:rsidRDefault="00C8572B" w:rsidP="00C8572B">
      <w:pPr>
        <w:ind w:firstLine="720"/>
        <w:rPr>
          <w:szCs w:val="24"/>
        </w:rPr>
      </w:pPr>
    </w:p>
    <w:p w:rsidR="000756EA" w:rsidRDefault="000756EA" w:rsidP="00FB7501">
      <w:pPr>
        <w:pStyle w:val="Heading1"/>
      </w:pPr>
      <w:r w:rsidRPr="008B5CAA">
        <w:t>CONCLUSION</w:t>
      </w:r>
    </w:p>
    <w:p w:rsidR="000756EA" w:rsidRPr="00324ADF" w:rsidRDefault="00832F36" w:rsidP="000756EA">
      <w:pPr>
        <w:spacing w:line="480" w:lineRule="auto"/>
        <w:ind w:firstLine="720"/>
        <w:rPr>
          <w:szCs w:val="24"/>
        </w:rPr>
      </w:pPr>
      <w:r>
        <w:rPr>
          <w:szCs w:val="24"/>
        </w:rPr>
        <w:t xml:space="preserve">As </w:t>
      </w:r>
      <w:r w:rsidR="00EE393C">
        <w:rPr>
          <w:szCs w:val="24"/>
        </w:rPr>
        <w:t xml:space="preserve"> discussed</w:t>
      </w:r>
      <w:r w:rsidR="00026812">
        <w:rPr>
          <w:szCs w:val="24"/>
        </w:rPr>
        <w:t xml:space="preserve"> </w:t>
      </w:r>
      <w:r>
        <w:rPr>
          <w:szCs w:val="24"/>
        </w:rPr>
        <w:t>in the Staff Report</w:t>
      </w:r>
      <w:r w:rsidR="00C67E65">
        <w:rPr>
          <w:szCs w:val="24"/>
        </w:rPr>
        <w:t xml:space="preserve"> and supported by the EDU</w:t>
      </w:r>
      <w:r w:rsidR="007B71D1">
        <w:rPr>
          <w:szCs w:val="24"/>
        </w:rPr>
        <w:t xml:space="preserve">s and OCC, </w:t>
      </w:r>
      <w:r w:rsidR="00C67E65">
        <w:rPr>
          <w:szCs w:val="24"/>
        </w:rPr>
        <w:t>implementing</w:t>
      </w:r>
      <w:r w:rsidR="000756EA" w:rsidRPr="00324ADF">
        <w:rPr>
          <w:szCs w:val="24"/>
        </w:rPr>
        <w:t xml:space="preserve"> seamless move, instant connect, </w:t>
      </w:r>
      <w:r w:rsidR="00C67E65">
        <w:rPr>
          <w:szCs w:val="24"/>
        </w:rPr>
        <w:t>or</w:t>
      </w:r>
      <w:r w:rsidR="000756EA" w:rsidRPr="00324ADF">
        <w:rPr>
          <w:szCs w:val="24"/>
        </w:rPr>
        <w:t xml:space="preserve"> contract portability </w:t>
      </w:r>
      <w:r>
        <w:rPr>
          <w:szCs w:val="24"/>
        </w:rPr>
        <w:t>present</w:t>
      </w:r>
      <w:r w:rsidR="00C67E65">
        <w:rPr>
          <w:szCs w:val="24"/>
        </w:rPr>
        <w:t>s</w:t>
      </w:r>
      <w:r>
        <w:rPr>
          <w:szCs w:val="24"/>
        </w:rPr>
        <w:t xml:space="preserve"> </w:t>
      </w:r>
      <w:r w:rsidR="000756EA" w:rsidRPr="00324ADF">
        <w:rPr>
          <w:szCs w:val="24"/>
        </w:rPr>
        <w:t xml:space="preserve">a number of technical </w:t>
      </w:r>
      <w:r w:rsidR="00F51F0A">
        <w:rPr>
          <w:szCs w:val="24"/>
        </w:rPr>
        <w:t xml:space="preserve">and consumer protection </w:t>
      </w:r>
      <w:r w:rsidR="000756EA" w:rsidRPr="00324ADF">
        <w:rPr>
          <w:szCs w:val="24"/>
        </w:rPr>
        <w:t xml:space="preserve">issues </w:t>
      </w:r>
      <w:r w:rsidR="00F51F0A">
        <w:rPr>
          <w:szCs w:val="24"/>
        </w:rPr>
        <w:t xml:space="preserve">that </w:t>
      </w:r>
      <w:r w:rsidR="000756EA" w:rsidRPr="00324ADF">
        <w:rPr>
          <w:szCs w:val="24"/>
        </w:rPr>
        <w:t xml:space="preserve">cannot be implemented in a cost effective manner. </w:t>
      </w:r>
      <w:r w:rsidR="00EE393C">
        <w:rPr>
          <w:szCs w:val="24"/>
        </w:rPr>
        <w:t>A “w</w:t>
      </w:r>
      <w:r w:rsidR="000756EA" w:rsidRPr="00324ADF">
        <w:rPr>
          <w:szCs w:val="24"/>
        </w:rPr>
        <w:t xml:space="preserve">arm </w:t>
      </w:r>
      <w:r w:rsidR="00EE393C">
        <w:rPr>
          <w:szCs w:val="24"/>
        </w:rPr>
        <w:t>t</w:t>
      </w:r>
      <w:r w:rsidR="000756EA" w:rsidRPr="00324ADF">
        <w:rPr>
          <w:szCs w:val="24"/>
        </w:rPr>
        <w:t>ransfer</w:t>
      </w:r>
      <w:r w:rsidR="007B71D1">
        <w:rPr>
          <w:szCs w:val="24"/>
        </w:rPr>
        <w:t>”</w:t>
      </w:r>
      <w:r w:rsidR="00EE393C">
        <w:rPr>
          <w:szCs w:val="24"/>
        </w:rPr>
        <w:t xml:space="preserve"> raises concerns, too.  A "warm transfer" would result in a</w:t>
      </w:r>
      <w:r w:rsidR="007B71D1">
        <w:rPr>
          <w:szCs w:val="24"/>
        </w:rPr>
        <w:t>dditional</w:t>
      </w:r>
      <w:r w:rsidR="00C67E65">
        <w:rPr>
          <w:szCs w:val="24"/>
        </w:rPr>
        <w:t xml:space="preserve"> unquantified costs for the EDU</w:t>
      </w:r>
      <w:r w:rsidR="007B71D1">
        <w:rPr>
          <w:szCs w:val="24"/>
        </w:rPr>
        <w:t>s and has few (if any) benefits for customers.  RESA and IGS also generally oppos</w:t>
      </w:r>
      <w:r w:rsidR="00C67E65">
        <w:rPr>
          <w:szCs w:val="24"/>
        </w:rPr>
        <w:t xml:space="preserve">e the warm transfer alternative.  </w:t>
      </w:r>
      <w:r w:rsidR="007B71D1">
        <w:rPr>
          <w:szCs w:val="24"/>
        </w:rPr>
        <w:t xml:space="preserve">A </w:t>
      </w:r>
      <w:r w:rsidR="000756EA">
        <w:rPr>
          <w:szCs w:val="24"/>
        </w:rPr>
        <w:t>“</w:t>
      </w:r>
      <w:r w:rsidR="000756EA" w:rsidRPr="00324ADF">
        <w:rPr>
          <w:szCs w:val="24"/>
        </w:rPr>
        <w:t>Cold Transfer</w:t>
      </w:r>
      <w:r w:rsidR="000756EA">
        <w:rPr>
          <w:szCs w:val="24"/>
        </w:rPr>
        <w:t>”</w:t>
      </w:r>
      <w:r w:rsidR="000756EA" w:rsidRPr="00324ADF">
        <w:rPr>
          <w:szCs w:val="24"/>
        </w:rPr>
        <w:t xml:space="preserve"> alternative </w:t>
      </w:r>
      <w:r w:rsidR="009C4EEA">
        <w:rPr>
          <w:szCs w:val="24"/>
        </w:rPr>
        <w:t>builds upon t</w:t>
      </w:r>
      <w:r w:rsidR="00BC77FE">
        <w:rPr>
          <w:szCs w:val="24"/>
        </w:rPr>
        <w:t>he Staff Report recommendation.</w:t>
      </w:r>
      <w:r w:rsidR="00C67E65">
        <w:rPr>
          <w:szCs w:val="24"/>
        </w:rPr>
        <w:t xml:space="preserve"> EDU</w:t>
      </w:r>
      <w:r w:rsidR="009C4EEA">
        <w:rPr>
          <w:szCs w:val="24"/>
        </w:rPr>
        <w:t xml:space="preserve">s would be responsible for providing </w:t>
      </w:r>
      <w:r w:rsidR="00377A19">
        <w:rPr>
          <w:szCs w:val="24"/>
        </w:rPr>
        <w:t xml:space="preserve">sufficient </w:t>
      </w:r>
      <w:r w:rsidR="009C4EEA">
        <w:rPr>
          <w:szCs w:val="24"/>
        </w:rPr>
        <w:t xml:space="preserve">new account information to </w:t>
      </w:r>
      <w:r w:rsidR="00377A19">
        <w:rPr>
          <w:szCs w:val="24"/>
        </w:rPr>
        <w:t xml:space="preserve">existing shopping </w:t>
      </w:r>
      <w:r w:rsidR="009C4EEA">
        <w:rPr>
          <w:szCs w:val="24"/>
        </w:rPr>
        <w:t>customers so that they can arrange for CRES service if they choose.</w:t>
      </w:r>
      <w:r w:rsidR="00BC77FE">
        <w:rPr>
          <w:szCs w:val="24"/>
        </w:rPr>
        <w:t xml:space="preserve"> </w:t>
      </w:r>
      <w:r w:rsidR="00F51F0A">
        <w:rPr>
          <w:szCs w:val="24"/>
        </w:rPr>
        <w:t>Customers (and not an EDU</w:t>
      </w:r>
      <w:r w:rsidR="00851F78">
        <w:rPr>
          <w:szCs w:val="24"/>
        </w:rPr>
        <w:t xml:space="preserve"> or third-party)</w:t>
      </w:r>
      <w:r w:rsidR="00F51F0A">
        <w:rPr>
          <w:szCs w:val="24"/>
        </w:rPr>
        <w:t xml:space="preserve"> would be responsible for initiating the </w:t>
      </w:r>
      <w:r w:rsidR="00BC77FE">
        <w:rPr>
          <w:szCs w:val="24"/>
        </w:rPr>
        <w:t>contact with the CRES provider.</w:t>
      </w:r>
      <w:r w:rsidR="00F51F0A">
        <w:rPr>
          <w:szCs w:val="24"/>
        </w:rPr>
        <w:t xml:space="preserve"> </w:t>
      </w:r>
      <w:r w:rsidR="009C4EEA">
        <w:rPr>
          <w:szCs w:val="24"/>
        </w:rPr>
        <w:t>To help ensure customers have sufficient information to make an effective energy choice, t</w:t>
      </w:r>
      <w:r w:rsidR="000756EA" w:rsidRPr="00324ADF">
        <w:rPr>
          <w:szCs w:val="24"/>
        </w:rPr>
        <w:t xml:space="preserve">he existing customer rights and obligations </w:t>
      </w:r>
      <w:r w:rsidR="00BC77FE">
        <w:rPr>
          <w:szCs w:val="24"/>
        </w:rPr>
        <w:t>summary provided</w:t>
      </w:r>
      <w:r w:rsidR="000756EA" w:rsidRPr="00324ADF">
        <w:rPr>
          <w:szCs w:val="24"/>
        </w:rPr>
        <w:t xml:space="preserve"> to new customers </w:t>
      </w:r>
      <w:r w:rsidR="00851F78">
        <w:rPr>
          <w:szCs w:val="24"/>
        </w:rPr>
        <w:t xml:space="preserve">should </w:t>
      </w:r>
      <w:r w:rsidR="000756EA" w:rsidRPr="00324ADF">
        <w:rPr>
          <w:szCs w:val="24"/>
        </w:rPr>
        <w:t>be modified to include information about the Energy Choice Ohio websit</w:t>
      </w:r>
      <w:r w:rsidR="00BC77FE">
        <w:rPr>
          <w:szCs w:val="24"/>
        </w:rPr>
        <w:t xml:space="preserve">e and other helpful resources. </w:t>
      </w:r>
      <w:r w:rsidR="00F51F0A">
        <w:rPr>
          <w:szCs w:val="24"/>
        </w:rPr>
        <w:t xml:space="preserve">The </w:t>
      </w:r>
      <w:r w:rsidR="00C67E65">
        <w:rPr>
          <w:szCs w:val="24"/>
        </w:rPr>
        <w:t>PUCO</w:t>
      </w:r>
      <w:r w:rsidR="00851F78">
        <w:rPr>
          <w:szCs w:val="24"/>
        </w:rPr>
        <w:t xml:space="preserve"> should direct the MDWG to provide a recommendation for providing additional choice information to consumers in the customer </w:t>
      </w:r>
      <w:r w:rsidR="00F51F0A">
        <w:rPr>
          <w:szCs w:val="24"/>
        </w:rPr>
        <w:t>rights and obligations summary</w:t>
      </w:r>
      <w:r w:rsidR="00851F78">
        <w:rPr>
          <w:szCs w:val="24"/>
        </w:rPr>
        <w:t>.</w:t>
      </w:r>
      <w:r w:rsidR="00F51F0A">
        <w:rPr>
          <w:szCs w:val="24"/>
        </w:rPr>
        <w:t xml:space="preserve">  </w:t>
      </w:r>
      <w:r w:rsidR="000756EA" w:rsidRPr="00324ADF">
        <w:rPr>
          <w:szCs w:val="24"/>
        </w:rPr>
        <w:t xml:space="preserve"> </w:t>
      </w:r>
    </w:p>
    <w:p w:rsidR="007856B7" w:rsidRDefault="000F342F" w:rsidP="007856B7">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BC77FE" w:rsidRDefault="00BC77FE" w:rsidP="00405299">
      <w:pPr>
        <w:spacing w:line="480" w:lineRule="auto"/>
        <w:ind w:left="3600" w:firstLine="720"/>
        <w:rPr>
          <w:szCs w:val="24"/>
        </w:rPr>
      </w:pPr>
    </w:p>
    <w:p w:rsidR="0025699F" w:rsidRDefault="0025699F" w:rsidP="00405299">
      <w:pPr>
        <w:spacing w:line="480" w:lineRule="auto"/>
        <w:ind w:left="3600" w:firstLine="720"/>
        <w:rPr>
          <w:szCs w:val="24"/>
        </w:rPr>
      </w:pPr>
      <w:r>
        <w:rPr>
          <w:szCs w:val="24"/>
        </w:rPr>
        <w:t>Respectfully submitted,</w:t>
      </w:r>
    </w:p>
    <w:p w:rsidR="0025699F" w:rsidRDefault="0025699F" w:rsidP="0025699F">
      <w:pPr>
        <w:pStyle w:val="Footer"/>
        <w:tabs>
          <w:tab w:val="clear" w:pos="8640"/>
          <w:tab w:val="left" w:pos="4320"/>
        </w:tabs>
        <w:rPr>
          <w:sz w:val="24"/>
          <w:szCs w:val="24"/>
        </w:rPr>
      </w:pPr>
      <w:r>
        <w:rPr>
          <w:sz w:val="24"/>
          <w:szCs w:val="24"/>
        </w:rPr>
        <w:tab/>
        <w:t>BRUCE J. WESTON</w:t>
      </w:r>
      <w:r w:rsidR="000756EA">
        <w:rPr>
          <w:sz w:val="24"/>
          <w:szCs w:val="24"/>
        </w:rPr>
        <w:t xml:space="preserve"> (0016973)</w:t>
      </w:r>
    </w:p>
    <w:p w:rsidR="0025699F" w:rsidRDefault="0025699F" w:rsidP="0025699F">
      <w:pPr>
        <w:tabs>
          <w:tab w:val="left" w:pos="4320"/>
        </w:tabs>
        <w:rPr>
          <w:szCs w:val="24"/>
        </w:rPr>
      </w:pPr>
      <w:r>
        <w:rPr>
          <w:szCs w:val="24"/>
        </w:rPr>
        <w:tab/>
        <w:t>OHIO CONSUMERS’ COUNSEL</w:t>
      </w:r>
    </w:p>
    <w:p w:rsidR="0025699F" w:rsidRDefault="0025699F" w:rsidP="0025699F">
      <w:pPr>
        <w:tabs>
          <w:tab w:val="left" w:pos="4320"/>
        </w:tabs>
        <w:rPr>
          <w:szCs w:val="24"/>
        </w:rPr>
      </w:pPr>
      <w:r>
        <w:rPr>
          <w:szCs w:val="24"/>
        </w:rPr>
        <w:tab/>
      </w:r>
    </w:p>
    <w:p w:rsidR="0025699F" w:rsidRDefault="0025699F" w:rsidP="0025699F">
      <w:pPr>
        <w:tabs>
          <w:tab w:val="left" w:pos="4320"/>
        </w:tabs>
        <w:rPr>
          <w:i/>
          <w:szCs w:val="24"/>
          <w:u w:val="single"/>
        </w:rPr>
      </w:pPr>
      <w:r>
        <w:rPr>
          <w:szCs w:val="24"/>
        </w:rPr>
        <w:tab/>
      </w:r>
      <w:r>
        <w:rPr>
          <w:i/>
          <w:szCs w:val="24"/>
          <w:u w:val="single"/>
        </w:rPr>
        <w:t>/s/</w:t>
      </w:r>
      <w:r w:rsidR="000756EA">
        <w:rPr>
          <w:i/>
          <w:szCs w:val="24"/>
          <w:u w:val="single"/>
        </w:rPr>
        <w:t xml:space="preserve"> William J. Michael</w:t>
      </w:r>
      <w:r>
        <w:rPr>
          <w:i/>
          <w:szCs w:val="24"/>
          <w:u w:val="single"/>
        </w:rPr>
        <w:tab/>
      </w:r>
      <w:r>
        <w:rPr>
          <w:i/>
          <w:szCs w:val="24"/>
          <w:u w:val="single"/>
        </w:rPr>
        <w:tab/>
      </w:r>
      <w:r>
        <w:rPr>
          <w:i/>
          <w:szCs w:val="24"/>
          <w:u w:val="single"/>
        </w:rPr>
        <w:tab/>
        <w:t xml:space="preserve"> </w:t>
      </w:r>
    </w:p>
    <w:p w:rsidR="000756EA" w:rsidRDefault="000756EA" w:rsidP="0025699F">
      <w:pPr>
        <w:suppressAutoHyphens/>
        <w:ind w:left="4320"/>
      </w:pPr>
      <w:r>
        <w:t>William J. Michael, (0070921)</w:t>
      </w:r>
      <w:r w:rsidR="0025699F">
        <w:t>,</w:t>
      </w:r>
    </w:p>
    <w:p w:rsidR="0025699F" w:rsidRDefault="0025699F" w:rsidP="0025699F">
      <w:pPr>
        <w:suppressAutoHyphens/>
        <w:ind w:left="4320"/>
      </w:pPr>
      <w:r>
        <w:t>Counsel of Record</w:t>
      </w:r>
    </w:p>
    <w:p w:rsidR="000756EA" w:rsidRDefault="000756EA" w:rsidP="0025699F">
      <w:pPr>
        <w:suppressAutoHyphens/>
        <w:ind w:left="4320"/>
      </w:pPr>
      <w:r>
        <w:t>Kevin F. Moore (0089228)</w:t>
      </w:r>
    </w:p>
    <w:p w:rsidR="0025699F" w:rsidRDefault="0025699F" w:rsidP="0025699F">
      <w:pPr>
        <w:suppressAutoHyphens/>
        <w:ind w:left="4320"/>
      </w:pPr>
      <w:r>
        <w:t>Assistant Consumers’ Counsel</w:t>
      </w:r>
    </w:p>
    <w:p w:rsidR="0025699F" w:rsidRDefault="0025699F" w:rsidP="0025699F">
      <w:pPr>
        <w:tabs>
          <w:tab w:val="left" w:pos="4230"/>
          <w:tab w:val="left" w:pos="4320"/>
        </w:tabs>
        <w:ind w:left="4320"/>
      </w:pPr>
    </w:p>
    <w:p w:rsidR="0025699F" w:rsidRDefault="0025699F" w:rsidP="0025699F">
      <w:pPr>
        <w:suppressAutoHyphens/>
        <w:ind w:left="4320"/>
        <w:rPr>
          <w:b/>
          <w:bCs/>
        </w:rPr>
      </w:pPr>
      <w:r>
        <w:rPr>
          <w:b/>
          <w:bCs/>
        </w:rPr>
        <w:t>Office of the Ohio Consumers’ Counsel</w:t>
      </w:r>
    </w:p>
    <w:p w:rsidR="0025699F" w:rsidRDefault="0025699F" w:rsidP="0025699F">
      <w:pPr>
        <w:suppressAutoHyphens/>
        <w:ind w:left="4320"/>
      </w:pPr>
      <w:r>
        <w:t>10 West Broad Street, Suite 1800</w:t>
      </w:r>
    </w:p>
    <w:p w:rsidR="0025699F" w:rsidRDefault="0025699F" w:rsidP="0025699F">
      <w:pPr>
        <w:suppressAutoHyphens/>
        <w:ind w:left="4320"/>
      </w:pPr>
      <w:r>
        <w:t>Columbus, Ohio</w:t>
      </w:r>
      <w:r w:rsidR="000756EA">
        <w:t xml:space="preserve"> </w:t>
      </w:r>
      <w:r>
        <w:t>43215-3485</w:t>
      </w:r>
    </w:p>
    <w:p w:rsidR="0025699F" w:rsidRDefault="00FB7501" w:rsidP="0025699F">
      <w:pPr>
        <w:suppressAutoHyphens/>
        <w:ind w:left="4320"/>
      </w:pPr>
      <w:r>
        <w:t xml:space="preserve">Telephone: [Michael] </w:t>
      </w:r>
      <w:r w:rsidR="0025699F">
        <w:t>(614) 466-</w:t>
      </w:r>
      <w:r w:rsidR="000756EA">
        <w:t>1291</w:t>
      </w:r>
      <w:r w:rsidR="0025699F">
        <w:t xml:space="preserve"> </w:t>
      </w:r>
    </w:p>
    <w:p w:rsidR="0025699F" w:rsidRDefault="00FB7501" w:rsidP="0025699F">
      <w:pPr>
        <w:suppressAutoHyphens/>
        <w:ind w:left="4320"/>
      </w:pPr>
      <w:r>
        <w:t xml:space="preserve">Telephone: [Moore] </w:t>
      </w:r>
      <w:r w:rsidR="000756EA">
        <w:t>(614) 387-2965</w:t>
      </w:r>
      <w:r>
        <w:t xml:space="preserve"> </w:t>
      </w:r>
    </w:p>
    <w:p w:rsidR="000756EA" w:rsidRDefault="0017395A" w:rsidP="0025699F">
      <w:pPr>
        <w:suppressAutoHyphens/>
        <w:ind w:left="4320"/>
      </w:pPr>
      <w:hyperlink r:id="rId15" w:history="1">
        <w:r w:rsidR="00FB7501" w:rsidRPr="00116488">
          <w:rPr>
            <w:rStyle w:val="Hyperlink"/>
          </w:rPr>
          <w:t>William.michael@occ.ohio.gov</w:t>
        </w:r>
      </w:hyperlink>
      <w:r w:rsidR="00FB7501">
        <w:t xml:space="preserve"> </w:t>
      </w:r>
    </w:p>
    <w:p w:rsidR="000756EA" w:rsidRDefault="000756EA" w:rsidP="0025699F">
      <w:pPr>
        <w:suppressAutoHyphens/>
        <w:ind w:left="4320"/>
      </w:pPr>
      <w:r>
        <w:t>(will accept service via email)</w:t>
      </w:r>
    </w:p>
    <w:p w:rsidR="000756EA" w:rsidRDefault="0017395A" w:rsidP="0025699F">
      <w:pPr>
        <w:suppressAutoHyphens/>
        <w:ind w:left="4320"/>
      </w:pPr>
      <w:hyperlink r:id="rId16" w:history="1">
        <w:r w:rsidR="00FB7501" w:rsidRPr="00116488">
          <w:rPr>
            <w:rStyle w:val="Hyperlink"/>
          </w:rPr>
          <w:t>Kevin.moore@occ.ohio.gov</w:t>
        </w:r>
      </w:hyperlink>
      <w:r w:rsidR="00FB7501">
        <w:t xml:space="preserve"> </w:t>
      </w:r>
    </w:p>
    <w:p w:rsidR="003274FC" w:rsidRPr="003274FC" w:rsidRDefault="000756EA" w:rsidP="003274FC">
      <w:pPr>
        <w:suppressAutoHyphens/>
        <w:ind w:left="4320"/>
        <w:rPr>
          <w:rStyle w:val="Hyperlink"/>
          <w:color w:val="auto"/>
          <w:u w:val="none"/>
        </w:rPr>
        <w:sectPr w:rsidR="003274FC" w:rsidRPr="003274FC" w:rsidSect="00CE6618">
          <w:footerReference w:type="default" r:id="rId17"/>
          <w:pgSz w:w="12240" w:h="15840" w:code="1"/>
          <w:pgMar w:top="1440" w:right="1800" w:bottom="1440" w:left="1800" w:header="720" w:footer="720" w:gutter="0"/>
          <w:cols w:space="720"/>
          <w:docGrid w:linePitch="360"/>
        </w:sectPr>
      </w:pPr>
      <w:r>
        <w:t>(will accept service via email)</w:t>
      </w:r>
    </w:p>
    <w:p w:rsidR="0025699F" w:rsidRDefault="0025699F" w:rsidP="0025699F">
      <w:pPr>
        <w:spacing w:line="480" w:lineRule="auto"/>
        <w:rPr>
          <w:rStyle w:val="Hyperlink"/>
          <w:szCs w:val="24"/>
        </w:rPr>
      </w:pPr>
    </w:p>
    <w:p w:rsidR="0067056F" w:rsidRPr="009D0735" w:rsidRDefault="0025699F" w:rsidP="0025699F">
      <w:pPr>
        <w:jc w:val="center"/>
        <w:rPr>
          <w:b/>
          <w:bCs/>
          <w:u w:val="single"/>
        </w:rPr>
      </w:pPr>
      <w:r>
        <w:rPr>
          <w:b/>
          <w:bCs/>
          <w:u w:val="single"/>
        </w:rPr>
        <w:t>C</w:t>
      </w:r>
      <w:r w:rsidR="0067056F" w:rsidRPr="009D0735">
        <w:rPr>
          <w:b/>
          <w:bCs/>
          <w:u w:val="single"/>
        </w:rPr>
        <w:t>ERTIFICATE OF SERVICE</w:t>
      </w:r>
    </w:p>
    <w:p w:rsidR="0067056F" w:rsidRDefault="0067056F" w:rsidP="0067056F">
      <w:pPr>
        <w:spacing w:line="480" w:lineRule="atLeast"/>
      </w:pPr>
      <w:r>
        <w:tab/>
        <w:t>I hereby certify that a copy of th</w:t>
      </w:r>
      <w:r w:rsidR="000756EA">
        <w:t xml:space="preserve">ese </w:t>
      </w:r>
      <w:r w:rsidR="009D1B45">
        <w:t>Reply</w:t>
      </w:r>
      <w:r w:rsidR="000756EA">
        <w:t xml:space="preserve"> Comments</w:t>
      </w:r>
      <w:r w:rsidRPr="00405299">
        <w:rPr>
          <w:i/>
        </w:rPr>
        <w:t xml:space="preserve"> </w:t>
      </w:r>
      <w:r>
        <w:t>w</w:t>
      </w:r>
      <w:r w:rsidR="006338F8">
        <w:t>as</w:t>
      </w:r>
      <w:r>
        <w:t xml:space="preserve"> served on the persons stated below via electronic transmission to the persons listed below, this </w:t>
      </w:r>
      <w:r w:rsidR="00641465">
        <w:t>20</w:t>
      </w:r>
      <w:r w:rsidR="00641465" w:rsidRPr="00641465">
        <w:rPr>
          <w:vertAlign w:val="superscript"/>
        </w:rPr>
        <w:t>th</w:t>
      </w:r>
      <w:r w:rsidR="00641465">
        <w:t xml:space="preserve"> </w:t>
      </w:r>
      <w:r>
        <w:t xml:space="preserve">day of </w:t>
      </w:r>
      <w:r w:rsidR="00D841A7">
        <w:t xml:space="preserve">January </w:t>
      </w:r>
      <w:r>
        <w:t>201</w:t>
      </w:r>
      <w:r w:rsidR="00D841A7">
        <w:t>6</w:t>
      </w:r>
      <w:r>
        <w:t>.</w:t>
      </w:r>
    </w:p>
    <w:p w:rsidR="006338F8" w:rsidRDefault="0067056F" w:rsidP="0067056F">
      <w:pPr>
        <w:tabs>
          <w:tab w:val="left" w:pos="4320"/>
        </w:tabs>
        <w:rPr>
          <w:i/>
          <w:u w:val="single"/>
        </w:rPr>
      </w:pPr>
      <w:r>
        <w:tab/>
      </w:r>
      <w:r>
        <w:rPr>
          <w:i/>
          <w:u w:val="single"/>
        </w:rPr>
        <w:t xml:space="preserve">/s/ </w:t>
      </w:r>
      <w:r w:rsidR="006338F8">
        <w:rPr>
          <w:i/>
          <w:u w:val="single"/>
        </w:rPr>
        <w:t>William J. Michael</w:t>
      </w:r>
    </w:p>
    <w:p w:rsidR="0067056F" w:rsidRPr="006338F8" w:rsidRDefault="006338F8" w:rsidP="0067056F">
      <w:pPr>
        <w:tabs>
          <w:tab w:val="left" w:pos="4320"/>
        </w:tabs>
      </w:pPr>
      <w:r>
        <w:rPr>
          <w:i/>
        </w:rPr>
        <w:tab/>
      </w:r>
      <w:r w:rsidRPr="006338F8">
        <w:t>William J. Michael</w:t>
      </w:r>
    </w:p>
    <w:p w:rsidR="0067056F" w:rsidRDefault="0067056F" w:rsidP="0067056F">
      <w:pPr>
        <w:tabs>
          <w:tab w:val="left" w:pos="4320"/>
        </w:tabs>
      </w:pPr>
      <w:r>
        <w:tab/>
        <w:t>Assistant Consumers’ Counsel</w:t>
      </w:r>
    </w:p>
    <w:p w:rsidR="0067056F" w:rsidRDefault="0067056F" w:rsidP="0067056F">
      <w:pPr>
        <w:pStyle w:val="CommentSubject"/>
      </w:pPr>
    </w:p>
    <w:p w:rsidR="0067056F" w:rsidRDefault="0067056F" w:rsidP="003274FC">
      <w:pPr>
        <w:pStyle w:val="CommentText"/>
        <w:jc w:val="center"/>
        <w:rPr>
          <w:b/>
          <w:u w:val="single"/>
        </w:rPr>
      </w:pPr>
      <w:r>
        <w:rPr>
          <w:b/>
          <w:u w:val="single"/>
        </w:rPr>
        <w:t>SERVICE LIST</w:t>
      </w:r>
    </w:p>
    <w:p w:rsidR="003274FC" w:rsidRPr="003274FC" w:rsidRDefault="003274FC" w:rsidP="003274FC">
      <w:pPr>
        <w:pStyle w:val="CommentText"/>
        <w:jc w:val="center"/>
        <w:rPr>
          <w:b/>
          <w:u w:val="single"/>
        </w:rPr>
      </w:pPr>
    </w:p>
    <w:tbl>
      <w:tblPr>
        <w:tblW w:w="0" w:type="auto"/>
        <w:tblInd w:w="-106" w:type="dxa"/>
        <w:tblLook w:val="01E0" w:firstRow="1" w:lastRow="1" w:firstColumn="1" w:lastColumn="1" w:noHBand="0" w:noVBand="0"/>
      </w:tblPr>
      <w:tblGrid>
        <w:gridCol w:w="4428"/>
        <w:gridCol w:w="4428"/>
      </w:tblGrid>
      <w:tr w:rsidR="0067056F" w:rsidRPr="005F5156" w:rsidTr="00FF0E01">
        <w:tc>
          <w:tcPr>
            <w:tcW w:w="4428" w:type="dxa"/>
          </w:tcPr>
          <w:p w:rsidR="0067056F" w:rsidRPr="005F5156" w:rsidRDefault="0067056F" w:rsidP="00FF0E01">
            <w:pPr>
              <w:autoSpaceDE w:val="0"/>
              <w:autoSpaceDN w:val="0"/>
              <w:adjustRightInd w:val="0"/>
              <w:rPr>
                <w:szCs w:val="24"/>
              </w:rPr>
            </w:pPr>
            <w:r w:rsidRPr="005F5156">
              <w:rPr>
                <w:color w:val="0000FF"/>
                <w:szCs w:val="24"/>
                <w:u w:val="single"/>
              </w:rPr>
              <w:t>Thomas.mcnamee@puc.state.oh.us</w:t>
            </w:r>
          </w:p>
          <w:p w:rsidR="0067056F" w:rsidRPr="005F5156" w:rsidRDefault="0067056F" w:rsidP="00FF0E01">
            <w:pPr>
              <w:autoSpaceDE w:val="0"/>
              <w:autoSpaceDN w:val="0"/>
              <w:adjustRightInd w:val="0"/>
              <w:rPr>
                <w:szCs w:val="24"/>
              </w:rPr>
            </w:pPr>
            <w:r w:rsidRPr="005F5156">
              <w:rPr>
                <w:color w:val="0000FF"/>
                <w:szCs w:val="24"/>
                <w:u w:val="single"/>
              </w:rPr>
              <w:t>Ryan.orourke@puc.state.oh.us</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sam@mwncmh.com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fdarr@mwncmh.com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mpritchard@mwncmh.com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mhpetricoff@vorys.com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smhoward@vorys.com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meissnerjoseph@yahoo.com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msmalz@ohiopovertylaw.org</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jmaskovyak@ohiopovertylaw.org</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ejacobs@ablelaw.org</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nmorgan@lascinti.org</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mwalters@proseniors.org</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cgoodman@energymarketers.com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srantala@energymarketers.com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dboehm@BKLlawfirm.com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mkurtz@BKLlawfirm.com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jkylercohn@BKLlawfirm.com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Rocco.DAscenzo@duke-energy.com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Elizabeth.Watts@duke-energy.com</w:t>
            </w:r>
          </w:p>
          <w:p w:rsidR="0067056F" w:rsidRPr="005F5156" w:rsidRDefault="0067056F" w:rsidP="00FF0E01">
            <w:pPr>
              <w:autoSpaceDE w:val="0"/>
              <w:autoSpaceDN w:val="0"/>
              <w:adjustRightInd w:val="0"/>
              <w:rPr>
                <w:rFonts w:eastAsia="Calibri"/>
                <w:color w:val="0000FF"/>
                <w:szCs w:val="24"/>
              </w:rPr>
            </w:pPr>
            <w:r w:rsidRPr="005F5156">
              <w:rPr>
                <w:rFonts w:eastAsia="Calibri"/>
                <w:color w:val="0000FF"/>
                <w:szCs w:val="24"/>
                <w:u w:val="single"/>
              </w:rPr>
              <w:t>toddm@wamenergylaw.com</w:t>
            </w:r>
          </w:p>
          <w:p w:rsidR="0067056F" w:rsidRPr="005F5156" w:rsidRDefault="0017395A" w:rsidP="00FF0E01">
            <w:pPr>
              <w:autoSpaceDE w:val="0"/>
              <w:autoSpaceDN w:val="0"/>
              <w:adjustRightInd w:val="0"/>
              <w:rPr>
                <w:rFonts w:eastAsia="Calibri"/>
                <w:color w:val="0000FF"/>
                <w:szCs w:val="24"/>
              </w:rPr>
            </w:pPr>
            <w:hyperlink r:id="rId18" w:history="1">
              <w:r w:rsidR="003274FC" w:rsidRPr="007022F1">
                <w:rPr>
                  <w:rStyle w:val="Hyperlink"/>
                  <w:rFonts w:eastAsia="Calibri"/>
                  <w:szCs w:val="24"/>
                </w:rPr>
                <w:t>callwein@keglerbrown.com</w:t>
              </w:r>
            </w:hyperlink>
            <w:r w:rsidR="003274FC">
              <w:rPr>
                <w:rFonts w:eastAsia="Calibri"/>
                <w:szCs w:val="24"/>
              </w:rPr>
              <w:t xml:space="preserve"> </w:t>
            </w:r>
          </w:p>
          <w:p w:rsidR="0067056F" w:rsidRPr="005F5156" w:rsidRDefault="0067056F" w:rsidP="00FF0E01">
            <w:pPr>
              <w:autoSpaceDE w:val="0"/>
              <w:autoSpaceDN w:val="0"/>
              <w:adjustRightInd w:val="0"/>
              <w:rPr>
                <w:rFonts w:eastAsia="Calibri"/>
                <w:color w:val="0000FF"/>
                <w:szCs w:val="24"/>
              </w:rPr>
            </w:pPr>
            <w:r w:rsidRPr="005F5156">
              <w:rPr>
                <w:rFonts w:eastAsia="Calibri"/>
                <w:color w:val="0000FF"/>
                <w:szCs w:val="24"/>
                <w:u w:val="single"/>
              </w:rPr>
              <w:t>trent@theoec.org</w:t>
            </w:r>
          </w:p>
          <w:p w:rsidR="0067056F" w:rsidRPr="005F5156" w:rsidRDefault="0067056F" w:rsidP="00FF0E01">
            <w:pPr>
              <w:autoSpaceDE w:val="0"/>
              <w:autoSpaceDN w:val="0"/>
              <w:adjustRightInd w:val="0"/>
              <w:rPr>
                <w:rFonts w:eastAsia="Calibri"/>
                <w:color w:val="0000FF"/>
                <w:szCs w:val="24"/>
              </w:rPr>
            </w:pPr>
            <w:r w:rsidRPr="005F5156">
              <w:rPr>
                <w:rFonts w:eastAsia="Calibri"/>
                <w:color w:val="0000FF"/>
                <w:szCs w:val="24"/>
                <w:u w:val="single"/>
              </w:rPr>
              <w:t>cathy@theoec.org</w:t>
            </w:r>
          </w:p>
          <w:p w:rsidR="0067056F" w:rsidRPr="005F5156" w:rsidRDefault="0067056F" w:rsidP="00FF0E01">
            <w:pPr>
              <w:autoSpaceDE w:val="0"/>
              <w:autoSpaceDN w:val="0"/>
              <w:adjustRightInd w:val="0"/>
              <w:rPr>
                <w:rFonts w:eastAsia="Calibri"/>
                <w:color w:val="0000FF"/>
                <w:szCs w:val="24"/>
              </w:rPr>
            </w:pPr>
            <w:r w:rsidRPr="005F5156">
              <w:rPr>
                <w:rFonts w:eastAsia="Calibri"/>
                <w:color w:val="0000FF"/>
                <w:szCs w:val="24"/>
                <w:u w:val="single"/>
              </w:rPr>
              <w:t>toddm@wamenergylaw.com</w:t>
            </w:r>
          </w:p>
          <w:p w:rsidR="0067056F" w:rsidRPr="005F5156" w:rsidRDefault="0067056F" w:rsidP="00FF0E01">
            <w:pPr>
              <w:autoSpaceDE w:val="0"/>
              <w:autoSpaceDN w:val="0"/>
              <w:adjustRightInd w:val="0"/>
              <w:rPr>
                <w:rFonts w:eastAsia="Calibri"/>
                <w:color w:val="0000FF"/>
                <w:szCs w:val="24"/>
              </w:rPr>
            </w:pPr>
            <w:r w:rsidRPr="005F5156">
              <w:rPr>
                <w:rFonts w:eastAsia="Calibri"/>
                <w:color w:val="0000FF"/>
                <w:szCs w:val="24"/>
                <w:u w:val="single"/>
              </w:rPr>
              <w:t>burkj@firstenergycorp.com</w:t>
            </w:r>
          </w:p>
          <w:p w:rsidR="0067056F" w:rsidRPr="005F5156" w:rsidRDefault="0067056F" w:rsidP="00FF0E01">
            <w:pPr>
              <w:autoSpaceDE w:val="0"/>
              <w:autoSpaceDN w:val="0"/>
              <w:adjustRightInd w:val="0"/>
              <w:rPr>
                <w:rFonts w:eastAsia="Calibri"/>
                <w:color w:val="000000"/>
                <w:szCs w:val="24"/>
              </w:rPr>
            </w:pPr>
            <w:r w:rsidRPr="005F5156">
              <w:rPr>
                <w:rFonts w:eastAsia="Calibri"/>
                <w:color w:val="0000FF"/>
                <w:szCs w:val="24"/>
                <w:u w:val="single"/>
              </w:rPr>
              <w:t>cdunn@firstenergycorp.com</w:t>
            </w:r>
          </w:p>
          <w:p w:rsidR="0067056F" w:rsidRPr="005F5156" w:rsidRDefault="0067056F" w:rsidP="00FF0E01">
            <w:pPr>
              <w:autoSpaceDE w:val="0"/>
              <w:autoSpaceDN w:val="0"/>
              <w:adjustRightInd w:val="0"/>
              <w:rPr>
                <w:rFonts w:eastAsia="Calibri"/>
                <w:color w:val="0000FF"/>
                <w:szCs w:val="24"/>
              </w:rPr>
            </w:pPr>
            <w:r w:rsidRPr="005F5156">
              <w:rPr>
                <w:rFonts w:eastAsia="Calibri"/>
                <w:color w:val="0000FF"/>
                <w:szCs w:val="24"/>
                <w:u w:val="single"/>
              </w:rPr>
              <w:t>wsundermeyer@aarp.org</w:t>
            </w:r>
          </w:p>
          <w:p w:rsidR="0067056F" w:rsidRPr="005F5156" w:rsidRDefault="0067056F" w:rsidP="00FF0E01">
            <w:pPr>
              <w:autoSpaceDE w:val="0"/>
              <w:autoSpaceDN w:val="0"/>
              <w:adjustRightInd w:val="0"/>
              <w:rPr>
                <w:szCs w:val="24"/>
              </w:rPr>
            </w:pPr>
            <w:r w:rsidRPr="005F5156">
              <w:rPr>
                <w:color w:val="0000FF"/>
                <w:szCs w:val="24"/>
                <w:u w:val="single"/>
              </w:rPr>
              <w:t>mandy.willey@puc.state.oh.us</w:t>
            </w:r>
          </w:p>
          <w:p w:rsidR="0067056F" w:rsidRPr="005F5156" w:rsidRDefault="0067056F" w:rsidP="00FF0E01">
            <w:pPr>
              <w:autoSpaceDE w:val="0"/>
              <w:autoSpaceDN w:val="0"/>
              <w:adjustRightInd w:val="0"/>
              <w:rPr>
                <w:szCs w:val="24"/>
              </w:rPr>
            </w:pPr>
            <w:r w:rsidRPr="005F5156">
              <w:rPr>
                <w:color w:val="0000FF"/>
                <w:szCs w:val="24"/>
                <w:u w:val="single"/>
              </w:rPr>
              <w:t>Bryce.mckenney@puc.state.oh.us</w:t>
            </w:r>
          </w:p>
        </w:tc>
        <w:tc>
          <w:tcPr>
            <w:tcW w:w="4428" w:type="dxa"/>
            <w:hideMark/>
          </w:tcPr>
          <w:p w:rsidR="0067056F" w:rsidRPr="005F5156" w:rsidRDefault="0017395A" w:rsidP="00FF0E01">
            <w:pPr>
              <w:rPr>
                <w:szCs w:val="24"/>
              </w:rPr>
            </w:pPr>
            <w:hyperlink r:id="rId19" w:history="1">
              <w:r w:rsidR="00D841A7" w:rsidRPr="00FB38EF">
                <w:rPr>
                  <w:rStyle w:val="Hyperlink"/>
                  <w:szCs w:val="24"/>
                </w:rPr>
                <w:t>burkj@firstenergycorp.com</w:t>
              </w:r>
            </w:hyperlink>
          </w:p>
          <w:p w:rsidR="0067056F" w:rsidRPr="005F5156" w:rsidRDefault="0067056F" w:rsidP="00FF0E01">
            <w:pPr>
              <w:rPr>
                <w:szCs w:val="24"/>
              </w:rPr>
            </w:pPr>
            <w:r w:rsidRPr="005F5156">
              <w:rPr>
                <w:color w:val="0000FF"/>
                <w:szCs w:val="24"/>
                <w:u w:val="single"/>
              </w:rPr>
              <w:t>stnourse@aep.com</w:t>
            </w:r>
          </w:p>
          <w:p w:rsidR="0067056F" w:rsidRPr="005F5156" w:rsidRDefault="0067056F" w:rsidP="00FF0E01">
            <w:pPr>
              <w:rPr>
                <w:szCs w:val="24"/>
              </w:rPr>
            </w:pPr>
            <w:r w:rsidRPr="005F5156">
              <w:rPr>
                <w:color w:val="0000FF"/>
                <w:szCs w:val="24"/>
                <w:u w:val="single"/>
              </w:rPr>
              <w:t>Judi.sobecki@dplinc.com</w:t>
            </w:r>
          </w:p>
          <w:p w:rsidR="0067056F" w:rsidRPr="005F5156" w:rsidRDefault="0067056F" w:rsidP="00FF0E01">
            <w:pPr>
              <w:rPr>
                <w:szCs w:val="24"/>
              </w:rPr>
            </w:pPr>
            <w:r w:rsidRPr="005F5156">
              <w:rPr>
                <w:color w:val="0000FF"/>
                <w:szCs w:val="24"/>
                <w:u w:val="single"/>
              </w:rPr>
              <w:t>Amy.Spiller@duke-energy.com</w:t>
            </w:r>
          </w:p>
          <w:p w:rsidR="0067056F" w:rsidRPr="005F5156" w:rsidRDefault="0067056F" w:rsidP="00FF0E01">
            <w:pPr>
              <w:jc w:val="both"/>
              <w:rPr>
                <w:rFonts w:eastAsia="Calibri"/>
                <w:szCs w:val="24"/>
              </w:rPr>
            </w:pPr>
            <w:r w:rsidRPr="005F5156">
              <w:rPr>
                <w:rFonts w:eastAsia="Calibri"/>
                <w:color w:val="0000FF"/>
                <w:szCs w:val="24"/>
                <w:u w:val="single"/>
              </w:rPr>
              <w:t>gkrassen@bricker.com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mwarnock@bricker.com</w:t>
            </w:r>
          </w:p>
          <w:p w:rsidR="0067056F" w:rsidRPr="005F5156" w:rsidRDefault="0067056F" w:rsidP="00FF0E01">
            <w:pPr>
              <w:jc w:val="both"/>
              <w:rPr>
                <w:rFonts w:eastAsia="Calibri"/>
                <w:color w:val="0000FF"/>
                <w:szCs w:val="24"/>
              </w:rPr>
            </w:pPr>
            <w:r w:rsidRPr="005F5156">
              <w:rPr>
                <w:rFonts w:eastAsia="Calibri"/>
                <w:color w:val="0000FF"/>
                <w:szCs w:val="24"/>
                <w:u w:val="single"/>
              </w:rPr>
              <w:t>marmstrong@bricker.com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plee@oslsa.org</w:t>
            </w:r>
          </w:p>
          <w:p w:rsidR="0067056F" w:rsidRPr="005F5156" w:rsidRDefault="0067056F" w:rsidP="00FF0E01">
            <w:pPr>
              <w:jc w:val="both"/>
              <w:rPr>
                <w:rFonts w:eastAsia="Calibri"/>
                <w:szCs w:val="24"/>
              </w:rPr>
            </w:pPr>
            <w:r w:rsidRPr="005F5156">
              <w:rPr>
                <w:rFonts w:eastAsia="Calibri"/>
                <w:color w:val="0000FF"/>
                <w:szCs w:val="24"/>
                <w:u w:val="single"/>
              </w:rPr>
              <w:t>rjohns@oslsa.org</w:t>
            </w:r>
          </w:p>
          <w:p w:rsidR="0067056F" w:rsidRPr="005F5156" w:rsidRDefault="0067056F" w:rsidP="00FF0E01">
            <w:pPr>
              <w:jc w:val="both"/>
              <w:rPr>
                <w:rFonts w:eastAsia="Calibri"/>
                <w:szCs w:val="24"/>
              </w:rPr>
            </w:pPr>
            <w:r w:rsidRPr="005F5156">
              <w:rPr>
                <w:rFonts w:eastAsia="Calibri"/>
                <w:color w:val="0000FF"/>
                <w:szCs w:val="24"/>
                <w:u w:val="single"/>
              </w:rPr>
              <w:t>gbenjamin@communitylegalaid.org</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julie.robie@lasclev.org</w:t>
            </w:r>
          </w:p>
          <w:p w:rsidR="0067056F" w:rsidRPr="005F5156" w:rsidRDefault="0067056F" w:rsidP="00FF0E01">
            <w:pPr>
              <w:jc w:val="both"/>
              <w:rPr>
                <w:rFonts w:eastAsia="Calibri"/>
                <w:szCs w:val="24"/>
              </w:rPr>
            </w:pPr>
            <w:r w:rsidRPr="005F5156">
              <w:rPr>
                <w:rFonts w:eastAsia="Calibri"/>
                <w:color w:val="0000FF"/>
                <w:szCs w:val="24"/>
                <w:u w:val="single"/>
              </w:rPr>
              <w:t>anne.reese@lasclev.org</w:t>
            </w:r>
          </w:p>
          <w:p w:rsidR="0067056F" w:rsidRPr="005F5156" w:rsidRDefault="0067056F" w:rsidP="00FF0E01">
            <w:pPr>
              <w:jc w:val="both"/>
              <w:rPr>
                <w:rFonts w:eastAsia="Calibri"/>
                <w:szCs w:val="24"/>
              </w:rPr>
            </w:pPr>
            <w:r w:rsidRPr="005F5156">
              <w:rPr>
                <w:rFonts w:eastAsia="Calibri"/>
                <w:color w:val="0000FF"/>
                <w:szCs w:val="24"/>
                <w:u w:val="single"/>
              </w:rPr>
              <w:t>storguson@columbuslegalaid.org</w:t>
            </w:r>
          </w:p>
          <w:p w:rsidR="0067056F" w:rsidRPr="005F5156" w:rsidRDefault="0067056F" w:rsidP="00FF0E01">
            <w:pPr>
              <w:jc w:val="both"/>
              <w:rPr>
                <w:rFonts w:eastAsia="Calibri"/>
                <w:color w:val="0000FF"/>
                <w:szCs w:val="24"/>
              </w:rPr>
            </w:pPr>
            <w:r w:rsidRPr="005F5156">
              <w:rPr>
                <w:rFonts w:eastAsia="Calibri"/>
                <w:color w:val="0000FF"/>
                <w:szCs w:val="24"/>
                <w:u w:val="single"/>
              </w:rPr>
              <w:t>cmooney@ohiopartners.org</w:t>
            </w:r>
          </w:p>
          <w:p w:rsidR="0067056F" w:rsidRPr="005F5156" w:rsidRDefault="0067056F" w:rsidP="00FF0E01">
            <w:pPr>
              <w:jc w:val="both"/>
              <w:rPr>
                <w:szCs w:val="24"/>
              </w:rPr>
            </w:pPr>
            <w:r w:rsidRPr="005F5156">
              <w:rPr>
                <w:color w:val="0000FF"/>
                <w:szCs w:val="24"/>
                <w:u w:val="single"/>
              </w:rPr>
              <w:t>jkooper@hess.com</w:t>
            </w:r>
          </w:p>
          <w:p w:rsidR="0067056F" w:rsidRPr="005F5156" w:rsidRDefault="0067056F" w:rsidP="00FF0E01">
            <w:pPr>
              <w:jc w:val="both"/>
              <w:rPr>
                <w:rFonts w:eastAsia="Calibri"/>
                <w:szCs w:val="24"/>
              </w:rPr>
            </w:pPr>
            <w:r w:rsidRPr="005F5156">
              <w:rPr>
                <w:rFonts w:eastAsia="Calibri"/>
                <w:color w:val="0000FF"/>
                <w:szCs w:val="24"/>
                <w:u w:val="single"/>
              </w:rPr>
              <w:t>haydenm@firstenergycorp.com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jlang@calfee.com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lmcbride@calfee.com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talexander@calfee.com</w:t>
            </w:r>
          </w:p>
          <w:p w:rsidR="0067056F" w:rsidRPr="005F5156" w:rsidRDefault="0067056F" w:rsidP="00FF0E01">
            <w:pPr>
              <w:autoSpaceDE w:val="0"/>
              <w:autoSpaceDN w:val="0"/>
              <w:adjustRightInd w:val="0"/>
              <w:rPr>
                <w:rFonts w:eastAsia="Calibri"/>
                <w:szCs w:val="24"/>
              </w:rPr>
            </w:pPr>
            <w:r w:rsidRPr="005F5156">
              <w:rPr>
                <w:rFonts w:eastAsia="Calibri"/>
                <w:color w:val="0000FF"/>
                <w:szCs w:val="24"/>
                <w:u w:val="single"/>
              </w:rPr>
              <w:t>coneil@calfee.com</w:t>
            </w:r>
          </w:p>
          <w:p w:rsidR="0067056F" w:rsidRPr="005F5156" w:rsidRDefault="0067056F" w:rsidP="00FF0E01">
            <w:pPr>
              <w:jc w:val="both"/>
              <w:rPr>
                <w:rFonts w:eastAsia="Calibri"/>
                <w:szCs w:val="24"/>
              </w:rPr>
            </w:pPr>
            <w:r w:rsidRPr="005F5156">
              <w:rPr>
                <w:rFonts w:eastAsia="Calibri"/>
                <w:color w:val="0000FF"/>
                <w:szCs w:val="24"/>
                <w:u w:val="single"/>
              </w:rPr>
              <w:t>lsacher@calfee.com</w:t>
            </w:r>
          </w:p>
          <w:p w:rsidR="0067056F" w:rsidRPr="005F5156" w:rsidRDefault="0067056F" w:rsidP="00FF0E01">
            <w:pPr>
              <w:jc w:val="both"/>
              <w:rPr>
                <w:rFonts w:eastAsia="Calibri"/>
                <w:color w:val="0000FF"/>
                <w:szCs w:val="24"/>
              </w:rPr>
            </w:pPr>
            <w:r w:rsidRPr="005F5156">
              <w:rPr>
                <w:rFonts w:eastAsia="Calibri"/>
                <w:color w:val="0000FF"/>
                <w:szCs w:val="24"/>
                <w:u w:val="single"/>
              </w:rPr>
              <w:t>gpoulos@enernoc.com</w:t>
            </w:r>
          </w:p>
          <w:p w:rsidR="0067056F" w:rsidRPr="005F5156" w:rsidRDefault="0067056F" w:rsidP="00FF0E01">
            <w:pPr>
              <w:jc w:val="both"/>
              <w:rPr>
                <w:rFonts w:eastAsia="Calibri"/>
                <w:szCs w:val="24"/>
              </w:rPr>
            </w:pPr>
            <w:r w:rsidRPr="005F5156">
              <w:rPr>
                <w:rFonts w:eastAsia="Calibri"/>
                <w:color w:val="0000FF"/>
                <w:szCs w:val="24"/>
                <w:u w:val="single"/>
              </w:rPr>
              <w:t>NMcDaniel@elpc.org</w:t>
            </w:r>
          </w:p>
          <w:p w:rsidR="0067056F" w:rsidRPr="005F5156" w:rsidRDefault="0067056F" w:rsidP="00FF0E01">
            <w:pPr>
              <w:jc w:val="both"/>
              <w:rPr>
                <w:rFonts w:eastAsia="Calibri"/>
                <w:szCs w:val="24"/>
              </w:rPr>
            </w:pPr>
            <w:r w:rsidRPr="005F5156">
              <w:rPr>
                <w:rFonts w:eastAsia="Calibri"/>
                <w:color w:val="0000FF"/>
                <w:szCs w:val="24"/>
                <w:u w:val="single"/>
              </w:rPr>
              <w:t>BarthRoyer@aol.com</w:t>
            </w:r>
          </w:p>
          <w:p w:rsidR="0067056F" w:rsidRPr="005F5156" w:rsidRDefault="0067056F" w:rsidP="00FF0E01">
            <w:pPr>
              <w:jc w:val="both"/>
              <w:rPr>
                <w:rFonts w:eastAsia="Calibri"/>
                <w:szCs w:val="24"/>
              </w:rPr>
            </w:pPr>
            <w:r w:rsidRPr="005F5156">
              <w:rPr>
                <w:rFonts w:eastAsia="Calibri"/>
                <w:color w:val="0000FF"/>
                <w:szCs w:val="24"/>
                <w:u w:val="single"/>
              </w:rPr>
              <w:t>Gary.A.Jeffries@dom.com</w:t>
            </w:r>
          </w:p>
          <w:p w:rsidR="0067056F" w:rsidRPr="005F5156" w:rsidRDefault="0067056F" w:rsidP="00FF0E01">
            <w:pPr>
              <w:jc w:val="both"/>
              <w:rPr>
                <w:rFonts w:eastAsia="Calibri"/>
                <w:szCs w:val="24"/>
              </w:rPr>
            </w:pPr>
            <w:r w:rsidRPr="005F5156">
              <w:rPr>
                <w:rFonts w:eastAsia="Calibri"/>
                <w:color w:val="0000FF"/>
                <w:szCs w:val="24"/>
                <w:u w:val="single"/>
              </w:rPr>
              <w:t>mkl@bbrslaw.com</w:t>
            </w:r>
          </w:p>
          <w:p w:rsidR="0067056F" w:rsidRPr="005F5156" w:rsidRDefault="0067056F" w:rsidP="00FF0E01">
            <w:pPr>
              <w:jc w:val="both"/>
              <w:rPr>
                <w:rFonts w:eastAsia="Calibri"/>
                <w:szCs w:val="24"/>
              </w:rPr>
            </w:pPr>
            <w:r w:rsidRPr="005F5156">
              <w:rPr>
                <w:rFonts w:eastAsia="Calibri"/>
                <w:color w:val="0000FF"/>
                <w:szCs w:val="24"/>
                <w:u w:val="single"/>
              </w:rPr>
              <w:t>gkrassen@bricker.com</w:t>
            </w:r>
          </w:p>
          <w:p w:rsidR="0067056F" w:rsidRPr="005F5156" w:rsidRDefault="0067056F" w:rsidP="00FF0E01">
            <w:pPr>
              <w:jc w:val="both"/>
              <w:rPr>
                <w:szCs w:val="24"/>
              </w:rPr>
            </w:pPr>
            <w:r w:rsidRPr="005F5156">
              <w:rPr>
                <w:color w:val="0000FF"/>
                <w:szCs w:val="24"/>
                <w:u w:val="single"/>
              </w:rPr>
              <w:t>carlwood@uwua.net</w:t>
            </w:r>
          </w:p>
          <w:p w:rsidR="0067056F" w:rsidRPr="005F5156" w:rsidRDefault="0067056F" w:rsidP="00FF0E01">
            <w:pPr>
              <w:jc w:val="both"/>
              <w:rPr>
                <w:szCs w:val="24"/>
              </w:rPr>
            </w:pPr>
            <w:r w:rsidRPr="005F5156">
              <w:rPr>
                <w:color w:val="0000FF"/>
                <w:szCs w:val="24"/>
                <w:u w:val="single"/>
              </w:rPr>
              <w:t>markbrooks@uwua.net</w:t>
            </w:r>
          </w:p>
          <w:p w:rsidR="0067056F" w:rsidRPr="005F5156" w:rsidRDefault="0067056F" w:rsidP="00FF0E01">
            <w:pPr>
              <w:jc w:val="both"/>
              <w:rPr>
                <w:szCs w:val="24"/>
              </w:rPr>
            </w:pPr>
            <w:r w:rsidRPr="005F5156">
              <w:rPr>
                <w:color w:val="0000FF"/>
                <w:szCs w:val="24"/>
                <w:u w:val="single"/>
              </w:rPr>
              <w:t>Bojko@carpenterlipps.com</w:t>
            </w:r>
          </w:p>
          <w:p w:rsidR="0067056F" w:rsidRPr="005F5156" w:rsidRDefault="0067056F" w:rsidP="00FF0E01">
            <w:pPr>
              <w:jc w:val="both"/>
              <w:rPr>
                <w:szCs w:val="24"/>
              </w:rPr>
            </w:pPr>
            <w:r w:rsidRPr="005F5156">
              <w:rPr>
                <w:color w:val="0000FF"/>
                <w:szCs w:val="24"/>
                <w:u w:val="single"/>
              </w:rPr>
              <w:t>hussey@carpenterlipps.com</w:t>
            </w:r>
          </w:p>
        </w:tc>
      </w:tr>
    </w:tbl>
    <w:p w:rsidR="0067056F" w:rsidRDefault="0067056F" w:rsidP="003274FC"/>
    <w:sectPr w:rsidR="0067056F" w:rsidSect="00CE6618">
      <w:footerReference w:type="default" r:id="rId2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EA" w:rsidRDefault="00E067EA" w:rsidP="009D0735">
      <w:r>
        <w:separator/>
      </w:r>
    </w:p>
  </w:endnote>
  <w:endnote w:type="continuationSeparator" w:id="0">
    <w:p w:rsidR="00E067EA" w:rsidRDefault="00E067EA" w:rsidP="009D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3" w:rsidRDefault="00312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3" w:rsidRDefault="00312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3" w:rsidRDefault="00312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61425"/>
      <w:docPartObj>
        <w:docPartGallery w:val="Page Numbers (Bottom of Page)"/>
        <w:docPartUnique/>
      </w:docPartObj>
    </w:sdtPr>
    <w:sdtEndPr>
      <w:rPr>
        <w:noProof/>
      </w:rPr>
    </w:sdtEndPr>
    <w:sdtContent>
      <w:p w:rsidR="00CE6618" w:rsidRDefault="00CE6618">
        <w:pPr>
          <w:pStyle w:val="Footer"/>
          <w:jc w:val="center"/>
        </w:pPr>
        <w:r>
          <w:fldChar w:fldCharType="begin"/>
        </w:r>
        <w:r>
          <w:instrText xml:space="preserve"> PAGE   \* MERGEFORMAT </w:instrText>
        </w:r>
        <w:r>
          <w:fldChar w:fldCharType="separate"/>
        </w:r>
        <w:r w:rsidR="0017395A">
          <w:rPr>
            <w:noProof/>
          </w:rPr>
          <w:t>2</w:t>
        </w:r>
        <w:r>
          <w:rPr>
            <w:noProof/>
          </w:rPr>
          <w:fldChar w:fldCharType="end"/>
        </w:r>
      </w:p>
    </w:sdtContent>
  </w:sdt>
  <w:p w:rsidR="009F6AA7" w:rsidRPr="004567A4" w:rsidRDefault="009F6AA7" w:rsidP="004567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4105"/>
      <w:docPartObj>
        <w:docPartGallery w:val="Page Numbers (Bottom of Page)"/>
        <w:docPartUnique/>
      </w:docPartObj>
    </w:sdtPr>
    <w:sdtEndPr>
      <w:rPr>
        <w:noProof/>
      </w:rPr>
    </w:sdtEndPr>
    <w:sdtContent>
      <w:p w:rsidR="00861020" w:rsidRDefault="00861020">
        <w:pPr>
          <w:pStyle w:val="Footer"/>
          <w:jc w:val="center"/>
        </w:pPr>
        <w:r>
          <w:fldChar w:fldCharType="begin"/>
        </w:r>
        <w:r>
          <w:instrText xml:space="preserve"> PAGE   \* MERGEFORMAT </w:instrText>
        </w:r>
        <w:r>
          <w:fldChar w:fldCharType="separate"/>
        </w:r>
        <w:r w:rsidR="00C8572B">
          <w:rPr>
            <w:noProof/>
          </w:rPr>
          <w:t>8</w:t>
        </w:r>
        <w:r>
          <w:rPr>
            <w:noProof/>
          </w:rPr>
          <w:fldChar w:fldCharType="end"/>
        </w:r>
      </w:p>
    </w:sdtContent>
  </w:sdt>
  <w:p w:rsidR="00CE6618" w:rsidRPr="004567A4" w:rsidRDefault="00CE6618" w:rsidP="004567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FC" w:rsidRPr="003274FC" w:rsidRDefault="003274FC" w:rsidP="00327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EA" w:rsidRDefault="00E067EA" w:rsidP="009D0735">
      <w:r>
        <w:separator/>
      </w:r>
    </w:p>
  </w:footnote>
  <w:footnote w:type="continuationSeparator" w:id="0">
    <w:p w:rsidR="00E067EA" w:rsidRDefault="00E067EA" w:rsidP="009D0735">
      <w:r>
        <w:continuationSeparator/>
      </w:r>
    </w:p>
  </w:footnote>
  <w:footnote w:id="1">
    <w:p w:rsidR="00B156AA" w:rsidRPr="00FB7501" w:rsidRDefault="00B156AA" w:rsidP="00B156AA">
      <w:pPr>
        <w:pStyle w:val="FootnoteText"/>
      </w:pPr>
      <w:r w:rsidRPr="00FB7501">
        <w:rPr>
          <w:rStyle w:val="FootnoteReference"/>
        </w:rPr>
        <w:footnoteRef/>
      </w:r>
      <w:r w:rsidRPr="00FB7501">
        <w:t xml:space="preserve"> Seamless moves involve the capability for customers to have their existing CRES contract (with consent from the supplier) relocated from one service address to another during a move.  The Electric Distribution Utility (“EDU”) coordinates the supplier and customer to facilitate the seamless move.  </w:t>
      </w:r>
    </w:p>
  </w:footnote>
  <w:footnote w:id="2">
    <w:p w:rsidR="00B156AA" w:rsidRPr="00FB7501" w:rsidRDefault="00B156AA" w:rsidP="00B156AA">
      <w:pPr>
        <w:pStyle w:val="FootnoteText"/>
      </w:pPr>
      <w:r w:rsidRPr="00FB7501">
        <w:rPr>
          <w:rStyle w:val="FootnoteReference"/>
        </w:rPr>
        <w:footnoteRef/>
      </w:r>
      <w:r w:rsidRPr="00FB7501">
        <w:t xml:space="preserve"> Contract portability involves specific terms and conditions within a contract that enables CRES providers to relocate the supply of electricity from one address to another without affirmative customer consent.</w:t>
      </w:r>
    </w:p>
  </w:footnote>
  <w:footnote w:id="3">
    <w:p w:rsidR="00B156AA" w:rsidRPr="00FB7501" w:rsidRDefault="00B156AA" w:rsidP="00B156AA">
      <w:pPr>
        <w:pStyle w:val="FootnoteText"/>
      </w:pPr>
      <w:r w:rsidRPr="00FB7501">
        <w:rPr>
          <w:rStyle w:val="FootnoteReference"/>
        </w:rPr>
        <w:footnoteRef/>
      </w:r>
      <w:r w:rsidRPr="00FB7501">
        <w:t xml:space="preserve"> Instant connect allows the capability for CRES to provide for the supply of electricity on the same day that distribution service is initiated by an EDU.  </w:t>
      </w:r>
    </w:p>
  </w:footnote>
  <w:footnote w:id="4">
    <w:p w:rsidR="00FF0E01" w:rsidRPr="00FB7501" w:rsidRDefault="00FF0E01" w:rsidP="00B156AA">
      <w:pPr>
        <w:rPr>
          <w:sz w:val="20"/>
        </w:rPr>
      </w:pPr>
      <w:r w:rsidRPr="00FB7501">
        <w:rPr>
          <w:rStyle w:val="FootnoteReference"/>
          <w:sz w:val="20"/>
        </w:rPr>
        <w:footnoteRef/>
      </w:r>
      <w:r w:rsidR="00B23489" w:rsidRPr="00FB7501">
        <w:rPr>
          <w:sz w:val="20"/>
        </w:rPr>
        <w:t xml:space="preserve"> </w:t>
      </w:r>
      <w:r w:rsidR="00B156AA" w:rsidRPr="00FB7501">
        <w:rPr>
          <w:sz w:val="20"/>
        </w:rPr>
        <w:t xml:space="preserve">A warm transfer means that EDUs would be required to extend an invitation to shopping customers who contact them to transfer distribution service to warm transfer the caller to their existing supplier to discuss the CRES terms and conditions at their new address.  </w:t>
      </w:r>
      <w:r w:rsidR="00B156AA" w:rsidRPr="00FB7501">
        <w:rPr>
          <w:i/>
          <w:sz w:val="20"/>
        </w:rPr>
        <w:t xml:space="preserve">See generally </w:t>
      </w:r>
      <w:r w:rsidRPr="00FB7501">
        <w:rPr>
          <w:sz w:val="20"/>
        </w:rPr>
        <w:t>12-3151-EL-COI, Finding and Order (March 26, 2014) at 23</w:t>
      </w:r>
      <w:r w:rsidR="00B156AA" w:rsidRPr="00FB7501">
        <w:rPr>
          <w:sz w:val="20"/>
        </w:rPr>
        <w:t>.</w:t>
      </w:r>
    </w:p>
    <w:p w:rsidR="00B23489" w:rsidRPr="00FB7501" w:rsidRDefault="00B23489" w:rsidP="00B23489">
      <w:pPr>
        <w:rPr>
          <w:sz w:val="20"/>
        </w:rPr>
      </w:pPr>
    </w:p>
  </w:footnote>
  <w:footnote w:id="5">
    <w:p w:rsidR="001351AE" w:rsidRPr="00FB7501" w:rsidRDefault="001351AE">
      <w:pPr>
        <w:pStyle w:val="FootnoteText"/>
      </w:pPr>
      <w:r w:rsidRPr="00FB7501">
        <w:rPr>
          <w:rStyle w:val="FootnoteReference"/>
        </w:rPr>
        <w:footnoteRef/>
      </w:r>
      <w:r w:rsidRPr="00FB7501">
        <w:t xml:space="preserve"> Comm</w:t>
      </w:r>
      <w:r w:rsidR="00B156AA" w:rsidRPr="00FB7501">
        <w:t xml:space="preserve">ents of Duke Energy Ohio at 3; </w:t>
      </w:r>
      <w:r w:rsidRPr="00FB7501">
        <w:t xml:space="preserve">Comments of the Ohio Consumers’ Counsel at 5. </w:t>
      </w:r>
    </w:p>
  </w:footnote>
  <w:footnote w:id="6">
    <w:p w:rsidR="001351AE" w:rsidRPr="00FB7501" w:rsidRDefault="001351AE">
      <w:pPr>
        <w:pStyle w:val="FootnoteText"/>
      </w:pPr>
      <w:r w:rsidRPr="00FB7501">
        <w:rPr>
          <w:rStyle w:val="FootnoteReference"/>
        </w:rPr>
        <w:footnoteRef/>
      </w:r>
      <w:r w:rsidRPr="00FB7501">
        <w:t xml:space="preserve"> OCC Comments at 6.</w:t>
      </w:r>
    </w:p>
  </w:footnote>
  <w:footnote w:id="7">
    <w:p w:rsidR="001351AE" w:rsidRPr="00FB7501" w:rsidRDefault="001351AE">
      <w:pPr>
        <w:pStyle w:val="FootnoteText"/>
      </w:pPr>
      <w:r w:rsidRPr="00FB7501">
        <w:rPr>
          <w:rStyle w:val="FootnoteReference"/>
        </w:rPr>
        <w:footnoteRef/>
      </w:r>
      <w:r w:rsidRPr="00FB7501">
        <w:t xml:space="preserve"> </w:t>
      </w:r>
      <w:r w:rsidR="003D6E2B" w:rsidRPr="00FB7501">
        <w:rPr>
          <w:i/>
        </w:rPr>
        <w:t xml:space="preserve">See, e.g., </w:t>
      </w:r>
      <w:r w:rsidRPr="00FB7501">
        <w:t xml:space="preserve">IGS </w:t>
      </w:r>
      <w:r w:rsidR="003D6E2B" w:rsidRPr="00FB7501">
        <w:t xml:space="preserve">Comments </w:t>
      </w:r>
      <w:r w:rsidRPr="00FB7501">
        <w:t xml:space="preserve">at 2. </w:t>
      </w:r>
    </w:p>
  </w:footnote>
  <w:footnote w:id="8">
    <w:p w:rsidR="001351AE" w:rsidRPr="00FB7501" w:rsidRDefault="001351AE">
      <w:pPr>
        <w:pStyle w:val="FootnoteText"/>
      </w:pPr>
      <w:r w:rsidRPr="00FB7501">
        <w:rPr>
          <w:rStyle w:val="FootnoteReference"/>
        </w:rPr>
        <w:footnoteRef/>
      </w:r>
      <w:r w:rsidRPr="00FB7501">
        <w:t xml:space="preserve"> </w:t>
      </w:r>
      <w:r w:rsidR="003D6E2B" w:rsidRPr="00FB7501">
        <w:rPr>
          <w:i/>
        </w:rPr>
        <w:t xml:space="preserve">See </w:t>
      </w:r>
      <w:r w:rsidR="003D6E2B" w:rsidRPr="00FB7501">
        <w:t>EDU Comments.</w:t>
      </w:r>
    </w:p>
  </w:footnote>
  <w:footnote w:id="9">
    <w:p w:rsidR="00FF0E01" w:rsidRPr="00FB7501" w:rsidRDefault="00FF0E01">
      <w:pPr>
        <w:pStyle w:val="FootnoteText"/>
      </w:pPr>
      <w:r w:rsidRPr="00FB7501">
        <w:rPr>
          <w:rStyle w:val="FootnoteReference"/>
        </w:rPr>
        <w:footnoteRef/>
      </w:r>
      <w:r w:rsidRPr="00FB7501">
        <w:t xml:space="preserve"> DP&amp;L </w:t>
      </w:r>
      <w:r w:rsidR="001351AE" w:rsidRPr="00FB7501">
        <w:t xml:space="preserve">Comments </w:t>
      </w:r>
      <w:r w:rsidRPr="00FB7501">
        <w:t>at</w:t>
      </w:r>
      <w:r w:rsidR="001351AE" w:rsidRPr="00FB7501">
        <w:t xml:space="preserve"> 5.</w:t>
      </w:r>
      <w:r w:rsidRPr="00FB7501">
        <w:t xml:space="preserve"> </w:t>
      </w:r>
    </w:p>
  </w:footnote>
  <w:footnote w:id="10">
    <w:p w:rsidR="00FF0E01" w:rsidRPr="00FB7501" w:rsidRDefault="00FF0E01">
      <w:pPr>
        <w:pStyle w:val="FootnoteText"/>
      </w:pPr>
      <w:r w:rsidRPr="00FB7501">
        <w:rPr>
          <w:rStyle w:val="FootnoteReference"/>
        </w:rPr>
        <w:footnoteRef/>
      </w:r>
      <w:r w:rsidRPr="00FB7501">
        <w:t xml:space="preserve"> First Energy </w:t>
      </w:r>
      <w:r w:rsidR="003D6E2B" w:rsidRPr="00FB7501">
        <w:t xml:space="preserve">Comments </w:t>
      </w:r>
      <w:r w:rsidRPr="00FB7501">
        <w:t xml:space="preserve">at </w:t>
      </w:r>
      <w:r w:rsidR="001351AE" w:rsidRPr="00FB7501">
        <w:t>8.</w:t>
      </w:r>
    </w:p>
  </w:footnote>
  <w:footnote w:id="11">
    <w:p w:rsidR="00FF0E01" w:rsidRPr="00FB7501" w:rsidRDefault="00FF0E01">
      <w:pPr>
        <w:pStyle w:val="FootnoteText"/>
      </w:pPr>
      <w:r w:rsidRPr="00FB7501">
        <w:rPr>
          <w:rStyle w:val="FootnoteReference"/>
        </w:rPr>
        <w:footnoteRef/>
      </w:r>
      <w:r w:rsidRPr="00FB7501">
        <w:t xml:space="preserve"> AEP Ohio </w:t>
      </w:r>
      <w:r w:rsidR="003D6E2B" w:rsidRPr="00FB7501">
        <w:t xml:space="preserve">Comments </w:t>
      </w:r>
      <w:r w:rsidRPr="00FB7501">
        <w:t xml:space="preserve">at </w:t>
      </w:r>
      <w:r w:rsidR="001351AE" w:rsidRPr="00FB7501">
        <w:t>4</w:t>
      </w:r>
      <w:r w:rsidR="003D6E2B" w:rsidRPr="00FB7501">
        <w:t>.</w:t>
      </w:r>
    </w:p>
  </w:footnote>
  <w:footnote w:id="12">
    <w:p w:rsidR="00FF0E01" w:rsidRPr="00FB7501" w:rsidRDefault="00FF0E01" w:rsidP="000756EA">
      <w:pPr>
        <w:pStyle w:val="FootnoteText"/>
      </w:pPr>
      <w:r w:rsidRPr="00FB7501">
        <w:rPr>
          <w:rStyle w:val="FootnoteReference"/>
        </w:rPr>
        <w:footnoteRef/>
      </w:r>
      <w:r w:rsidRPr="00FB7501">
        <w:t xml:space="preserve"> Staff Report at 15.</w:t>
      </w:r>
      <w:r w:rsidR="00EB16DC">
        <w:t xml:space="preserve">  It is also noteworthy that in the FirstEnergy ESP IV Case, Case No. 14-1297-EL-SSO, IGS has entered into a side agreement with FirstEnergy that provides for</w:t>
      </w:r>
      <w:r w:rsidR="00A404D4">
        <w:t xml:space="preserve"> a filing intended </w:t>
      </w:r>
      <w:r w:rsidR="00C8572B">
        <w:t>to implement</w:t>
      </w:r>
      <w:r w:rsidR="00EB16DC">
        <w:t xml:space="preserve"> a warm transfer process.  This side agreement circumvents the PUCO’s MDWG review process.</w:t>
      </w:r>
    </w:p>
  </w:footnote>
  <w:footnote w:id="13">
    <w:p w:rsidR="001351AE" w:rsidRPr="00FB7501" w:rsidRDefault="001351AE">
      <w:pPr>
        <w:pStyle w:val="FootnoteText"/>
      </w:pPr>
      <w:r w:rsidRPr="00FB7501">
        <w:rPr>
          <w:rStyle w:val="FootnoteReference"/>
        </w:rPr>
        <w:footnoteRef/>
      </w:r>
      <w:r w:rsidR="003D6E2B" w:rsidRPr="00FB7501">
        <w:t xml:space="preserve"> IGS Comments at 4; </w:t>
      </w:r>
      <w:r w:rsidRPr="00FB7501">
        <w:t>RESA Comments at 2.</w:t>
      </w:r>
    </w:p>
  </w:footnote>
  <w:footnote w:id="14">
    <w:p w:rsidR="001351AE" w:rsidRPr="00FB7501" w:rsidRDefault="001351AE">
      <w:pPr>
        <w:pStyle w:val="FootnoteText"/>
      </w:pPr>
      <w:r w:rsidRPr="00FB7501">
        <w:rPr>
          <w:rStyle w:val="FootnoteReference"/>
        </w:rPr>
        <w:footnoteRef/>
      </w:r>
      <w:r w:rsidRPr="00FB7501">
        <w:t xml:space="preserve"> IGS Comments at 2.</w:t>
      </w:r>
    </w:p>
  </w:footnote>
  <w:footnote w:id="15">
    <w:p w:rsidR="00FF0E01" w:rsidRPr="00FB7501" w:rsidRDefault="00FF0E01" w:rsidP="00AD32AF">
      <w:pPr>
        <w:pStyle w:val="FootnoteText"/>
      </w:pPr>
      <w:r w:rsidRPr="00FB7501">
        <w:rPr>
          <w:rStyle w:val="FootnoteReference"/>
        </w:rPr>
        <w:footnoteRef/>
      </w:r>
      <w:r w:rsidRPr="00FB7501">
        <w:t xml:space="preserve"> Case 12-3151-EL-COI, OCC Comments on PUCO Staff’s Market Development Work Plan, (February 6, 2014) at 27-32.</w:t>
      </w:r>
    </w:p>
  </w:footnote>
  <w:footnote w:id="16">
    <w:p w:rsidR="00641465" w:rsidRPr="00FB7501" w:rsidRDefault="00641465">
      <w:pPr>
        <w:pStyle w:val="FootnoteText"/>
      </w:pPr>
      <w:r w:rsidRPr="00FB7501">
        <w:rPr>
          <w:rStyle w:val="FootnoteReference"/>
        </w:rPr>
        <w:footnoteRef/>
      </w:r>
      <w:r w:rsidR="00C67E65" w:rsidRPr="00FB7501">
        <w:t xml:space="preserve"> RESA Comments at 2; </w:t>
      </w:r>
      <w:r w:rsidRPr="00FB7501">
        <w:t>IGS Comments at 1.</w:t>
      </w:r>
    </w:p>
  </w:footnote>
  <w:footnote w:id="17">
    <w:p w:rsidR="00641465" w:rsidRPr="00FB7501" w:rsidRDefault="00641465">
      <w:pPr>
        <w:pStyle w:val="FootnoteText"/>
      </w:pPr>
      <w:r w:rsidRPr="00FB7501">
        <w:rPr>
          <w:rStyle w:val="FootnoteReference"/>
        </w:rPr>
        <w:footnoteRef/>
      </w:r>
      <w:r w:rsidRPr="00FB7501">
        <w:t xml:space="preserve"> RESA Comments at 2-3.</w:t>
      </w:r>
    </w:p>
  </w:footnote>
  <w:footnote w:id="18">
    <w:p w:rsidR="00641465" w:rsidRPr="00FB7501" w:rsidRDefault="00641465">
      <w:pPr>
        <w:pStyle w:val="FootnoteText"/>
      </w:pPr>
      <w:r w:rsidRPr="00FB7501">
        <w:rPr>
          <w:rStyle w:val="FootnoteReference"/>
        </w:rPr>
        <w:footnoteRef/>
      </w:r>
      <w:r w:rsidRPr="00FB7501">
        <w:t xml:space="preserve"> Ohio Revised Code 4928.02(B) and (C).</w:t>
      </w:r>
    </w:p>
  </w:footnote>
  <w:footnote w:id="19">
    <w:p w:rsidR="00641465" w:rsidRPr="00FB7501" w:rsidRDefault="00641465">
      <w:pPr>
        <w:pStyle w:val="FootnoteText"/>
      </w:pPr>
      <w:r w:rsidRPr="00FB7501">
        <w:rPr>
          <w:rStyle w:val="FootnoteReference"/>
        </w:rPr>
        <w:footnoteRef/>
      </w:r>
      <w:r w:rsidRPr="00FB7501">
        <w:t xml:space="preserve"> OCC Comments at 5.</w:t>
      </w:r>
    </w:p>
  </w:footnote>
  <w:footnote w:id="20">
    <w:p w:rsidR="00641465" w:rsidRPr="00FB7501" w:rsidRDefault="00641465">
      <w:pPr>
        <w:pStyle w:val="FootnoteText"/>
      </w:pPr>
      <w:r w:rsidRPr="00FB7501">
        <w:rPr>
          <w:rStyle w:val="FootnoteReference"/>
        </w:rPr>
        <w:footnoteRef/>
      </w:r>
      <w:r w:rsidRPr="00FB7501">
        <w:t xml:space="preserve"> </w:t>
      </w:r>
      <w:r w:rsidRPr="00FB7501">
        <w:rPr>
          <w:i/>
        </w:rPr>
        <w:t>Id</w:t>
      </w:r>
      <w:r w:rsidRPr="00FB7501">
        <w:t>.</w:t>
      </w:r>
    </w:p>
  </w:footnote>
  <w:footnote w:id="21">
    <w:p w:rsidR="00641465" w:rsidRPr="00FB7501" w:rsidRDefault="00641465">
      <w:pPr>
        <w:pStyle w:val="FootnoteText"/>
      </w:pPr>
      <w:r w:rsidRPr="00FB7501">
        <w:rPr>
          <w:rStyle w:val="FootnoteReference"/>
        </w:rPr>
        <w:footnoteRef/>
      </w:r>
      <w:r w:rsidRPr="00FB7501">
        <w:t xml:space="preserve"> OCC Comments at 6</w:t>
      </w:r>
      <w:r w:rsidR="00B23489" w:rsidRPr="00FB750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3" w:rsidRDefault="00312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3" w:rsidRDefault="00312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3" w:rsidRDefault="00312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05E0254"/>
    <w:lvl w:ilvl="0">
      <w:start w:val="1"/>
      <w:numFmt w:val="decimal"/>
      <w:lvlText w:val="%1."/>
      <w:lvlJc w:val="left"/>
      <w:pPr>
        <w:tabs>
          <w:tab w:val="num" w:pos="1080"/>
        </w:tabs>
        <w:ind w:left="1080" w:hanging="360"/>
      </w:pPr>
    </w:lvl>
  </w:abstractNum>
  <w:abstractNum w:abstractNumId="1">
    <w:nsid w:val="FFFFFF7F"/>
    <w:multiLevelType w:val="singleLevel"/>
    <w:tmpl w:val="3FB8E60E"/>
    <w:lvl w:ilvl="0">
      <w:start w:val="1"/>
      <w:numFmt w:val="decimal"/>
      <w:lvlText w:val="%1."/>
      <w:lvlJc w:val="left"/>
      <w:pPr>
        <w:tabs>
          <w:tab w:val="num" w:pos="720"/>
        </w:tabs>
        <w:ind w:left="720" w:hanging="360"/>
      </w:pPr>
    </w:lvl>
  </w:abstractNum>
  <w:abstractNum w:abstractNumId="2">
    <w:nsid w:val="FFFFFF80"/>
    <w:multiLevelType w:val="singleLevel"/>
    <w:tmpl w:val="3DE27D98"/>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D6C853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14541C8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59CA0B5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D674A7B4"/>
    <w:lvl w:ilvl="0">
      <w:start w:val="1"/>
      <w:numFmt w:val="decimal"/>
      <w:lvlText w:val="%1."/>
      <w:lvlJc w:val="left"/>
      <w:pPr>
        <w:tabs>
          <w:tab w:val="num" w:pos="360"/>
        </w:tabs>
        <w:ind w:left="360" w:hanging="360"/>
      </w:pPr>
    </w:lvl>
  </w:abstractNum>
  <w:abstractNum w:abstractNumId="7">
    <w:nsid w:val="FFFFFF89"/>
    <w:multiLevelType w:val="singleLevel"/>
    <w:tmpl w:val="E7DC6132"/>
    <w:lvl w:ilvl="0">
      <w:start w:val="1"/>
      <w:numFmt w:val="bullet"/>
      <w:lvlText w:val=""/>
      <w:lvlJc w:val="left"/>
      <w:pPr>
        <w:tabs>
          <w:tab w:val="num" w:pos="360"/>
        </w:tabs>
        <w:ind w:left="360" w:hanging="360"/>
      </w:pPr>
      <w:rPr>
        <w:rFonts w:ascii="Symbol" w:hAnsi="Symbol" w:hint="default"/>
      </w:rPr>
    </w:lvl>
  </w:abstractNum>
  <w:abstractNum w:abstractNumId="8">
    <w:nsid w:val="09C86CBC"/>
    <w:multiLevelType w:val="hybridMultilevel"/>
    <w:tmpl w:val="A5006806"/>
    <w:lvl w:ilvl="0" w:tplc="B0122E68">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nsid w:val="0F1078B6"/>
    <w:multiLevelType w:val="hybridMultilevel"/>
    <w:tmpl w:val="C23E80E4"/>
    <w:lvl w:ilvl="0" w:tplc="4DB0B262">
      <w:start w:val="1"/>
      <w:numFmt w:val="upperRoman"/>
      <w:pStyle w:val="Heading1"/>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069EC"/>
    <w:multiLevelType w:val="hybridMultilevel"/>
    <w:tmpl w:val="A5006806"/>
    <w:lvl w:ilvl="0" w:tplc="B0122E68">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B7094C"/>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55F498F"/>
    <w:multiLevelType w:val="hybridMultilevel"/>
    <w:tmpl w:val="6F1AB410"/>
    <w:lvl w:ilvl="0" w:tplc="21B20162">
      <w:start w:val="1"/>
      <w:numFmt w:val="upperRoman"/>
      <w:lvlText w:val="%1."/>
      <w:lvlJc w:val="left"/>
      <w:pPr>
        <w:ind w:left="1080" w:hanging="72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17977"/>
    <w:multiLevelType w:val="hybridMultilevel"/>
    <w:tmpl w:val="E6A28F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BEA1F0E"/>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4034E8A"/>
    <w:multiLevelType w:val="hybridMultilevel"/>
    <w:tmpl w:val="BDB4203C"/>
    <w:lvl w:ilvl="0" w:tplc="40F0C38E">
      <w:start w:val="1"/>
      <w:numFmt w:val="upperRoman"/>
      <w:lvlText w:val="%1."/>
      <w:lvlJc w:val="left"/>
      <w:pPr>
        <w:ind w:left="720" w:hanging="72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3249C7"/>
    <w:multiLevelType w:val="hybridMultilevel"/>
    <w:tmpl w:val="928457FA"/>
    <w:lvl w:ilvl="0" w:tplc="6B1C784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1"/>
  </w:num>
  <w:num w:numId="4">
    <w:abstractNumId w:val="14"/>
  </w:num>
  <w:num w:numId="5">
    <w:abstractNumId w:val="10"/>
  </w:num>
  <w:num w:numId="6">
    <w:abstractNumId w:val="8"/>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7056F"/>
    <w:rsid w:val="00007C7C"/>
    <w:rsid w:val="000130E9"/>
    <w:rsid w:val="00021F5E"/>
    <w:rsid w:val="00026812"/>
    <w:rsid w:val="00040685"/>
    <w:rsid w:val="00061C02"/>
    <w:rsid w:val="000646CF"/>
    <w:rsid w:val="0007089F"/>
    <w:rsid w:val="000756EA"/>
    <w:rsid w:val="000A5043"/>
    <w:rsid w:val="000A6C87"/>
    <w:rsid w:val="000E64D1"/>
    <w:rsid w:val="000F342F"/>
    <w:rsid w:val="00113B18"/>
    <w:rsid w:val="00125ABA"/>
    <w:rsid w:val="00126129"/>
    <w:rsid w:val="001351AE"/>
    <w:rsid w:val="00137AD2"/>
    <w:rsid w:val="00142125"/>
    <w:rsid w:val="0017395A"/>
    <w:rsid w:val="00175F00"/>
    <w:rsid w:val="001919F0"/>
    <w:rsid w:val="001A77A0"/>
    <w:rsid w:val="001B3EA1"/>
    <w:rsid w:val="001B7B8C"/>
    <w:rsid w:val="001D6951"/>
    <w:rsid w:val="001E3B56"/>
    <w:rsid w:val="001E3BD4"/>
    <w:rsid w:val="001E4C77"/>
    <w:rsid w:val="002134BF"/>
    <w:rsid w:val="00242833"/>
    <w:rsid w:val="002507E1"/>
    <w:rsid w:val="00252067"/>
    <w:rsid w:val="0025699F"/>
    <w:rsid w:val="002638B2"/>
    <w:rsid w:val="00290F10"/>
    <w:rsid w:val="00292741"/>
    <w:rsid w:val="002A69F1"/>
    <w:rsid w:val="002A6A8F"/>
    <w:rsid w:val="002B1579"/>
    <w:rsid w:val="002B4310"/>
    <w:rsid w:val="002B6801"/>
    <w:rsid w:val="002E5D13"/>
    <w:rsid w:val="002F0200"/>
    <w:rsid w:val="002F2661"/>
    <w:rsid w:val="002F6200"/>
    <w:rsid w:val="002F6D6C"/>
    <w:rsid w:val="00303D3E"/>
    <w:rsid w:val="00312DE3"/>
    <w:rsid w:val="00316073"/>
    <w:rsid w:val="0032162E"/>
    <w:rsid w:val="00324ABE"/>
    <w:rsid w:val="003274FC"/>
    <w:rsid w:val="003366CC"/>
    <w:rsid w:val="0034454A"/>
    <w:rsid w:val="00345A97"/>
    <w:rsid w:val="00351B48"/>
    <w:rsid w:val="00360D9B"/>
    <w:rsid w:val="003674F4"/>
    <w:rsid w:val="00370FA3"/>
    <w:rsid w:val="00377A19"/>
    <w:rsid w:val="003B67F6"/>
    <w:rsid w:val="003B7BC7"/>
    <w:rsid w:val="003D6E2B"/>
    <w:rsid w:val="00405299"/>
    <w:rsid w:val="00411B25"/>
    <w:rsid w:val="004152C8"/>
    <w:rsid w:val="00417DEC"/>
    <w:rsid w:val="0044507B"/>
    <w:rsid w:val="00445A47"/>
    <w:rsid w:val="00451CE7"/>
    <w:rsid w:val="00453CC2"/>
    <w:rsid w:val="004567A4"/>
    <w:rsid w:val="00463864"/>
    <w:rsid w:val="004661A3"/>
    <w:rsid w:val="00474EA7"/>
    <w:rsid w:val="004C5BE7"/>
    <w:rsid w:val="004C6E7C"/>
    <w:rsid w:val="004D6A9C"/>
    <w:rsid w:val="004E0EDE"/>
    <w:rsid w:val="00506D89"/>
    <w:rsid w:val="0051585B"/>
    <w:rsid w:val="005260EB"/>
    <w:rsid w:val="005372A4"/>
    <w:rsid w:val="0054466C"/>
    <w:rsid w:val="005506E3"/>
    <w:rsid w:val="00557AB3"/>
    <w:rsid w:val="00576649"/>
    <w:rsid w:val="005840D1"/>
    <w:rsid w:val="00591F7C"/>
    <w:rsid w:val="00593691"/>
    <w:rsid w:val="00595A4C"/>
    <w:rsid w:val="005A34FD"/>
    <w:rsid w:val="005C1DD6"/>
    <w:rsid w:val="005D02F1"/>
    <w:rsid w:val="005D4DDB"/>
    <w:rsid w:val="005E0D23"/>
    <w:rsid w:val="005E5502"/>
    <w:rsid w:val="005F0323"/>
    <w:rsid w:val="005F0DA1"/>
    <w:rsid w:val="006144D5"/>
    <w:rsid w:val="00622955"/>
    <w:rsid w:val="00623BCA"/>
    <w:rsid w:val="00627C5C"/>
    <w:rsid w:val="006338F8"/>
    <w:rsid w:val="00641465"/>
    <w:rsid w:val="006602A2"/>
    <w:rsid w:val="006607E6"/>
    <w:rsid w:val="0067056F"/>
    <w:rsid w:val="00683542"/>
    <w:rsid w:val="006A4E07"/>
    <w:rsid w:val="006A5751"/>
    <w:rsid w:val="006E2753"/>
    <w:rsid w:val="006E3088"/>
    <w:rsid w:val="006E61D4"/>
    <w:rsid w:val="006F677C"/>
    <w:rsid w:val="00711BB9"/>
    <w:rsid w:val="007225A5"/>
    <w:rsid w:val="00733787"/>
    <w:rsid w:val="00752218"/>
    <w:rsid w:val="00753800"/>
    <w:rsid w:val="007561FC"/>
    <w:rsid w:val="00770F34"/>
    <w:rsid w:val="0077207B"/>
    <w:rsid w:val="007856B7"/>
    <w:rsid w:val="007A2A30"/>
    <w:rsid w:val="007A3111"/>
    <w:rsid w:val="007A3822"/>
    <w:rsid w:val="007A5863"/>
    <w:rsid w:val="007B71D1"/>
    <w:rsid w:val="007C2376"/>
    <w:rsid w:val="007F506E"/>
    <w:rsid w:val="00805323"/>
    <w:rsid w:val="00813621"/>
    <w:rsid w:val="008307DF"/>
    <w:rsid w:val="00832F36"/>
    <w:rsid w:val="00834B9A"/>
    <w:rsid w:val="00851BA7"/>
    <w:rsid w:val="00851F78"/>
    <w:rsid w:val="008521C8"/>
    <w:rsid w:val="00861020"/>
    <w:rsid w:val="008615BA"/>
    <w:rsid w:val="00863975"/>
    <w:rsid w:val="00912D7C"/>
    <w:rsid w:val="00913B9D"/>
    <w:rsid w:val="0092578E"/>
    <w:rsid w:val="00965F51"/>
    <w:rsid w:val="00967AE6"/>
    <w:rsid w:val="00981EA5"/>
    <w:rsid w:val="0098579F"/>
    <w:rsid w:val="009A6571"/>
    <w:rsid w:val="009A7883"/>
    <w:rsid w:val="009B72CE"/>
    <w:rsid w:val="009C1AF6"/>
    <w:rsid w:val="009C26D4"/>
    <w:rsid w:val="009C4EEA"/>
    <w:rsid w:val="009D0735"/>
    <w:rsid w:val="009D135A"/>
    <w:rsid w:val="009D1B45"/>
    <w:rsid w:val="009E01A8"/>
    <w:rsid w:val="009E0A06"/>
    <w:rsid w:val="009E0C7B"/>
    <w:rsid w:val="009F3E24"/>
    <w:rsid w:val="009F6AA7"/>
    <w:rsid w:val="00A03A7F"/>
    <w:rsid w:val="00A10DEB"/>
    <w:rsid w:val="00A203DC"/>
    <w:rsid w:val="00A2627D"/>
    <w:rsid w:val="00A275F2"/>
    <w:rsid w:val="00A3014A"/>
    <w:rsid w:val="00A370F4"/>
    <w:rsid w:val="00A375DE"/>
    <w:rsid w:val="00A404D4"/>
    <w:rsid w:val="00A41CDC"/>
    <w:rsid w:val="00A47689"/>
    <w:rsid w:val="00A83FAA"/>
    <w:rsid w:val="00A90B98"/>
    <w:rsid w:val="00AB2ACA"/>
    <w:rsid w:val="00AD32AF"/>
    <w:rsid w:val="00AE57AB"/>
    <w:rsid w:val="00AF39EC"/>
    <w:rsid w:val="00AF3A56"/>
    <w:rsid w:val="00AF56F8"/>
    <w:rsid w:val="00B04052"/>
    <w:rsid w:val="00B06F1F"/>
    <w:rsid w:val="00B156AA"/>
    <w:rsid w:val="00B23489"/>
    <w:rsid w:val="00B23520"/>
    <w:rsid w:val="00B4604E"/>
    <w:rsid w:val="00B5010B"/>
    <w:rsid w:val="00B55AA9"/>
    <w:rsid w:val="00B805D9"/>
    <w:rsid w:val="00B90F4A"/>
    <w:rsid w:val="00BC77FE"/>
    <w:rsid w:val="00BD6DF4"/>
    <w:rsid w:val="00BF057B"/>
    <w:rsid w:val="00C27320"/>
    <w:rsid w:val="00C33920"/>
    <w:rsid w:val="00C5620E"/>
    <w:rsid w:val="00C67E65"/>
    <w:rsid w:val="00C71017"/>
    <w:rsid w:val="00C7152C"/>
    <w:rsid w:val="00C7624D"/>
    <w:rsid w:val="00C8572B"/>
    <w:rsid w:val="00C919D2"/>
    <w:rsid w:val="00C935E2"/>
    <w:rsid w:val="00C93A3B"/>
    <w:rsid w:val="00CC6F3A"/>
    <w:rsid w:val="00CE6618"/>
    <w:rsid w:val="00D023B3"/>
    <w:rsid w:val="00D06BE7"/>
    <w:rsid w:val="00D06D17"/>
    <w:rsid w:val="00D2190E"/>
    <w:rsid w:val="00D333C1"/>
    <w:rsid w:val="00D41ADD"/>
    <w:rsid w:val="00D47E2E"/>
    <w:rsid w:val="00D705F1"/>
    <w:rsid w:val="00D7482E"/>
    <w:rsid w:val="00D841A7"/>
    <w:rsid w:val="00D86AD8"/>
    <w:rsid w:val="00DC5A92"/>
    <w:rsid w:val="00DD0662"/>
    <w:rsid w:val="00DF6FFF"/>
    <w:rsid w:val="00E046BD"/>
    <w:rsid w:val="00E067EA"/>
    <w:rsid w:val="00E21B5C"/>
    <w:rsid w:val="00E237EE"/>
    <w:rsid w:val="00E35F0D"/>
    <w:rsid w:val="00E45E0D"/>
    <w:rsid w:val="00E53FD3"/>
    <w:rsid w:val="00E73E7C"/>
    <w:rsid w:val="00E75F43"/>
    <w:rsid w:val="00E835ED"/>
    <w:rsid w:val="00E87705"/>
    <w:rsid w:val="00E928D0"/>
    <w:rsid w:val="00EA3C08"/>
    <w:rsid w:val="00EB16DC"/>
    <w:rsid w:val="00EB528A"/>
    <w:rsid w:val="00EC0AC6"/>
    <w:rsid w:val="00EC4BBC"/>
    <w:rsid w:val="00ED1CEC"/>
    <w:rsid w:val="00ED3FDA"/>
    <w:rsid w:val="00EE393C"/>
    <w:rsid w:val="00F36DCD"/>
    <w:rsid w:val="00F51F0A"/>
    <w:rsid w:val="00F77FF5"/>
    <w:rsid w:val="00F86D06"/>
    <w:rsid w:val="00F961AB"/>
    <w:rsid w:val="00FB20B3"/>
    <w:rsid w:val="00FB7501"/>
    <w:rsid w:val="00FD6082"/>
    <w:rsid w:val="00FE1AA5"/>
    <w:rsid w:val="00FE4130"/>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FB7501"/>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FB7501"/>
    <w:pPr>
      <w:keepNext/>
      <w:spacing w:after="240"/>
      <w:ind w:left="1440" w:hanging="72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FB7501"/>
    <w:pPr>
      <w:keepNext/>
      <w:keepLines/>
      <w:numPr>
        <w:numId w:val="16"/>
      </w:numPr>
      <w:spacing w:after="240"/>
      <w:ind w:left="216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FB7501"/>
    <w:pPr>
      <w:keepNext/>
      <w:keepLines/>
      <w:spacing w:after="240"/>
      <w:ind w:left="288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uiPriority w:val="99"/>
    <w:rsid w:val="0067056F"/>
    <w:pPr>
      <w:tabs>
        <w:tab w:val="center" w:pos="4320"/>
        <w:tab w:val="right" w:pos="8640"/>
      </w:tabs>
    </w:pPr>
  </w:style>
  <w:style w:type="character" w:customStyle="1" w:styleId="HeaderChar">
    <w:name w:val="Header Char"/>
    <w:basedOn w:val="DefaultParagraphFont"/>
    <w:link w:val="Header"/>
    <w:uiPriority w:val="99"/>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FB7501"/>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FB7501"/>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FB7501"/>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FB7501"/>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5C1DD6"/>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5C1DD6"/>
    <w:pPr>
      <w:keepNext/>
      <w:spacing w:after="240"/>
      <w:ind w:left="1440" w:hanging="72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5C1DD6"/>
    <w:pPr>
      <w:keepNext/>
      <w:keepLines/>
      <w:numPr>
        <w:numId w:val="16"/>
      </w:numPr>
      <w:spacing w:after="240"/>
      <w:ind w:left="216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5C1DD6"/>
    <w:pPr>
      <w:keepNext/>
      <w:keepLines/>
      <w:spacing w:after="240"/>
      <w:ind w:left="288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5C1DD6"/>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5C1DD6"/>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5C1DD6"/>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5C1DD6"/>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allwein@keglerbrown.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Kevin.moore@occ.ohio.gov"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illiam.michael@occ.ohio.gov" TargetMode="External"/><Relationship Id="rId10" Type="http://schemas.openxmlformats.org/officeDocument/2006/relationships/footer" Target="footer1.xml"/><Relationship Id="rId19" Type="http://schemas.openxmlformats.org/officeDocument/2006/relationships/hyperlink" Target="mailto:burkj@firstenergycor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1835</Words>
  <Characters>11142</Characters>
  <Application>Microsoft Office Word</Application>
  <DocSecurity>0</DocSecurity>
  <Lines>276</Lines>
  <Paragraphs>121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2016-01-20T21:38:00Z</dcterms:created>
  <dcterms:modified xsi:type="dcterms:W3CDTF">2016-01-20T21:38:00Z</dcterms:modified>
  <cp:category> </cp:category>
  <cp:contentStatus> </cp:contentStatus>
</cp:coreProperties>
</file>