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4CCC" w14:textId="63A98F5A" w:rsidR="00AF5891" w:rsidRPr="00BB395F" w:rsidRDefault="00AF5891" w:rsidP="00AF5891">
      <w:pPr>
        <w:spacing w:after="0" w:line="240" w:lineRule="auto"/>
        <w:jc w:val="center"/>
        <w:textAlignment w:val="baseline"/>
        <w:rPr>
          <w:rFonts w:ascii="Segoe UI" w:eastAsia="Times New Roman" w:hAnsi="Segoe UI" w:cs="Segoe UI"/>
          <w:b/>
          <w:bCs/>
          <w:sz w:val="18"/>
          <w:szCs w:val="18"/>
        </w:rPr>
      </w:pPr>
      <w:r w:rsidRPr="00BB395F">
        <w:rPr>
          <w:rFonts w:ascii="Arial" w:eastAsia="Times New Roman" w:hAnsi="Arial" w:cs="Arial"/>
          <w:b/>
          <w:bCs/>
          <w:sz w:val="24"/>
          <w:szCs w:val="24"/>
        </w:rPr>
        <w:t>BEFORE</w:t>
      </w:r>
    </w:p>
    <w:p w14:paraId="358C0733" w14:textId="77777777" w:rsidR="00AF5891" w:rsidRDefault="00AF5891" w:rsidP="00AF5891">
      <w:pPr>
        <w:spacing w:after="0" w:line="240" w:lineRule="auto"/>
        <w:jc w:val="center"/>
        <w:textAlignment w:val="baseline"/>
        <w:rPr>
          <w:rFonts w:ascii="Arial" w:eastAsia="Times New Roman" w:hAnsi="Arial" w:cs="Arial"/>
          <w:sz w:val="24"/>
          <w:szCs w:val="24"/>
        </w:rPr>
      </w:pPr>
      <w:r w:rsidRPr="00BB395F">
        <w:rPr>
          <w:rFonts w:ascii="Arial" w:eastAsia="Times New Roman" w:hAnsi="Arial" w:cs="Arial"/>
          <w:b/>
          <w:bCs/>
          <w:sz w:val="24"/>
          <w:szCs w:val="24"/>
        </w:rPr>
        <w:t>THE PUBLIC UTILITIES COMMISSION OF OHIO</w:t>
      </w:r>
      <w:r w:rsidRPr="00BB395F">
        <w:rPr>
          <w:rFonts w:ascii="Arial" w:eastAsia="Times New Roman" w:hAnsi="Arial" w:cs="Arial"/>
          <w:sz w:val="24"/>
          <w:szCs w:val="24"/>
        </w:rPr>
        <w:t> </w:t>
      </w:r>
    </w:p>
    <w:p w14:paraId="57FD083E" w14:textId="77777777" w:rsidR="00AF5891" w:rsidRPr="00BB395F" w:rsidRDefault="00AF5891" w:rsidP="00AF5891">
      <w:pPr>
        <w:spacing w:after="0" w:line="240" w:lineRule="auto"/>
        <w:jc w:val="center"/>
        <w:textAlignment w:val="baseline"/>
        <w:rPr>
          <w:rFonts w:ascii="Segoe UI" w:eastAsia="Times New Roman" w:hAnsi="Segoe UI" w:cs="Segoe U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80"/>
        <w:gridCol w:w="2340"/>
      </w:tblGrid>
      <w:tr w:rsidR="00AF5891" w:rsidRPr="004D4B3D" w14:paraId="5D042E04" w14:textId="77777777" w:rsidTr="006D6981">
        <w:trPr>
          <w:jc w:val="center"/>
        </w:trPr>
        <w:tc>
          <w:tcPr>
            <w:tcW w:w="4230" w:type="dxa"/>
          </w:tcPr>
          <w:p w14:paraId="21320EC3" w14:textId="77777777" w:rsidR="00AF5891" w:rsidRPr="004D4B3D" w:rsidRDefault="00AF5891" w:rsidP="006D6981">
            <w:pPr>
              <w:jc w:val="both"/>
              <w:textAlignment w:val="baseline"/>
              <w:rPr>
                <w:rFonts w:ascii="Arial" w:eastAsia="Times New Roman" w:hAnsi="Arial" w:cs="Arial"/>
                <w:sz w:val="24"/>
                <w:szCs w:val="24"/>
              </w:rPr>
            </w:pPr>
            <w:r w:rsidRPr="004D4B3D">
              <w:rPr>
                <w:rFonts w:ascii="Arial" w:eastAsia="Times New Roman" w:hAnsi="Arial" w:cs="Arial"/>
                <w:sz w:val="24"/>
                <w:szCs w:val="24"/>
              </w:rPr>
              <w:t xml:space="preserve">In the Matter of the Commission’s Review of Ohio </w:t>
            </w:r>
            <w:proofErr w:type="spellStart"/>
            <w:r w:rsidRPr="004D4B3D">
              <w:rPr>
                <w:rFonts w:ascii="Arial" w:eastAsia="Times New Roman" w:hAnsi="Arial" w:cs="Arial"/>
                <w:sz w:val="24"/>
                <w:szCs w:val="24"/>
              </w:rPr>
              <w:t>Adm.Code</w:t>
            </w:r>
            <w:proofErr w:type="spellEnd"/>
            <w:r w:rsidRPr="004D4B3D">
              <w:rPr>
                <w:rFonts w:ascii="Arial" w:eastAsia="Times New Roman" w:hAnsi="Arial" w:cs="Arial"/>
                <w:sz w:val="24"/>
                <w:szCs w:val="24"/>
              </w:rPr>
              <w:t xml:space="preserve"> Chapters 4901:1-21, 4901:1-23, 4901:1-24, 4901:1-27, 4901:1-28, 4901:1-29, 4901:1-30, 4901:1-31, 4901:1-32, 4901:1-33, and 4901:1-34 Regarding Rules Governing Competitive Retail Electric Service and Competitive Retail Natural Gas Service. </w:t>
            </w:r>
          </w:p>
        </w:tc>
        <w:tc>
          <w:tcPr>
            <w:tcW w:w="1980" w:type="dxa"/>
          </w:tcPr>
          <w:p w14:paraId="186D1952" w14:textId="77777777" w:rsidR="00AF5891" w:rsidRPr="004D4B3D" w:rsidRDefault="00AF5891" w:rsidP="006D6981">
            <w:pPr>
              <w:jc w:val="right"/>
              <w:textAlignment w:val="baseline"/>
              <w:rPr>
                <w:rFonts w:ascii="Arial" w:eastAsia="Times New Roman" w:hAnsi="Arial" w:cs="Arial"/>
                <w:sz w:val="24"/>
                <w:szCs w:val="24"/>
              </w:rPr>
            </w:pPr>
            <w:r w:rsidRPr="004D4B3D">
              <w:rPr>
                <w:rFonts w:ascii="Arial" w:eastAsia="Times New Roman" w:hAnsi="Arial" w:cs="Arial"/>
                <w:sz w:val="24"/>
                <w:szCs w:val="24"/>
              </w:rPr>
              <w:t>Case</w:t>
            </w:r>
            <w:r>
              <w:rPr>
                <w:rFonts w:ascii="Arial" w:eastAsia="Times New Roman" w:hAnsi="Arial" w:cs="Arial"/>
                <w:sz w:val="24"/>
                <w:szCs w:val="24"/>
              </w:rPr>
              <w:t xml:space="preserve"> </w:t>
            </w:r>
            <w:r w:rsidRPr="004D4B3D">
              <w:rPr>
                <w:rFonts w:ascii="Arial" w:eastAsia="Times New Roman" w:hAnsi="Arial" w:cs="Arial"/>
                <w:sz w:val="24"/>
                <w:szCs w:val="24"/>
              </w:rPr>
              <w:t>Nos.</w:t>
            </w:r>
          </w:p>
        </w:tc>
        <w:tc>
          <w:tcPr>
            <w:tcW w:w="2340" w:type="dxa"/>
          </w:tcPr>
          <w:p w14:paraId="2C712765"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17-1843-EL-ORD </w:t>
            </w:r>
          </w:p>
          <w:p w14:paraId="0C0127E9"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17-1844-EL-ORD </w:t>
            </w:r>
          </w:p>
          <w:p w14:paraId="2364BD6F"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17-1862-EL-ORD </w:t>
            </w:r>
          </w:p>
          <w:p w14:paraId="6AC4101B"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17-1845-GA-ORD </w:t>
            </w:r>
          </w:p>
          <w:p w14:paraId="7EAAD244"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17-1846-GA-ORD </w:t>
            </w:r>
          </w:p>
          <w:p w14:paraId="7A518192"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17-1847-GA-ORD </w:t>
            </w:r>
          </w:p>
          <w:p w14:paraId="23E4BC72"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17-1848-GA-ORD </w:t>
            </w:r>
          </w:p>
          <w:p w14:paraId="191E2560"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17-1849-GA-ORD </w:t>
            </w:r>
          </w:p>
          <w:p w14:paraId="348CA40D"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17-1850-GA-ORD </w:t>
            </w:r>
          </w:p>
          <w:p w14:paraId="127E47D7"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17-1851-GA-ORD </w:t>
            </w:r>
          </w:p>
          <w:p w14:paraId="1196B0AA" w14:textId="77777777" w:rsidR="00AF5891" w:rsidRPr="004D4B3D" w:rsidRDefault="00AF5891" w:rsidP="006D6981">
            <w:pPr>
              <w:textAlignment w:val="baseline"/>
              <w:rPr>
                <w:rFonts w:ascii="Arial" w:eastAsia="Times New Roman" w:hAnsi="Arial" w:cs="Arial"/>
                <w:sz w:val="24"/>
                <w:szCs w:val="24"/>
              </w:rPr>
            </w:pPr>
            <w:r w:rsidRPr="004D4B3D">
              <w:rPr>
                <w:rFonts w:ascii="Arial" w:eastAsia="Times New Roman" w:hAnsi="Arial" w:cs="Arial"/>
                <w:sz w:val="24"/>
                <w:szCs w:val="24"/>
              </w:rPr>
              <w:t>17-1852-GA-ORD</w:t>
            </w:r>
          </w:p>
        </w:tc>
      </w:tr>
    </w:tbl>
    <w:p w14:paraId="04663B81" w14:textId="77777777" w:rsidR="00AF5891" w:rsidRPr="00BB395F" w:rsidRDefault="00AF5891" w:rsidP="00AF5891">
      <w:pPr>
        <w:spacing w:after="0" w:line="240" w:lineRule="auto"/>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6105747D" w14:textId="77777777" w:rsidR="00AF5891" w:rsidRPr="00BB395F" w:rsidRDefault="00AF5891" w:rsidP="00AF5891">
      <w:pPr>
        <w:pBdr>
          <w:bottom w:val="single" w:sz="4" w:space="1" w:color="auto"/>
        </w:pBdr>
        <w:spacing w:after="0" w:line="240" w:lineRule="auto"/>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2952DB32" w14:textId="77777777" w:rsidR="00AF5891" w:rsidRDefault="00AF5891" w:rsidP="00AF5891">
      <w:pPr>
        <w:spacing w:after="0" w:line="240" w:lineRule="auto"/>
        <w:jc w:val="center"/>
        <w:textAlignment w:val="baseline"/>
        <w:rPr>
          <w:rFonts w:ascii="Arial" w:eastAsia="Times New Roman" w:hAnsi="Arial" w:cs="Arial"/>
          <w:b/>
          <w:bCs/>
          <w:sz w:val="24"/>
          <w:szCs w:val="24"/>
        </w:rPr>
      </w:pPr>
    </w:p>
    <w:p w14:paraId="6AAFC356" w14:textId="77777777" w:rsidR="00AF5891" w:rsidRDefault="00AF5891" w:rsidP="00AF5891">
      <w:pPr>
        <w:spacing w:after="0" w:line="240" w:lineRule="auto"/>
        <w:jc w:val="center"/>
        <w:textAlignment w:val="baseline"/>
        <w:rPr>
          <w:rFonts w:ascii="Arial" w:eastAsia="Times New Roman" w:hAnsi="Arial" w:cs="Arial"/>
          <w:sz w:val="24"/>
          <w:szCs w:val="24"/>
        </w:rPr>
      </w:pPr>
      <w:r w:rsidRPr="00BB395F">
        <w:rPr>
          <w:rFonts w:ascii="Arial" w:eastAsia="Times New Roman" w:hAnsi="Arial" w:cs="Arial"/>
          <w:b/>
          <w:bCs/>
          <w:sz w:val="24"/>
          <w:szCs w:val="24"/>
        </w:rPr>
        <w:t>REPLY COMMENTS OF INTERSTATE GAS SUPPLY, INC.</w:t>
      </w:r>
      <w:r w:rsidRPr="00BB395F">
        <w:rPr>
          <w:rFonts w:ascii="Arial" w:eastAsia="Times New Roman" w:hAnsi="Arial" w:cs="Arial"/>
          <w:sz w:val="24"/>
          <w:szCs w:val="24"/>
        </w:rPr>
        <w:t> </w:t>
      </w:r>
    </w:p>
    <w:p w14:paraId="73E5A097" w14:textId="77777777" w:rsidR="00AF5891" w:rsidRPr="00BB395F" w:rsidRDefault="00AF5891" w:rsidP="00AF5891">
      <w:pPr>
        <w:pBdr>
          <w:bottom w:val="single" w:sz="4" w:space="1" w:color="auto"/>
        </w:pBdr>
        <w:spacing w:after="0" w:line="240" w:lineRule="auto"/>
        <w:textAlignment w:val="baseline"/>
        <w:rPr>
          <w:rFonts w:ascii="Segoe UI" w:eastAsia="Times New Roman" w:hAnsi="Segoe UI" w:cs="Segoe UI"/>
          <w:sz w:val="18"/>
          <w:szCs w:val="18"/>
        </w:rPr>
      </w:pPr>
    </w:p>
    <w:p w14:paraId="4B4EC5B4" w14:textId="77777777" w:rsidR="00AF5891" w:rsidRPr="00BB395F" w:rsidRDefault="00AF5891" w:rsidP="00AF5891">
      <w:pPr>
        <w:spacing w:after="0" w:line="240" w:lineRule="auto"/>
        <w:jc w:val="center"/>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408D6F13" w14:textId="77777777" w:rsidR="00AF5891" w:rsidRDefault="00AF5891" w:rsidP="00AF5891">
      <w:pPr>
        <w:spacing w:after="0" w:line="240" w:lineRule="auto"/>
        <w:ind w:left="5040"/>
        <w:textAlignment w:val="baseline"/>
        <w:rPr>
          <w:rFonts w:ascii="Arial" w:eastAsia="Times New Roman" w:hAnsi="Arial" w:cs="Arial"/>
          <w:sz w:val="24"/>
          <w:szCs w:val="24"/>
        </w:rPr>
      </w:pPr>
    </w:p>
    <w:p w14:paraId="69C92F37" w14:textId="4A7D3600" w:rsidR="00AF5891" w:rsidRPr="00A34554" w:rsidRDefault="00AF5891" w:rsidP="000D121D">
      <w:pPr>
        <w:spacing w:after="0" w:line="240" w:lineRule="auto"/>
        <w:ind w:left="4320"/>
        <w:textAlignment w:val="baseline"/>
        <w:rPr>
          <w:rFonts w:ascii="Arial" w:eastAsia="Times New Roman" w:hAnsi="Arial" w:cs="Arial"/>
          <w:sz w:val="24"/>
          <w:szCs w:val="24"/>
        </w:rPr>
      </w:pPr>
      <w:r w:rsidRPr="005347C8">
        <w:rPr>
          <w:rFonts w:ascii="Arial" w:eastAsia="Times New Roman" w:hAnsi="Arial" w:cs="Arial"/>
          <w:sz w:val="24"/>
          <w:szCs w:val="24"/>
        </w:rPr>
        <w:t>Bethany Allen (0093732) </w:t>
      </w:r>
    </w:p>
    <w:p w14:paraId="66253874"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Counsel of Record </w:t>
      </w:r>
    </w:p>
    <w:p w14:paraId="3CF3B46D" w14:textId="77777777" w:rsidR="00AF5891" w:rsidRPr="00A34554" w:rsidRDefault="004108F6" w:rsidP="000D121D">
      <w:pPr>
        <w:spacing w:after="0" w:line="240" w:lineRule="auto"/>
        <w:ind w:left="4320"/>
        <w:textAlignment w:val="baseline"/>
        <w:rPr>
          <w:rFonts w:ascii="Arial" w:eastAsia="Times New Roman" w:hAnsi="Arial" w:cs="Arial"/>
          <w:sz w:val="24"/>
          <w:szCs w:val="24"/>
        </w:rPr>
      </w:pPr>
      <w:hyperlink r:id="rId11" w:tgtFrame="_blank" w:history="1">
        <w:r w:rsidR="00AF5891" w:rsidRPr="00A34554">
          <w:rPr>
            <w:rFonts w:ascii="Arial" w:eastAsia="Times New Roman" w:hAnsi="Arial" w:cs="Arial"/>
            <w:sz w:val="24"/>
            <w:szCs w:val="24"/>
            <w:u w:val="single"/>
          </w:rPr>
          <w:t>bethany.allen@igs.com</w:t>
        </w:r>
      </w:hyperlink>
      <w:r w:rsidR="00AF5891" w:rsidRPr="00A34554">
        <w:rPr>
          <w:rFonts w:ascii="Arial" w:eastAsia="Times New Roman" w:hAnsi="Arial" w:cs="Arial"/>
          <w:sz w:val="24"/>
          <w:szCs w:val="24"/>
        </w:rPr>
        <w:t> </w:t>
      </w:r>
    </w:p>
    <w:p w14:paraId="6C5D7DDB"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Joseph Oliker (0086088) </w:t>
      </w:r>
    </w:p>
    <w:p w14:paraId="59B2269B" w14:textId="77777777" w:rsidR="00AF5891" w:rsidRPr="00A34554" w:rsidRDefault="004108F6" w:rsidP="000D121D">
      <w:pPr>
        <w:spacing w:after="0" w:line="240" w:lineRule="auto"/>
        <w:ind w:left="4320"/>
        <w:textAlignment w:val="baseline"/>
        <w:rPr>
          <w:rFonts w:ascii="Arial" w:eastAsia="Times New Roman" w:hAnsi="Arial" w:cs="Arial"/>
          <w:sz w:val="24"/>
          <w:szCs w:val="24"/>
        </w:rPr>
      </w:pPr>
      <w:hyperlink r:id="rId12" w:tgtFrame="_blank" w:history="1">
        <w:r w:rsidR="00AF5891" w:rsidRPr="00A34554">
          <w:rPr>
            <w:rFonts w:ascii="Arial" w:eastAsia="Times New Roman" w:hAnsi="Arial" w:cs="Arial"/>
            <w:sz w:val="24"/>
            <w:szCs w:val="24"/>
            <w:u w:val="single"/>
          </w:rPr>
          <w:t>joe.oliker@igs.com</w:t>
        </w:r>
      </w:hyperlink>
      <w:r w:rsidR="00AF5891" w:rsidRPr="00A34554">
        <w:rPr>
          <w:rFonts w:ascii="Arial" w:eastAsia="Times New Roman" w:hAnsi="Arial" w:cs="Arial"/>
          <w:sz w:val="24"/>
          <w:szCs w:val="24"/>
        </w:rPr>
        <w:t> </w:t>
      </w:r>
    </w:p>
    <w:p w14:paraId="227FDF74" w14:textId="77777777" w:rsidR="00AF5891" w:rsidRPr="00A34554" w:rsidRDefault="00AF5891" w:rsidP="000D121D">
      <w:pPr>
        <w:pStyle w:val="paragraph"/>
        <w:spacing w:before="0" w:beforeAutospacing="0" w:after="0" w:afterAutospacing="0"/>
        <w:ind w:left="3600" w:firstLine="720"/>
        <w:textAlignment w:val="baseline"/>
        <w:rPr>
          <w:rFonts w:ascii="Arial" w:hAnsi="Arial" w:cs="Arial"/>
        </w:rPr>
      </w:pPr>
      <w:r w:rsidRPr="00A34554">
        <w:rPr>
          <w:rStyle w:val="normaltextrun"/>
          <w:rFonts w:ascii="Arial" w:hAnsi="Arial" w:cs="Arial"/>
        </w:rPr>
        <w:t>Michael Nugent (0090408)</w:t>
      </w:r>
      <w:r w:rsidRPr="00A34554">
        <w:rPr>
          <w:rStyle w:val="eop"/>
          <w:rFonts w:ascii="Arial" w:hAnsi="Arial" w:cs="Arial"/>
        </w:rPr>
        <w:t> </w:t>
      </w:r>
    </w:p>
    <w:p w14:paraId="1EAC2222" w14:textId="77777777" w:rsidR="00AF5891" w:rsidRPr="00A34554" w:rsidRDefault="004108F6" w:rsidP="000D121D">
      <w:pPr>
        <w:pStyle w:val="paragraph"/>
        <w:spacing w:before="0" w:beforeAutospacing="0" w:after="0" w:afterAutospacing="0"/>
        <w:ind w:left="3600" w:firstLine="720"/>
        <w:textAlignment w:val="baseline"/>
        <w:rPr>
          <w:rFonts w:ascii="Arial" w:hAnsi="Arial" w:cs="Arial"/>
        </w:rPr>
      </w:pPr>
      <w:hyperlink r:id="rId13" w:history="1">
        <w:r w:rsidR="00AF5891" w:rsidRPr="00A34554">
          <w:rPr>
            <w:rStyle w:val="Hyperlink"/>
            <w:rFonts w:ascii="Arial" w:hAnsi="Arial" w:cs="Arial"/>
            <w:color w:val="auto"/>
          </w:rPr>
          <w:t>michael.nugent@igs.com</w:t>
        </w:r>
      </w:hyperlink>
      <w:r w:rsidR="00AF5891" w:rsidRPr="00A34554">
        <w:rPr>
          <w:rStyle w:val="normaltextrun"/>
          <w:rFonts w:ascii="Arial" w:hAnsi="Arial" w:cs="Arial"/>
        </w:rPr>
        <w:t> </w:t>
      </w:r>
      <w:r w:rsidR="00AF5891" w:rsidRPr="00A34554">
        <w:rPr>
          <w:rStyle w:val="eop"/>
          <w:rFonts w:ascii="Arial" w:hAnsi="Arial" w:cs="Arial"/>
        </w:rPr>
        <w:t> </w:t>
      </w:r>
    </w:p>
    <w:p w14:paraId="4CA646A5" w14:textId="77777777" w:rsidR="00AF5891" w:rsidRPr="00A34554" w:rsidRDefault="00AF5891" w:rsidP="000D121D">
      <w:pPr>
        <w:pStyle w:val="paragraph"/>
        <w:spacing w:before="0" w:beforeAutospacing="0" w:after="0" w:afterAutospacing="0"/>
        <w:ind w:left="3600" w:firstLine="720"/>
        <w:textAlignment w:val="baseline"/>
        <w:rPr>
          <w:rFonts w:ascii="Arial" w:hAnsi="Arial" w:cs="Arial"/>
        </w:rPr>
      </w:pPr>
      <w:r w:rsidRPr="00A34554">
        <w:rPr>
          <w:rStyle w:val="normaltextrun"/>
          <w:rFonts w:ascii="Arial" w:hAnsi="Arial" w:cs="Arial"/>
        </w:rPr>
        <w:t>Evan Betterton (0100089)</w:t>
      </w:r>
    </w:p>
    <w:p w14:paraId="21F10F0B" w14:textId="77777777" w:rsidR="00AF5891" w:rsidRPr="00A34554" w:rsidRDefault="004108F6" w:rsidP="000D121D">
      <w:pPr>
        <w:pStyle w:val="paragraph"/>
        <w:spacing w:before="0" w:beforeAutospacing="0" w:after="0" w:afterAutospacing="0"/>
        <w:ind w:left="4320"/>
        <w:textAlignment w:val="baseline"/>
        <w:rPr>
          <w:rFonts w:ascii="Arial" w:hAnsi="Arial" w:cs="Arial"/>
        </w:rPr>
      </w:pPr>
      <w:hyperlink r:id="rId14" w:history="1">
        <w:r w:rsidR="00AF5891" w:rsidRPr="00A34554">
          <w:rPr>
            <w:rStyle w:val="Hyperlink"/>
            <w:rFonts w:ascii="Arial" w:hAnsi="Arial" w:cs="Arial"/>
            <w:color w:val="auto"/>
          </w:rPr>
          <w:t>Evan.betterton@igs.com</w:t>
        </w:r>
      </w:hyperlink>
      <w:r w:rsidR="00AF5891" w:rsidRPr="00A34554">
        <w:rPr>
          <w:rStyle w:val="normaltextrun"/>
          <w:rFonts w:ascii="Arial" w:hAnsi="Arial" w:cs="Arial"/>
        </w:rPr>
        <w:t> </w:t>
      </w:r>
      <w:r w:rsidR="00AF5891" w:rsidRPr="00A34554">
        <w:rPr>
          <w:rStyle w:val="eop"/>
          <w:rFonts w:ascii="Arial" w:hAnsi="Arial" w:cs="Arial"/>
        </w:rPr>
        <w:t> </w:t>
      </w:r>
    </w:p>
    <w:p w14:paraId="37DAF070"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p>
    <w:p w14:paraId="6546D18D" w14:textId="3356DBF4" w:rsidR="00AF5891" w:rsidRPr="00A34554" w:rsidRDefault="00AF5891" w:rsidP="000D121D">
      <w:pPr>
        <w:spacing w:after="0" w:line="240" w:lineRule="auto"/>
        <w:ind w:left="4320"/>
        <w:textAlignment w:val="baseline"/>
        <w:rPr>
          <w:rFonts w:ascii="Arial" w:eastAsia="Times New Roman" w:hAnsi="Arial" w:cs="Arial"/>
          <w:sz w:val="24"/>
          <w:szCs w:val="24"/>
        </w:rPr>
      </w:pPr>
      <w:r>
        <w:rPr>
          <w:rFonts w:ascii="Arial" w:eastAsia="Times New Roman" w:hAnsi="Arial" w:cs="Arial"/>
          <w:sz w:val="24"/>
          <w:szCs w:val="24"/>
        </w:rPr>
        <w:t>Interstate Gas Supply, Inc.</w:t>
      </w:r>
    </w:p>
    <w:p w14:paraId="68E1F865"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6100 Emerald Parkway </w:t>
      </w:r>
    </w:p>
    <w:p w14:paraId="4003234B"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Dublin, Ohio 43016 </w:t>
      </w:r>
    </w:p>
    <w:p w14:paraId="536DBD9A"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Telephone: (614) 659-5000 </w:t>
      </w:r>
    </w:p>
    <w:p w14:paraId="340F901E"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Facsimile: (614) 659-5073 </w:t>
      </w:r>
    </w:p>
    <w:p w14:paraId="54189A33" w14:textId="77777777" w:rsidR="00AF5891" w:rsidRPr="00A34554"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sz w:val="24"/>
          <w:szCs w:val="24"/>
        </w:rPr>
        <w:t> </w:t>
      </w:r>
    </w:p>
    <w:p w14:paraId="4EE0856C" w14:textId="7F7440A2" w:rsidR="00AF5891" w:rsidRDefault="00AF5891" w:rsidP="000D121D">
      <w:pPr>
        <w:spacing w:after="0" w:line="240" w:lineRule="auto"/>
        <w:ind w:left="4320"/>
        <w:textAlignment w:val="baseline"/>
        <w:rPr>
          <w:rFonts w:ascii="Arial" w:eastAsia="Times New Roman" w:hAnsi="Arial" w:cs="Arial"/>
          <w:sz w:val="24"/>
          <w:szCs w:val="24"/>
        </w:rPr>
      </w:pPr>
      <w:r w:rsidRPr="00A34554">
        <w:rPr>
          <w:rFonts w:ascii="Arial" w:eastAsia="Times New Roman" w:hAnsi="Arial" w:cs="Arial"/>
          <w:b/>
          <w:bCs/>
          <w:i/>
          <w:iCs/>
          <w:sz w:val="24"/>
          <w:szCs w:val="24"/>
        </w:rPr>
        <w:t xml:space="preserve">Attorneys for </w:t>
      </w:r>
      <w:r>
        <w:rPr>
          <w:rFonts w:ascii="Arial" w:eastAsia="Times New Roman" w:hAnsi="Arial" w:cs="Arial"/>
          <w:b/>
          <w:bCs/>
          <w:i/>
          <w:iCs/>
          <w:sz w:val="24"/>
          <w:szCs w:val="24"/>
        </w:rPr>
        <w:t>Interstate Gas Supply, Inc.</w:t>
      </w:r>
      <w:r w:rsidRPr="00A34554">
        <w:rPr>
          <w:rFonts w:ascii="Arial" w:eastAsia="Times New Roman" w:hAnsi="Arial" w:cs="Arial"/>
          <w:sz w:val="24"/>
          <w:szCs w:val="24"/>
        </w:rPr>
        <w:t> </w:t>
      </w:r>
    </w:p>
    <w:p w14:paraId="319B89C7" w14:textId="2803662E" w:rsidR="007D0CC4" w:rsidRDefault="007D0CC4">
      <w:pPr>
        <w:rPr>
          <w:rFonts w:ascii="Arial" w:eastAsia="Times New Roman" w:hAnsi="Arial" w:cs="Arial"/>
          <w:b/>
          <w:bCs/>
          <w:sz w:val="24"/>
          <w:szCs w:val="24"/>
        </w:rPr>
      </w:pPr>
    </w:p>
    <w:p w14:paraId="2E6E67F5" w14:textId="77777777" w:rsidR="00AF5891" w:rsidRDefault="00AF5891">
      <w:pPr>
        <w:rPr>
          <w:rFonts w:ascii="Arial" w:eastAsia="Times New Roman" w:hAnsi="Arial" w:cs="Arial"/>
          <w:b/>
          <w:bCs/>
          <w:sz w:val="24"/>
          <w:szCs w:val="24"/>
        </w:rPr>
      </w:pPr>
    </w:p>
    <w:p w14:paraId="24124421" w14:textId="08B2BA79" w:rsidR="00AF5891" w:rsidRDefault="00AF5891">
      <w:pPr>
        <w:rPr>
          <w:rFonts w:ascii="Arial" w:eastAsia="Times New Roman" w:hAnsi="Arial" w:cs="Arial"/>
          <w:b/>
          <w:bCs/>
          <w:sz w:val="24"/>
          <w:szCs w:val="24"/>
        </w:rPr>
      </w:pPr>
      <w:r>
        <w:rPr>
          <w:rFonts w:ascii="Arial" w:eastAsia="Times New Roman" w:hAnsi="Arial" w:cs="Arial"/>
          <w:b/>
          <w:bCs/>
          <w:sz w:val="24"/>
          <w:szCs w:val="24"/>
        </w:rPr>
        <w:t>October 22, 2021</w:t>
      </w:r>
    </w:p>
    <w:p w14:paraId="17D110C6" w14:textId="77777777" w:rsidR="00AF5891" w:rsidRDefault="00AF5891">
      <w:pPr>
        <w:rPr>
          <w:rFonts w:ascii="Arial" w:eastAsia="Times New Roman" w:hAnsi="Arial" w:cs="Arial"/>
          <w:b/>
          <w:bCs/>
          <w:sz w:val="24"/>
          <w:szCs w:val="24"/>
        </w:rPr>
      </w:pPr>
    </w:p>
    <w:p w14:paraId="01A2BF77" w14:textId="77777777" w:rsidR="00AF5891" w:rsidRDefault="00AF5891">
      <w:pPr>
        <w:rPr>
          <w:rFonts w:ascii="Arial" w:eastAsia="Times New Roman" w:hAnsi="Arial" w:cs="Arial"/>
          <w:b/>
          <w:bCs/>
          <w:sz w:val="24"/>
          <w:szCs w:val="24"/>
        </w:rPr>
      </w:pPr>
    </w:p>
    <w:p w14:paraId="2C9BFA7A" w14:textId="58A8D11B" w:rsidR="00AF5891" w:rsidRDefault="00AF5891" w:rsidP="00BB395F">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lastRenderedPageBreak/>
        <w:t>TABLE OF CONTENTS</w:t>
      </w:r>
    </w:p>
    <w:p w14:paraId="723FBB28" w14:textId="1A8702C3" w:rsidR="00B26DF1" w:rsidRDefault="00B26DF1">
      <w:pPr>
        <w:pStyle w:val="TOC1"/>
        <w:tabs>
          <w:tab w:val="left" w:pos="936"/>
          <w:tab w:val="right" w:leader="dot" w:pos="9350"/>
        </w:tabs>
        <w:rPr>
          <w:rFonts w:asciiTheme="minorHAnsi" w:eastAsiaTheme="minorEastAsia" w:hAnsiTheme="minorHAnsi" w:cstheme="minorBidi"/>
          <w:b w:val="0"/>
          <w:bCs w:val="0"/>
          <w:noProof/>
          <w:sz w:val="22"/>
          <w:szCs w:val="22"/>
        </w:rPr>
      </w:pPr>
      <w:r>
        <w:rPr>
          <w:rFonts w:eastAsia="Times New Roman" w:cs="Arial"/>
          <w:szCs w:val="24"/>
        </w:rPr>
        <w:fldChar w:fldCharType="begin"/>
      </w:r>
      <w:r>
        <w:rPr>
          <w:rFonts w:eastAsia="Times New Roman" w:cs="Arial"/>
          <w:szCs w:val="24"/>
        </w:rPr>
        <w:instrText xml:space="preserve"> TOC \o "1-3" \h \z \u </w:instrText>
      </w:r>
      <w:r>
        <w:rPr>
          <w:rFonts w:eastAsia="Times New Roman" w:cs="Arial"/>
          <w:szCs w:val="24"/>
        </w:rPr>
        <w:fldChar w:fldCharType="separate"/>
      </w:r>
      <w:hyperlink w:anchor="_Toc85784988" w:history="1">
        <w:r w:rsidRPr="00032C2E">
          <w:rPr>
            <w:rStyle w:val="Hyperlink"/>
            <w:noProof/>
          </w:rPr>
          <w:t>I.</w:t>
        </w:r>
        <w:r>
          <w:rPr>
            <w:rFonts w:asciiTheme="minorHAnsi" w:eastAsiaTheme="minorEastAsia" w:hAnsiTheme="minorHAnsi" w:cstheme="minorBidi"/>
            <w:b w:val="0"/>
            <w:bCs w:val="0"/>
            <w:noProof/>
            <w:sz w:val="22"/>
            <w:szCs w:val="22"/>
          </w:rPr>
          <w:tab/>
        </w:r>
        <w:r w:rsidRPr="00032C2E">
          <w:rPr>
            <w:rStyle w:val="Hyperlink"/>
            <w:noProof/>
          </w:rPr>
          <w:t>INTRODUCTION</w:t>
        </w:r>
        <w:r>
          <w:rPr>
            <w:noProof/>
            <w:webHidden/>
          </w:rPr>
          <w:tab/>
        </w:r>
        <w:r>
          <w:rPr>
            <w:noProof/>
            <w:webHidden/>
          </w:rPr>
          <w:fldChar w:fldCharType="begin"/>
        </w:r>
        <w:r>
          <w:rPr>
            <w:noProof/>
            <w:webHidden/>
          </w:rPr>
          <w:instrText xml:space="preserve"> PAGEREF _Toc85784988 \h </w:instrText>
        </w:r>
        <w:r>
          <w:rPr>
            <w:noProof/>
            <w:webHidden/>
          </w:rPr>
        </w:r>
        <w:r>
          <w:rPr>
            <w:noProof/>
            <w:webHidden/>
          </w:rPr>
          <w:fldChar w:fldCharType="separate"/>
        </w:r>
        <w:r w:rsidR="00DE46F6">
          <w:rPr>
            <w:noProof/>
            <w:webHidden/>
          </w:rPr>
          <w:t>4</w:t>
        </w:r>
        <w:r>
          <w:rPr>
            <w:noProof/>
            <w:webHidden/>
          </w:rPr>
          <w:fldChar w:fldCharType="end"/>
        </w:r>
      </w:hyperlink>
    </w:p>
    <w:p w14:paraId="11FBCFC4" w14:textId="0697F9DA" w:rsidR="00B26DF1" w:rsidRDefault="004108F6">
      <w:pPr>
        <w:pStyle w:val="TOC1"/>
        <w:tabs>
          <w:tab w:val="left" w:pos="936"/>
          <w:tab w:val="right" w:leader="dot" w:pos="9350"/>
        </w:tabs>
        <w:rPr>
          <w:rFonts w:asciiTheme="minorHAnsi" w:eastAsiaTheme="minorEastAsia" w:hAnsiTheme="minorHAnsi" w:cstheme="minorBidi"/>
          <w:b w:val="0"/>
          <w:bCs w:val="0"/>
          <w:noProof/>
          <w:sz w:val="22"/>
          <w:szCs w:val="22"/>
        </w:rPr>
      </w:pPr>
      <w:hyperlink w:anchor="_Toc85784989" w:history="1">
        <w:r w:rsidR="00B26DF1" w:rsidRPr="00032C2E">
          <w:rPr>
            <w:rStyle w:val="Hyperlink"/>
            <w:noProof/>
          </w:rPr>
          <w:t>II.</w:t>
        </w:r>
        <w:r w:rsidR="00B26DF1">
          <w:rPr>
            <w:rFonts w:asciiTheme="minorHAnsi" w:eastAsiaTheme="minorEastAsia" w:hAnsiTheme="minorHAnsi" w:cstheme="minorBidi"/>
            <w:b w:val="0"/>
            <w:bCs w:val="0"/>
            <w:noProof/>
            <w:sz w:val="22"/>
            <w:szCs w:val="22"/>
          </w:rPr>
          <w:tab/>
        </w:r>
        <w:r w:rsidR="00B26DF1" w:rsidRPr="00032C2E">
          <w:rPr>
            <w:rStyle w:val="Hyperlink"/>
            <w:noProof/>
          </w:rPr>
          <w:t>COMMENTS</w:t>
        </w:r>
        <w:r w:rsidR="00B26DF1">
          <w:rPr>
            <w:noProof/>
            <w:webHidden/>
          </w:rPr>
          <w:tab/>
        </w:r>
        <w:r w:rsidR="00B26DF1">
          <w:rPr>
            <w:noProof/>
            <w:webHidden/>
          </w:rPr>
          <w:fldChar w:fldCharType="begin"/>
        </w:r>
        <w:r w:rsidR="00B26DF1">
          <w:rPr>
            <w:noProof/>
            <w:webHidden/>
          </w:rPr>
          <w:instrText xml:space="preserve"> PAGEREF _Toc85784989 \h </w:instrText>
        </w:r>
        <w:r w:rsidR="00B26DF1">
          <w:rPr>
            <w:noProof/>
            <w:webHidden/>
          </w:rPr>
        </w:r>
        <w:r w:rsidR="00B26DF1">
          <w:rPr>
            <w:noProof/>
            <w:webHidden/>
          </w:rPr>
          <w:fldChar w:fldCharType="separate"/>
        </w:r>
        <w:r w:rsidR="00DE46F6">
          <w:rPr>
            <w:noProof/>
            <w:webHidden/>
          </w:rPr>
          <w:t>4</w:t>
        </w:r>
        <w:r w:rsidR="00B26DF1">
          <w:rPr>
            <w:noProof/>
            <w:webHidden/>
          </w:rPr>
          <w:fldChar w:fldCharType="end"/>
        </w:r>
      </w:hyperlink>
    </w:p>
    <w:p w14:paraId="045E4AC7" w14:textId="26F6B1AA" w:rsidR="00B26DF1" w:rsidRDefault="004108F6">
      <w:pPr>
        <w:pStyle w:val="TOC2"/>
        <w:rPr>
          <w:rFonts w:asciiTheme="minorHAnsi" w:eastAsiaTheme="minorEastAsia" w:hAnsiTheme="minorHAnsi" w:cstheme="minorBidi"/>
          <w:noProof/>
          <w:sz w:val="22"/>
          <w:szCs w:val="22"/>
        </w:rPr>
      </w:pPr>
      <w:hyperlink w:anchor="_Toc85784990" w:history="1">
        <w:r w:rsidR="00B26DF1" w:rsidRPr="00032C2E">
          <w:rPr>
            <w:rStyle w:val="Hyperlink"/>
            <w:noProof/>
          </w:rPr>
          <w:t>A.</w:t>
        </w:r>
        <w:r w:rsidR="00B26DF1">
          <w:rPr>
            <w:rFonts w:asciiTheme="minorHAnsi" w:eastAsiaTheme="minorEastAsia" w:hAnsiTheme="minorHAnsi" w:cstheme="minorBidi"/>
            <w:noProof/>
            <w:sz w:val="22"/>
            <w:szCs w:val="22"/>
          </w:rPr>
          <w:tab/>
        </w:r>
        <w:r w:rsidR="00B26DF1" w:rsidRPr="00032C2E">
          <w:rPr>
            <w:rStyle w:val="Hyperlink"/>
            <w:noProof/>
          </w:rPr>
          <w:t>The Commission should consider adopting certain additions to the list of specific acts and practices deemed unfair, misleading, deceptive, or unconscionable under the rules.</w:t>
        </w:r>
        <w:r w:rsidR="00B26DF1">
          <w:rPr>
            <w:noProof/>
            <w:webHidden/>
          </w:rPr>
          <w:tab/>
        </w:r>
        <w:r w:rsidR="00B26DF1">
          <w:rPr>
            <w:noProof/>
            <w:webHidden/>
          </w:rPr>
          <w:fldChar w:fldCharType="begin"/>
        </w:r>
        <w:r w:rsidR="00B26DF1">
          <w:rPr>
            <w:noProof/>
            <w:webHidden/>
          </w:rPr>
          <w:instrText xml:space="preserve"> PAGEREF _Toc85784990 \h </w:instrText>
        </w:r>
        <w:r w:rsidR="00B26DF1">
          <w:rPr>
            <w:noProof/>
            <w:webHidden/>
          </w:rPr>
        </w:r>
        <w:r w:rsidR="00B26DF1">
          <w:rPr>
            <w:noProof/>
            <w:webHidden/>
          </w:rPr>
          <w:fldChar w:fldCharType="separate"/>
        </w:r>
        <w:r w:rsidR="00DE46F6">
          <w:rPr>
            <w:noProof/>
            <w:webHidden/>
          </w:rPr>
          <w:t>4</w:t>
        </w:r>
        <w:r w:rsidR="00B26DF1">
          <w:rPr>
            <w:noProof/>
            <w:webHidden/>
          </w:rPr>
          <w:fldChar w:fldCharType="end"/>
        </w:r>
      </w:hyperlink>
    </w:p>
    <w:p w14:paraId="30676D17" w14:textId="05DBDEB4"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4991" w:history="1">
        <w:r w:rsidR="00B26DF1" w:rsidRPr="00032C2E">
          <w:rPr>
            <w:rStyle w:val="Hyperlink"/>
            <w:noProof/>
          </w:rPr>
          <w:t>1.</w:t>
        </w:r>
        <w:r w:rsidR="00B26DF1">
          <w:rPr>
            <w:rFonts w:asciiTheme="minorHAnsi" w:eastAsiaTheme="minorEastAsia" w:hAnsiTheme="minorHAnsi" w:cstheme="minorBidi"/>
            <w:i w:val="0"/>
            <w:noProof/>
            <w:sz w:val="22"/>
            <w:szCs w:val="22"/>
          </w:rPr>
          <w:tab/>
        </w:r>
        <w:r w:rsidR="00B26DF1" w:rsidRPr="00032C2E">
          <w:rPr>
            <w:rStyle w:val="Hyperlink"/>
            <w:noProof/>
          </w:rPr>
          <w:t>Soliciting to customers who cannot understand contract terms should be explicitly prohibited under both the natural gas and electric rules.</w:t>
        </w:r>
        <w:r w:rsidR="00B26DF1">
          <w:rPr>
            <w:noProof/>
            <w:webHidden/>
          </w:rPr>
          <w:tab/>
        </w:r>
        <w:r w:rsidR="00B26DF1">
          <w:rPr>
            <w:noProof/>
            <w:webHidden/>
          </w:rPr>
          <w:fldChar w:fldCharType="begin"/>
        </w:r>
        <w:r w:rsidR="00B26DF1">
          <w:rPr>
            <w:noProof/>
            <w:webHidden/>
          </w:rPr>
          <w:instrText xml:space="preserve"> PAGEREF _Toc85784991 \h </w:instrText>
        </w:r>
        <w:r w:rsidR="00B26DF1">
          <w:rPr>
            <w:noProof/>
            <w:webHidden/>
          </w:rPr>
        </w:r>
        <w:r w:rsidR="00B26DF1">
          <w:rPr>
            <w:noProof/>
            <w:webHidden/>
          </w:rPr>
          <w:fldChar w:fldCharType="separate"/>
        </w:r>
        <w:r w:rsidR="00DE46F6">
          <w:rPr>
            <w:noProof/>
            <w:webHidden/>
          </w:rPr>
          <w:t>5</w:t>
        </w:r>
        <w:r w:rsidR="00B26DF1">
          <w:rPr>
            <w:noProof/>
            <w:webHidden/>
          </w:rPr>
          <w:fldChar w:fldCharType="end"/>
        </w:r>
      </w:hyperlink>
    </w:p>
    <w:p w14:paraId="0AD0D90F" w14:textId="035F216F"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4992" w:history="1">
        <w:r w:rsidR="00B26DF1" w:rsidRPr="00032C2E">
          <w:rPr>
            <w:rStyle w:val="Hyperlink"/>
            <w:noProof/>
          </w:rPr>
          <w:t>2.</w:t>
        </w:r>
        <w:r w:rsidR="00B26DF1">
          <w:rPr>
            <w:rFonts w:asciiTheme="minorHAnsi" w:eastAsiaTheme="minorEastAsia" w:hAnsiTheme="minorHAnsi" w:cstheme="minorBidi"/>
            <w:i w:val="0"/>
            <w:noProof/>
            <w:sz w:val="22"/>
            <w:szCs w:val="22"/>
          </w:rPr>
          <w:tab/>
        </w:r>
        <w:r w:rsidR="00B26DF1" w:rsidRPr="00032C2E">
          <w:rPr>
            <w:rStyle w:val="Hyperlink"/>
            <w:noProof/>
          </w:rPr>
          <w:t>Providing a variety of benefits to enroll with a CRES or CRNGS supplier is not a misleading or deceptive practice.</w:t>
        </w:r>
        <w:r w:rsidR="00B26DF1">
          <w:rPr>
            <w:noProof/>
            <w:webHidden/>
          </w:rPr>
          <w:tab/>
        </w:r>
        <w:r w:rsidR="00B26DF1">
          <w:rPr>
            <w:noProof/>
            <w:webHidden/>
          </w:rPr>
          <w:fldChar w:fldCharType="begin"/>
        </w:r>
        <w:r w:rsidR="00B26DF1">
          <w:rPr>
            <w:noProof/>
            <w:webHidden/>
          </w:rPr>
          <w:instrText xml:space="preserve"> PAGEREF _Toc85784992 \h </w:instrText>
        </w:r>
        <w:r w:rsidR="00B26DF1">
          <w:rPr>
            <w:noProof/>
            <w:webHidden/>
          </w:rPr>
        </w:r>
        <w:r w:rsidR="00B26DF1">
          <w:rPr>
            <w:noProof/>
            <w:webHidden/>
          </w:rPr>
          <w:fldChar w:fldCharType="separate"/>
        </w:r>
        <w:r w:rsidR="00DE46F6">
          <w:rPr>
            <w:noProof/>
            <w:webHidden/>
          </w:rPr>
          <w:t>5</w:t>
        </w:r>
        <w:r w:rsidR="00B26DF1">
          <w:rPr>
            <w:noProof/>
            <w:webHidden/>
          </w:rPr>
          <w:fldChar w:fldCharType="end"/>
        </w:r>
      </w:hyperlink>
    </w:p>
    <w:p w14:paraId="0923D5CA" w14:textId="02714CED"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4993" w:history="1">
        <w:r w:rsidR="00B26DF1" w:rsidRPr="00032C2E">
          <w:rPr>
            <w:rStyle w:val="Hyperlink"/>
            <w:noProof/>
          </w:rPr>
          <w:t>3.</w:t>
        </w:r>
        <w:r w:rsidR="00B26DF1">
          <w:rPr>
            <w:rFonts w:asciiTheme="minorHAnsi" w:eastAsiaTheme="minorEastAsia" w:hAnsiTheme="minorHAnsi" w:cstheme="minorBidi"/>
            <w:i w:val="0"/>
            <w:noProof/>
            <w:sz w:val="22"/>
            <w:szCs w:val="22"/>
          </w:rPr>
          <w:tab/>
        </w:r>
        <w:r w:rsidR="00B26DF1" w:rsidRPr="00032C2E">
          <w:rPr>
            <w:rStyle w:val="Hyperlink"/>
            <w:noProof/>
          </w:rPr>
          <w:t>Allowing a regulated distribution utility to operate a competitive affiliate under the same or similar name is misleading and deceptive and should be prohibited.</w:t>
        </w:r>
        <w:r w:rsidR="00B26DF1">
          <w:rPr>
            <w:noProof/>
            <w:webHidden/>
          </w:rPr>
          <w:tab/>
        </w:r>
        <w:r w:rsidR="00B26DF1">
          <w:rPr>
            <w:noProof/>
            <w:webHidden/>
          </w:rPr>
          <w:fldChar w:fldCharType="begin"/>
        </w:r>
        <w:r w:rsidR="00B26DF1">
          <w:rPr>
            <w:noProof/>
            <w:webHidden/>
          </w:rPr>
          <w:instrText xml:space="preserve"> PAGEREF _Toc85784993 \h </w:instrText>
        </w:r>
        <w:r w:rsidR="00B26DF1">
          <w:rPr>
            <w:noProof/>
            <w:webHidden/>
          </w:rPr>
        </w:r>
        <w:r w:rsidR="00B26DF1">
          <w:rPr>
            <w:noProof/>
            <w:webHidden/>
          </w:rPr>
          <w:fldChar w:fldCharType="separate"/>
        </w:r>
        <w:r w:rsidR="00DE46F6">
          <w:rPr>
            <w:noProof/>
            <w:webHidden/>
          </w:rPr>
          <w:t>6</w:t>
        </w:r>
        <w:r w:rsidR="00B26DF1">
          <w:rPr>
            <w:noProof/>
            <w:webHidden/>
          </w:rPr>
          <w:fldChar w:fldCharType="end"/>
        </w:r>
      </w:hyperlink>
    </w:p>
    <w:p w14:paraId="3ECD68D8" w14:textId="3767E8B8"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4994" w:history="1">
        <w:r w:rsidR="00B26DF1" w:rsidRPr="00032C2E">
          <w:rPr>
            <w:rStyle w:val="Hyperlink"/>
            <w:noProof/>
          </w:rPr>
          <w:t>4.</w:t>
        </w:r>
        <w:r w:rsidR="00B26DF1">
          <w:rPr>
            <w:rFonts w:asciiTheme="minorHAnsi" w:eastAsiaTheme="minorEastAsia" w:hAnsiTheme="minorHAnsi" w:cstheme="minorBidi"/>
            <w:i w:val="0"/>
            <w:noProof/>
            <w:sz w:val="22"/>
            <w:szCs w:val="22"/>
          </w:rPr>
          <w:tab/>
        </w:r>
        <w:r w:rsidR="00B26DF1" w:rsidRPr="00032C2E">
          <w:rPr>
            <w:rStyle w:val="Hyperlink"/>
            <w:noProof/>
          </w:rPr>
          <w:t xml:space="preserve">The recommendations regarding </w:t>
        </w:r>
        <w:r w:rsidR="00B26DF1" w:rsidRPr="00032C2E">
          <w:rPr>
            <w:rStyle w:val="Hyperlink"/>
            <w:rFonts w:eastAsia="Times New Roman"/>
            <w:noProof/>
          </w:rPr>
          <w:t>the marketing of a product</w:t>
        </w:r>
        <w:r w:rsidR="00B26DF1" w:rsidRPr="00032C2E">
          <w:rPr>
            <w:rStyle w:val="Hyperlink"/>
            <w:noProof/>
          </w:rPr>
          <w:t xml:space="preserve"> </w:t>
        </w:r>
        <w:r w:rsidR="00B26DF1" w:rsidRPr="00032C2E">
          <w:rPr>
            <w:rStyle w:val="Hyperlink"/>
            <w:rFonts w:eastAsia="Times New Roman"/>
            <w:noProof/>
          </w:rPr>
          <w:t>based on its fuel source and/or emissions profile are improper, unclear, and better addressed through the Green Pricing Program Rules</w:t>
        </w:r>
        <w:r w:rsidR="00B26DF1" w:rsidRPr="00032C2E">
          <w:rPr>
            <w:rStyle w:val="Hyperlink"/>
            <w:noProof/>
          </w:rPr>
          <w:t>.</w:t>
        </w:r>
        <w:r w:rsidR="00B26DF1">
          <w:rPr>
            <w:noProof/>
            <w:webHidden/>
          </w:rPr>
          <w:tab/>
        </w:r>
        <w:r w:rsidR="00B26DF1">
          <w:rPr>
            <w:noProof/>
            <w:webHidden/>
          </w:rPr>
          <w:fldChar w:fldCharType="begin"/>
        </w:r>
        <w:r w:rsidR="00B26DF1">
          <w:rPr>
            <w:noProof/>
            <w:webHidden/>
          </w:rPr>
          <w:instrText xml:space="preserve"> PAGEREF _Toc85784994 \h </w:instrText>
        </w:r>
        <w:r w:rsidR="00B26DF1">
          <w:rPr>
            <w:noProof/>
            <w:webHidden/>
          </w:rPr>
        </w:r>
        <w:r w:rsidR="00B26DF1">
          <w:rPr>
            <w:noProof/>
            <w:webHidden/>
          </w:rPr>
          <w:fldChar w:fldCharType="separate"/>
        </w:r>
        <w:r w:rsidR="00DE46F6">
          <w:rPr>
            <w:noProof/>
            <w:webHidden/>
          </w:rPr>
          <w:t>9</w:t>
        </w:r>
        <w:r w:rsidR="00B26DF1">
          <w:rPr>
            <w:noProof/>
            <w:webHidden/>
          </w:rPr>
          <w:fldChar w:fldCharType="end"/>
        </w:r>
      </w:hyperlink>
    </w:p>
    <w:p w14:paraId="693C04BA" w14:textId="18DC9090"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4995" w:history="1">
        <w:r w:rsidR="00B26DF1" w:rsidRPr="00032C2E">
          <w:rPr>
            <w:rStyle w:val="Hyperlink"/>
            <w:noProof/>
          </w:rPr>
          <w:t>5.</w:t>
        </w:r>
        <w:r w:rsidR="00B26DF1">
          <w:rPr>
            <w:rFonts w:asciiTheme="minorHAnsi" w:eastAsiaTheme="minorEastAsia" w:hAnsiTheme="minorHAnsi" w:cstheme="minorBidi"/>
            <w:i w:val="0"/>
            <w:noProof/>
            <w:sz w:val="22"/>
            <w:szCs w:val="22"/>
          </w:rPr>
          <w:tab/>
        </w:r>
        <w:r w:rsidR="00B26DF1" w:rsidRPr="00032C2E">
          <w:rPr>
            <w:rStyle w:val="Hyperlink"/>
            <w:noProof/>
          </w:rPr>
          <w:t>The content of the contract is more important and more informative to a customer than a single label.</w:t>
        </w:r>
        <w:r w:rsidR="00B26DF1">
          <w:rPr>
            <w:noProof/>
            <w:webHidden/>
          </w:rPr>
          <w:tab/>
        </w:r>
        <w:r w:rsidR="00B26DF1">
          <w:rPr>
            <w:noProof/>
            <w:webHidden/>
          </w:rPr>
          <w:fldChar w:fldCharType="begin"/>
        </w:r>
        <w:r w:rsidR="00B26DF1">
          <w:rPr>
            <w:noProof/>
            <w:webHidden/>
          </w:rPr>
          <w:instrText xml:space="preserve"> PAGEREF _Toc85784995 \h </w:instrText>
        </w:r>
        <w:r w:rsidR="00B26DF1">
          <w:rPr>
            <w:noProof/>
            <w:webHidden/>
          </w:rPr>
        </w:r>
        <w:r w:rsidR="00B26DF1">
          <w:rPr>
            <w:noProof/>
            <w:webHidden/>
          </w:rPr>
          <w:fldChar w:fldCharType="separate"/>
        </w:r>
        <w:r w:rsidR="00DE46F6">
          <w:rPr>
            <w:noProof/>
            <w:webHidden/>
          </w:rPr>
          <w:t>10</w:t>
        </w:r>
        <w:r w:rsidR="00B26DF1">
          <w:rPr>
            <w:noProof/>
            <w:webHidden/>
          </w:rPr>
          <w:fldChar w:fldCharType="end"/>
        </w:r>
      </w:hyperlink>
    </w:p>
    <w:p w14:paraId="3E8E40BE" w14:textId="6CF99FEB" w:rsidR="00B26DF1" w:rsidRDefault="004108F6">
      <w:pPr>
        <w:pStyle w:val="TOC2"/>
        <w:rPr>
          <w:rFonts w:asciiTheme="minorHAnsi" w:eastAsiaTheme="minorEastAsia" w:hAnsiTheme="minorHAnsi" w:cstheme="minorBidi"/>
          <w:noProof/>
          <w:sz w:val="22"/>
          <w:szCs w:val="22"/>
        </w:rPr>
      </w:pPr>
      <w:hyperlink w:anchor="_Toc85784996" w:history="1">
        <w:r w:rsidR="00B26DF1" w:rsidRPr="00032C2E">
          <w:rPr>
            <w:rStyle w:val="Hyperlink"/>
            <w:noProof/>
          </w:rPr>
          <w:t>B.</w:t>
        </w:r>
        <w:r w:rsidR="00B26DF1">
          <w:rPr>
            <w:rFonts w:asciiTheme="minorHAnsi" w:eastAsiaTheme="minorEastAsia" w:hAnsiTheme="minorHAnsi" w:cstheme="minorBidi"/>
            <w:noProof/>
            <w:sz w:val="22"/>
            <w:szCs w:val="22"/>
          </w:rPr>
          <w:tab/>
        </w:r>
        <w:r w:rsidR="00B26DF1" w:rsidRPr="00032C2E">
          <w:rPr>
            <w:rStyle w:val="Hyperlink"/>
            <w:noProof/>
          </w:rPr>
          <w:t>OCC’s recommendation to prohibit door-to-door energy sales must be rejected.</w:t>
        </w:r>
        <w:r w:rsidR="00B26DF1">
          <w:rPr>
            <w:noProof/>
            <w:webHidden/>
          </w:rPr>
          <w:tab/>
        </w:r>
        <w:r w:rsidR="00B26DF1">
          <w:rPr>
            <w:noProof/>
            <w:webHidden/>
          </w:rPr>
          <w:fldChar w:fldCharType="begin"/>
        </w:r>
        <w:r w:rsidR="00B26DF1">
          <w:rPr>
            <w:noProof/>
            <w:webHidden/>
          </w:rPr>
          <w:instrText xml:space="preserve"> PAGEREF _Toc85784996 \h </w:instrText>
        </w:r>
        <w:r w:rsidR="00B26DF1">
          <w:rPr>
            <w:noProof/>
            <w:webHidden/>
          </w:rPr>
        </w:r>
        <w:r w:rsidR="00B26DF1">
          <w:rPr>
            <w:noProof/>
            <w:webHidden/>
          </w:rPr>
          <w:fldChar w:fldCharType="separate"/>
        </w:r>
        <w:r w:rsidR="00DE46F6">
          <w:rPr>
            <w:noProof/>
            <w:webHidden/>
          </w:rPr>
          <w:t>11</w:t>
        </w:r>
        <w:r w:rsidR="00B26DF1">
          <w:rPr>
            <w:noProof/>
            <w:webHidden/>
          </w:rPr>
          <w:fldChar w:fldCharType="end"/>
        </w:r>
      </w:hyperlink>
    </w:p>
    <w:p w14:paraId="72568573" w14:textId="5BBFF56C" w:rsidR="00B26DF1" w:rsidRDefault="004108F6">
      <w:pPr>
        <w:pStyle w:val="TOC2"/>
        <w:rPr>
          <w:rFonts w:asciiTheme="minorHAnsi" w:eastAsiaTheme="minorEastAsia" w:hAnsiTheme="minorHAnsi" w:cstheme="minorBidi"/>
          <w:noProof/>
          <w:sz w:val="22"/>
          <w:szCs w:val="22"/>
        </w:rPr>
      </w:pPr>
      <w:hyperlink w:anchor="_Toc85784997" w:history="1">
        <w:r w:rsidR="00B26DF1" w:rsidRPr="00032C2E">
          <w:rPr>
            <w:rStyle w:val="Hyperlink"/>
            <w:noProof/>
          </w:rPr>
          <w:t>C.</w:t>
        </w:r>
        <w:r w:rsidR="00B26DF1">
          <w:rPr>
            <w:rFonts w:asciiTheme="minorHAnsi" w:eastAsiaTheme="minorEastAsia" w:hAnsiTheme="minorHAnsi" w:cstheme="minorBidi"/>
            <w:noProof/>
            <w:sz w:val="22"/>
            <w:szCs w:val="22"/>
          </w:rPr>
          <w:tab/>
        </w:r>
        <w:r w:rsidR="00B26DF1" w:rsidRPr="00032C2E">
          <w:rPr>
            <w:rStyle w:val="Hyperlink"/>
            <w:rFonts w:eastAsia="Times New Roman"/>
            <w:noProof/>
          </w:rPr>
          <w:t>The Commission should adopt rules to adequately protect consumers from third-party sales agents acting on behalf of CRES and CRNGS suppliers.</w:t>
        </w:r>
        <w:r w:rsidR="00B26DF1">
          <w:rPr>
            <w:noProof/>
            <w:webHidden/>
          </w:rPr>
          <w:tab/>
        </w:r>
        <w:r w:rsidR="00B26DF1">
          <w:rPr>
            <w:noProof/>
            <w:webHidden/>
          </w:rPr>
          <w:fldChar w:fldCharType="begin"/>
        </w:r>
        <w:r w:rsidR="00B26DF1">
          <w:rPr>
            <w:noProof/>
            <w:webHidden/>
          </w:rPr>
          <w:instrText xml:space="preserve"> PAGEREF _Toc85784997 \h </w:instrText>
        </w:r>
        <w:r w:rsidR="00B26DF1">
          <w:rPr>
            <w:noProof/>
            <w:webHidden/>
          </w:rPr>
        </w:r>
        <w:r w:rsidR="00B26DF1">
          <w:rPr>
            <w:noProof/>
            <w:webHidden/>
          </w:rPr>
          <w:fldChar w:fldCharType="separate"/>
        </w:r>
        <w:r w:rsidR="00DE46F6">
          <w:rPr>
            <w:noProof/>
            <w:webHidden/>
          </w:rPr>
          <w:t>13</w:t>
        </w:r>
        <w:r w:rsidR="00B26DF1">
          <w:rPr>
            <w:noProof/>
            <w:webHidden/>
          </w:rPr>
          <w:fldChar w:fldCharType="end"/>
        </w:r>
      </w:hyperlink>
    </w:p>
    <w:p w14:paraId="7C4A711A" w14:textId="03D16C76" w:rsidR="00B26DF1" w:rsidRDefault="004108F6">
      <w:pPr>
        <w:pStyle w:val="TOC2"/>
        <w:rPr>
          <w:rFonts w:asciiTheme="minorHAnsi" w:eastAsiaTheme="minorEastAsia" w:hAnsiTheme="minorHAnsi" w:cstheme="minorBidi"/>
          <w:noProof/>
          <w:sz w:val="22"/>
          <w:szCs w:val="22"/>
        </w:rPr>
      </w:pPr>
      <w:hyperlink w:anchor="_Toc85784998" w:history="1">
        <w:r w:rsidR="00B26DF1" w:rsidRPr="00032C2E">
          <w:rPr>
            <w:rStyle w:val="Hyperlink"/>
            <w:noProof/>
          </w:rPr>
          <w:t>D.</w:t>
        </w:r>
        <w:r w:rsidR="00B26DF1">
          <w:rPr>
            <w:rFonts w:asciiTheme="minorHAnsi" w:eastAsiaTheme="minorEastAsia" w:hAnsiTheme="minorHAnsi" w:cstheme="minorBidi"/>
            <w:noProof/>
            <w:sz w:val="22"/>
            <w:szCs w:val="22"/>
          </w:rPr>
          <w:tab/>
        </w:r>
        <w:r w:rsidR="00B26DF1" w:rsidRPr="00032C2E">
          <w:rPr>
            <w:rStyle w:val="Hyperlink"/>
            <w:noProof/>
          </w:rPr>
          <w:t>Arbitrarily limiting the amount a CRES or CRNGS supplier may charge as an early termination fee will harm the competitive market.</w:t>
        </w:r>
        <w:r w:rsidR="00B26DF1">
          <w:rPr>
            <w:noProof/>
            <w:webHidden/>
          </w:rPr>
          <w:tab/>
        </w:r>
        <w:r w:rsidR="00B26DF1">
          <w:rPr>
            <w:noProof/>
            <w:webHidden/>
          </w:rPr>
          <w:fldChar w:fldCharType="begin"/>
        </w:r>
        <w:r w:rsidR="00B26DF1">
          <w:rPr>
            <w:noProof/>
            <w:webHidden/>
          </w:rPr>
          <w:instrText xml:space="preserve"> PAGEREF _Toc85784998 \h </w:instrText>
        </w:r>
        <w:r w:rsidR="00B26DF1">
          <w:rPr>
            <w:noProof/>
            <w:webHidden/>
          </w:rPr>
        </w:r>
        <w:r w:rsidR="00B26DF1">
          <w:rPr>
            <w:noProof/>
            <w:webHidden/>
          </w:rPr>
          <w:fldChar w:fldCharType="separate"/>
        </w:r>
        <w:r w:rsidR="00DE46F6">
          <w:rPr>
            <w:noProof/>
            <w:webHidden/>
          </w:rPr>
          <w:t>14</w:t>
        </w:r>
        <w:r w:rsidR="00B26DF1">
          <w:rPr>
            <w:noProof/>
            <w:webHidden/>
          </w:rPr>
          <w:fldChar w:fldCharType="end"/>
        </w:r>
      </w:hyperlink>
    </w:p>
    <w:p w14:paraId="4EE1FB0A" w14:textId="17ECD932" w:rsidR="00B26DF1" w:rsidRDefault="004108F6">
      <w:pPr>
        <w:pStyle w:val="TOC2"/>
        <w:rPr>
          <w:rFonts w:asciiTheme="minorHAnsi" w:eastAsiaTheme="minorEastAsia" w:hAnsiTheme="minorHAnsi" w:cstheme="minorBidi"/>
          <w:noProof/>
          <w:sz w:val="22"/>
          <w:szCs w:val="22"/>
        </w:rPr>
      </w:pPr>
      <w:hyperlink w:anchor="_Toc85784999" w:history="1">
        <w:r w:rsidR="00B26DF1" w:rsidRPr="00032C2E">
          <w:rPr>
            <w:rStyle w:val="Hyperlink"/>
            <w:noProof/>
          </w:rPr>
          <w:t>E.</w:t>
        </w:r>
        <w:r w:rsidR="00B26DF1">
          <w:rPr>
            <w:rFonts w:asciiTheme="minorHAnsi" w:eastAsiaTheme="minorEastAsia" w:hAnsiTheme="minorHAnsi" w:cstheme="minorBidi"/>
            <w:noProof/>
            <w:sz w:val="22"/>
            <w:szCs w:val="22"/>
          </w:rPr>
          <w:tab/>
        </w:r>
        <w:r w:rsidR="00B26DF1" w:rsidRPr="00032C2E">
          <w:rPr>
            <w:rStyle w:val="Hyperlink"/>
            <w:noProof/>
          </w:rPr>
          <w:t>The Commission should reject the unnecessary and unreasonable limitations to variable rates proposed by OCC.</w:t>
        </w:r>
        <w:r w:rsidR="00B26DF1">
          <w:rPr>
            <w:noProof/>
            <w:webHidden/>
          </w:rPr>
          <w:tab/>
        </w:r>
        <w:r w:rsidR="00B26DF1">
          <w:rPr>
            <w:noProof/>
            <w:webHidden/>
          </w:rPr>
          <w:fldChar w:fldCharType="begin"/>
        </w:r>
        <w:r w:rsidR="00B26DF1">
          <w:rPr>
            <w:noProof/>
            <w:webHidden/>
          </w:rPr>
          <w:instrText xml:space="preserve"> PAGEREF _Toc85784999 \h </w:instrText>
        </w:r>
        <w:r w:rsidR="00B26DF1">
          <w:rPr>
            <w:noProof/>
            <w:webHidden/>
          </w:rPr>
        </w:r>
        <w:r w:rsidR="00B26DF1">
          <w:rPr>
            <w:noProof/>
            <w:webHidden/>
          </w:rPr>
          <w:fldChar w:fldCharType="separate"/>
        </w:r>
        <w:r w:rsidR="00DE46F6">
          <w:rPr>
            <w:noProof/>
            <w:webHidden/>
          </w:rPr>
          <w:t>15</w:t>
        </w:r>
        <w:r w:rsidR="00B26DF1">
          <w:rPr>
            <w:noProof/>
            <w:webHidden/>
          </w:rPr>
          <w:fldChar w:fldCharType="end"/>
        </w:r>
      </w:hyperlink>
    </w:p>
    <w:p w14:paraId="4E688D91" w14:textId="304218EC"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5000" w:history="1">
        <w:r w:rsidR="00B26DF1" w:rsidRPr="00032C2E">
          <w:rPr>
            <w:rStyle w:val="Hyperlink"/>
            <w:noProof/>
          </w:rPr>
          <w:t>1.</w:t>
        </w:r>
        <w:r w:rsidR="00B26DF1">
          <w:rPr>
            <w:rFonts w:asciiTheme="minorHAnsi" w:eastAsiaTheme="minorEastAsia" w:hAnsiTheme="minorHAnsi" w:cstheme="minorBidi"/>
            <w:i w:val="0"/>
            <w:noProof/>
            <w:sz w:val="22"/>
            <w:szCs w:val="22"/>
          </w:rPr>
          <w:tab/>
        </w:r>
        <w:r w:rsidR="00B26DF1" w:rsidRPr="00032C2E">
          <w:rPr>
            <w:rStyle w:val="Hyperlink"/>
            <w:noProof/>
          </w:rPr>
          <w:t>The current rules adequately address variable rate offerings.</w:t>
        </w:r>
        <w:r w:rsidR="00B26DF1">
          <w:rPr>
            <w:noProof/>
            <w:webHidden/>
          </w:rPr>
          <w:tab/>
        </w:r>
        <w:r w:rsidR="00B26DF1">
          <w:rPr>
            <w:noProof/>
            <w:webHidden/>
          </w:rPr>
          <w:fldChar w:fldCharType="begin"/>
        </w:r>
        <w:r w:rsidR="00B26DF1">
          <w:rPr>
            <w:noProof/>
            <w:webHidden/>
          </w:rPr>
          <w:instrText xml:space="preserve"> PAGEREF _Toc85785000 \h </w:instrText>
        </w:r>
        <w:r w:rsidR="00B26DF1">
          <w:rPr>
            <w:noProof/>
            <w:webHidden/>
          </w:rPr>
        </w:r>
        <w:r w:rsidR="00B26DF1">
          <w:rPr>
            <w:noProof/>
            <w:webHidden/>
          </w:rPr>
          <w:fldChar w:fldCharType="separate"/>
        </w:r>
        <w:r w:rsidR="00DE46F6">
          <w:rPr>
            <w:noProof/>
            <w:webHidden/>
          </w:rPr>
          <w:t>15</w:t>
        </w:r>
        <w:r w:rsidR="00B26DF1">
          <w:rPr>
            <w:noProof/>
            <w:webHidden/>
          </w:rPr>
          <w:fldChar w:fldCharType="end"/>
        </w:r>
      </w:hyperlink>
    </w:p>
    <w:p w14:paraId="1C0BD2D6" w14:textId="139E208F" w:rsidR="00B26DF1" w:rsidRDefault="004108F6">
      <w:pPr>
        <w:pStyle w:val="TOC3"/>
        <w:tabs>
          <w:tab w:val="right" w:leader="dot" w:pos="9350"/>
        </w:tabs>
        <w:rPr>
          <w:rFonts w:asciiTheme="minorHAnsi" w:eastAsiaTheme="minorEastAsia" w:hAnsiTheme="minorHAnsi" w:cstheme="minorBidi"/>
          <w:i w:val="0"/>
          <w:noProof/>
          <w:sz w:val="22"/>
          <w:szCs w:val="22"/>
        </w:rPr>
      </w:pPr>
      <w:hyperlink w:anchor="_Toc85785001" w:history="1">
        <w:r w:rsidR="00B26DF1" w:rsidRPr="00032C2E">
          <w:rPr>
            <w:rStyle w:val="Hyperlink"/>
            <w:noProof/>
          </w:rPr>
          <w:t>2.</w:t>
        </w:r>
        <w:r w:rsidR="00B26DF1">
          <w:rPr>
            <w:rFonts w:asciiTheme="minorHAnsi" w:eastAsiaTheme="minorEastAsia" w:hAnsiTheme="minorHAnsi" w:cstheme="minorBidi"/>
            <w:i w:val="0"/>
            <w:noProof/>
            <w:sz w:val="22"/>
            <w:szCs w:val="22"/>
          </w:rPr>
          <w:tab/>
        </w:r>
        <w:r w:rsidR="00B26DF1" w:rsidRPr="00032C2E">
          <w:rPr>
            <w:rStyle w:val="Hyperlink"/>
            <w:noProof/>
          </w:rPr>
          <w:t>Setting a cap on the rates permitted to be charged by Suppliers is unlawful, unreasonable, and impractical.</w:t>
        </w:r>
        <w:r w:rsidR="00B26DF1">
          <w:rPr>
            <w:noProof/>
            <w:webHidden/>
          </w:rPr>
          <w:tab/>
        </w:r>
        <w:r w:rsidR="00B26DF1">
          <w:rPr>
            <w:noProof/>
            <w:webHidden/>
          </w:rPr>
          <w:fldChar w:fldCharType="begin"/>
        </w:r>
        <w:r w:rsidR="00B26DF1">
          <w:rPr>
            <w:noProof/>
            <w:webHidden/>
          </w:rPr>
          <w:instrText xml:space="preserve"> PAGEREF _Toc85785001 \h </w:instrText>
        </w:r>
        <w:r w:rsidR="00B26DF1">
          <w:rPr>
            <w:noProof/>
            <w:webHidden/>
          </w:rPr>
        </w:r>
        <w:r w:rsidR="00B26DF1">
          <w:rPr>
            <w:noProof/>
            <w:webHidden/>
          </w:rPr>
          <w:fldChar w:fldCharType="separate"/>
        </w:r>
        <w:r w:rsidR="00DE46F6">
          <w:rPr>
            <w:noProof/>
            <w:webHidden/>
          </w:rPr>
          <w:t>17</w:t>
        </w:r>
        <w:r w:rsidR="00B26DF1">
          <w:rPr>
            <w:noProof/>
            <w:webHidden/>
          </w:rPr>
          <w:fldChar w:fldCharType="end"/>
        </w:r>
      </w:hyperlink>
    </w:p>
    <w:p w14:paraId="0CA42972" w14:textId="36A4C9B1" w:rsidR="00B26DF1" w:rsidRDefault="004108F6">
      <w:pPr>
        <w:pStyle w:val="TOC2"/>
        <w:rPr>
          <w:rFonts w:asciiTheme="minorHAnsi" w:eastAsiaTheme="minorEastAsia" w:hAnsiTheme="minorHAnsi" w:cstheme="minorBidi"/>
          <w:noProof/>
          <w:sz w:val="22"/>
          <w:szCs w:val="22"/>
        </w:rPr>
      </w:pPr>
      <w:hyperlink w:anchor="_Toc85785002" w:history="1">
        <w:r w:rsidR="00B26DF1" w:rsidRPr="00032C2E">
          <w:rPr>
            <w:rStyle w:val="Hyperlink"/>
            <w:noProof/>
          </w:rPr>
          <w:t>F.</w:t>
        </w:r>
        <w:r w:rsidR="00B26DF1">
          <w:rPr>
            <w:rFonts w:asciiTheme="minorHAnsi" w:eastAsiaTheme="minorEastAsia" w:hAnsiTheme="minorHAnsi" w:cstheme="minorBidi"/>
            <w:noProof/>
            <w:sz w:val="22"/>
            <w:szCs w:val="22"/>
          </w:rPr>
          <w:tab/>
        </w:r>
        <w:r w:rsidR="00B26DF1" w:rsidRPr="00032C2E">
          <w:rPr>
            <w:rStyle w:val="Hyperlink"/>
            <w:noProof/>
          </w:rPr>
          <w:t>The Commission should continue to reject shadow billing proposals as unnecessary and misleading.</w:t>
        </w:r>
        <w:r w:rsidR="00B26DF1">
          <w:rPr>
            <w:noProof/>
            <w:webHidden/>
          </w:rPr>
          <w:tab/>
        </w:r>
        <w:r w:rsidR="00B26DF1">
          <w:rPr>
            <w:noProof/>
            <w:webHidden/>
          </w:rPr>
          <w:fldChar w:fldCharType="begin"/>
        </w:r>
        <w:r w:rsidR="00B26DF1">
          <w:rPr>
            <w:noProof/>
            <w:webHidden/>
          </w:rPr>
          <w:instrText xml:space="preserve"> PAGEREF _Toc85785002 \h </w:instrText>
        </w:r>
        <w:r w:rsidR="00B26DF1">
          <w:rPr>
            <w:noProof/>
            <w:webHidden/>
          </w:rPr>
        </w:r>
        <w:r w:rsidR="00B26DF1">
          <w:rPr>
            <w:noProof/>
            <w:webHidden/>
          </w:rPr>
          <w:fldChar w:fldCharType="separate"/>
        </w:r>
        <w:r w:rsidR="00DE46F6">
          <w:rPr>
            <w:noProof/>
            <w:webHidden/>
          </w:rPr>
          <w:t>18</w:t>
        </w:r>
        <w:r w:rsidR="00B26DF1">
          <w:rPr>
            <w:noProof/>
            <w:webHidden/>
          </w:rPr>
          <w:fldChar w:fldCharType="end"/>
        </w:r>
      </w:hyperlink>
    </w:p>
    <w:p w14:paraId="10D6BBC1" w14:textId="70D3E768" w:rsidR="00B26DF1" w:rsidRDefault="004108F6">
      <w:pPr>
        <w:pStyle w:val="TOC2"/>
        <w:rPr>
          <w:rFonts w:asciiTheme="minorHAnsi" w:eastAsiaTheme="minorEastAsia" w:hAnsiTheme="minorHAnsi" w:cstheme="minorBidi"/>
          <w:noProof/>
          <w:sz w:val="22"/>
          <w:szCs w:val="22"/>
        </w:rPr>
      </w:pPr>
      <w:hyperlink w:anchor="_Toc85785003" w:history="1">
        <w:r w:rsidR="00B26DF1" w:rsidRPr="00032C2E">
          <w:rPr>
            <w:rStyle w:val="Hyperlink"/>
            <w:noProof/>
          </w:rPr>
          <w:t>G.</w:t>
        </w:r>
        <w:r w:rsidR="00B26DF1">
          <w:rPr>
            <w:rFonts w:asciiTheme="minorHAnsi" w:eastAsiaTheme="minorEastAsia" w:hAnsiTheme="minorHAnsi" w:cstheme="minorBidi"/>
            <w:noProof/>
            <w:sz w:val="22"/>
            <w:szCs w:val="22"/>
          </w:rPr>
          <w:tab/>
        </w:r>
        <w:r w:rsidR="00B26DF1" w:rsidRPr="00032C2E">
          <w:rPr>
            <w:rStyle w:val="Hyperlink"/>
            <w:noProof/>
          </w:rPr>
          <w:t>An additional do-not-call list is unnecessary.</w:t>
        </w:r>
        <w:r w:rsidR="00B26DF1">
          <w:rPr>
            <w:noProof/>
            <w:webHidden/>
          </w:rPr>
          <w:tab/>
        </w:r>
        <w:r w:rsidR="00B26DF1">
          <w:rPr>
            <w:noProof/>
            <w:webHidden/>
          </w:rPr>
          <w:fldChar w:fldCharType="begin"/>
        </w:r>
        <w:r w:rsidR="00B26DF1">
          <w:rPr>
            <w:noProof/>
            <w:webHidden/>
          </w:rPr>
          <w:instrText xml:space="preserve"> PAGEREF _Toc85785003 \h </w:instrText>
        </w:r>
        <w:r w:rsidR="00B26DF1">
          <w:rPr>
            <w:noProof/>
            <w:webHidden/>
          </w:rPr>
        </w:r>
        <w:r w:rsidR="00B26DF1">
          <w:rPr>
            <w:noProof/>
            <w:webHidden/>
          </w:rPr>
          <w:fldChar w:fldCharType="separate"/>
        </w:r>
        <w:r w:rsidR="00DE46F6">
          <w:rPr>
            <w:noProof/>
            <w:webHidden/>
          </w:rPr>
          <w:t>20</w:t>
        </w:r>
        <w:r w:rsidR="00B26DF1">
          <w:rPr>
            <w:noProof/>
            <w:webHidden/>
          </w:rPr>
          <w:fldChar w:fldCharType="end"/>
        </w:r>
      </w:hyperlink>
    </w:p>
    <w:p w14:paraId="18ED9D94" w14:textId="24F90AB5" w:rsidR="00B26DF1" w:rsidRDefault="004108F6">
      <w:pPr>
        <w:pStyle w:val="TOC2"/>
        <w:rPr>
          <w:rFonts w:asciiTheme="minorHAnsi" w:eastAsiaTheme="minorEastAsia" w:hAnsiTheme="minorHAnsi" w:cstheme="minorBidi"/>
          <w:noProof/>
          <w:sz w:val="22"/>
          <w:szCs w:val="22"/>
        </w:rPr>
      </w:pPr>
      <w:hyperlink w:anchor="_Toc85785004" w:history="1">
        <w:r w:rsidR="00B26DF1" w:rsidRPr="00032C2E">
          <w:rPr>
            <w:rStyle w:val="Hyperlink"/>
            <w:noProof/>
          </w:rPr>
          <w:t>H.</w:t>
        </w:r>
        <w:r w:rsidR="00B26DF1">
          <w:rPr>
            <w:rFonts w:asciiTheme="minorHAnsi" w:eastAsiaTheme="minorEastAsia" w:hAnsiTheme="minorHAnsi" w:cstheme="minorBidi"/>
            <w:noProof/>
            <w:sz w:val="22"/>
            <w:szCs w:val="22"/>
          </w:rPr>
          <w:tab/>
        </w:r>
        <w:r w:rsidR="00B26DF1" w:rsidRPr="00032C2E">
          <w:rPr>
            <w:rStyle w:val="Hyperlink"/>
            <w:noProof/>
          </w:rPr>
          <w:t>With proper notice, automatic renewal clauses within an energy contract should be not prohibited.</w:t>
        </w:r>
        <w:r w:rsidR="00B26DF1">
          <w:rPr>
            <w:noProof/>
            <w:webHidden/>
          </w:rPr>
          <w:tab/>
        </w:r>
        <w:r w:rsidR="00B26DF1">
          <w:rPr>
            <w:noProof/>
            <w:webHidden/>
          </w:rPr>
          <w:fldChar w:fldCharType="begin"/>
        </w:r>
        <w:r w:rsidR="00B26DF1">
          <w:rPr>
            <w:noProof/>
            <w:webHidden/>
          </w:rPr>
          <w:instrText xml:space="preserve"> PAGEREF _Toc85785004 \h </w:instrText>
        </w:r>
        <w:r w:rsidR="00B26DF1">
          <w:rPr>
            <w:noProof/>
            <w:webHidden/>
          </w:rPr>
        </w:r>
        <w:r w:rsidR="00B26DF1">
          <w:rPr>
            <w:noProof/>
            <w:webHidden/>
          </w:rPr>
          <w:fldChar w:fldCharType="separate"/>
        </w:r>
        <w:r w:rsidR="00DE46F6">
          <w:rPr>
            <w:noProof/>
            <w:webHidden/>
          </w:rPr>
          <w:t>20</w:t>
        </w:r>
        <w:r w:rsidR="00B26DF1">
          <w:rPr>
            <w:noProof/>
            <w:webHidden/>
          </w:rPr>
          <w:fldChar w:fldCharType="end"/>
        </w:r>
      </w:hyperlink>
    </w:p>
    <w:p w14:paraId="6EC2EEA9" w14:textId="041E3761" w:rsidR="00B26DF1" w:rsidRDefault="004108F6">
      <w:pPr>
        <w:pStyle w:val="TOC2"/>
        <w:rPr>
          <w:rFonts w:asciiTheme="minorHAnsi" w:eastAsiaTheme="minorEastAsia" w:hAnsiTheme="minorHAnsi" w:cstheme="minorBidi"/>
          <w:noProof/>
          <w:sz w:val="22"/>
          <w:szCs w:val="22"/>
        </w:rPr>
      </w:pPr>
      <w:hyperlink w:anchor="_Toc85785005" w:history="1">
        <w:r w:rsidR="00B26DF1" w:rsidRPr="00032C2E">
          <w:rPr>
            <w:rStyle w:val="Hyperlink"/>
            <w:noProof/>
          </w:rPr>
          <w:t>I.</w:t>
        </w:r>
        <w:r w:rsidR="00B26DF1">
          <w:rPr>
            <w:rFonts w:asciiTheme="minorHAnsi" w:eastAsiaTheme="minorEastAsia" w:hAnsiTheme="minorHAnsi" w:cstheme="minorBidi"/>
            <w:noProof/>
            <w:sz w:val="22"/>
            <w:szCs w:val="22"/>
          </w:rPr>
          <w:tab/>
        </w:r>
        <w:r w:rsidR="00B26DF1" w:rsidRPr="00032C2E">
          <w:rPr>
            <w:rStyle w:val="Hyperlink"/>
            <w:noProof/>
          </w:rPr>
          <w:t>The Commission should continue to allow enrollments from inbound customer calls to CRNGS suppliers to be completed without requiring a third-party verification.</w:t>
        </w:r>
        <w:r w:rsidR="00B26DF1">
          <w:rPr>
            <w:noProof/>
            <w:webHidden/>
          </w:rPr>
          <w:tab/>
        </w:r>
        <w:r w:rsidR="00B26DF1">
          <w:rPr>
            <w:noProof/>
            <w:webHidden/>
          </w:rPr>
          <w:fldChar w:fldCharType="begin"/>
        </w:r>
        <w:r w:rsidR="00B26DF1">
          <w:rPr>
            <w:noProof/>
            <w:webHidden/>
          </w:rPr>
          <w:instrText xml:space="preserve"> PAGEREF _Toc85785005 \h </w:instrText>
        </w:r>
        <w:r w:rsidR="00B26DF1">
          <w:rPr>
            <w:noProof/>
            <w:webHidden/>
          </w:rPr>
        </w:r>
        <w:r w:rsidR="00B26DF1">
          <w:rPr>
            <w:noProof/>
            <w:webHidden/>
          </w:rPr>
          <w:fldChar w:fldCharType="separate"/>
        </w:r>
        <w:r w:rsidR="00DE46F6">
          <w:rPr>
            <w:noProof/>
            <w:webHidden/>
          </w:rPr>
          <w:t>21</w:t>
        </w:r>
        <w:r w:rsidR="00B26DF1">
          <w:rPr>
            <w:noProof/>
            <w:webHidden/>
          </w:rPr>
          <w:fldChar w:fldCharType="end"/>
        </w:r>
      </w:hyperlink>
    </w:p>
    <w:p w14:paraId="474AB691" w14:textId="6952FB8C" w:rsidR="00B26DF1" w:rsidRDefault="004108F6">
      <w:pPr>
        <w:pStyle w:val="TOC1"/>
        <w:tabs>
          <w:tab w:val="left" w:pos="936"/>
          <w:tab w:val="right" w:leader="dot" w:pos="9350"/>
        </w:tabs>
        <w:rPr>
          <w:rFonts w:asciiTheme="minorHAnsi" w:eastAsiaTheme="minorEastAsia" w:hAnsiTheme="minorHAnsi" w:cstheme="minorBidi"/>
          <w:b w:val="0"/>
          <w:bCs w:val="0"/>
          <w:noProof/>
          <w:sz w:val="22"/>
          <w:szCs w:val="22"/>
        </w:rPr>
      </w:pPr>
      <w:hyperlink w:anchor="_Toc85785006" w:history="1">
        <w:r w:rsidR="00B26DF1" w:rsidRPr="00032C2E">
          <w:rPr>
            <w:rStyle w:val="Hyperlink"/>
            <w:noProof/>
          </w:rPr>
          <w:t>III.</w:t>
        </w:r>
        <w:r w:rsidR="00B26DF1">
          <w:rPr>
            <w:rFonts w:asciiTheme="minorHAnsi" w:eastAsiaTheme="minorEastAsia" w:hAnsiTheme="minorHAnsi" w:cstheme="minorBidi"/>
            <w:b w:val="0"/>
            <w:bCs w:val="0"/>
            <w:noProof/>
            <w:sz w:val="22"/>
            <w:szCs w:val="22"/>
          </w:rPr>
          <w:tab/>
        </w:r>
        <w:r w:rsidR="00B26DF1" w:rsidRPr="00032C2E">
          <w:rPr>
            <w:rStyle w:val="Hyperlink"/>
            <w:noProof/>
          </w:rPr>
          <w:t>CONCLUSION</w:t>
        </w:r>
        <w:r w:rsidR="00B26DF1">
          <w:rPr>
            <w:noProof/>
            <w:webHidden/>
          </w:rPr>
          <w:tab/>
        </w:r>
        <w:r w:rsidR="00B26DF1">
          <w:rPr>
            <w:noProof/>
            <w:webHidden/>
          </w:rPr>
          <w:fldChar w:fldCharType="begin"/>
        </w:r>
        <w:r w:rsidR="00B26DF1">
          <w:rPr>
            <w:noProof/>
            <w:webHidden/>
          </w:rPr>
          <w:instrText xml:space="preserve"> PAGEREF _Toc85785006 \h </w:instrText>
        </w:r>
        <w:r w:rsidR="00B26DF1">
          <w:rPr>
            <w:noProof/>
            <w:webHidden/>
          </w:rPr>
        </w:r>
        <w:r w:rsidR="00B26DF1">
          <w:rPr>
            <w:noProof/>
            <w:webHidden/>
          </w:rPr>
          <w:fldChar w:fldCharType="separate"/>
        </w:r>
        <w:r w:rsidR="00DE46F6">
          <w:rPr>
            <w:noProof/>
            <w:webHidden/>
          </w:rPr>
          <w:t>22</w:t>
        </w:r>
        <w:r w:rsidR="00B26DF1">
          <w:rPr>
            <w:noProof/>
            <w:webHidden/>
          </w:rPr>
          <w:fldChar w:fldCharType="end"/>
        </w:r>
      </w:hyperlink>
    </w:p>
    <w:p w14:paraId="32E38354" w14:textId="184AA52E" w:rsidR="00AF5891" w:rsidRPr="002E16BA" w:rsidRDefault="00B26DF1" w:rsidP="000D121D">
      <w:pPr>
        <w:rPr>
          <w:rFonts w:ascii="Arial" w:eastAsia="Times New Roman" w:hAnsi="Arial" w:cs="Arial"/>
          <w:b/>
          <w:bCs/>
          <w:sz w:val="24"/>
          <w:szCs w:val="24"/>
        </w:rPr>
      </w:pPr>
      <w:r>
        <w:rPr>
          <w:rFonts w:ascii="Arial" w:eastAsia="Times New Roman" w:hAnsi="Arial" w:cs="Arial"/>
          <w:sz w:val="24"/>
          <w:szCs w:val="24"/>
        </w:rPr>
        <w:fldChar w:fldCharType="end"/>
      </w:r>
      <w:r w:rsidR="00AF5891" w:rsidRPr="002E16BA">
        <w:rPr>
          <w:rFonts w:ascii="Arial" w:eastAsia="Times New Roman" w:hAnsi="Arial" w:cs="Arial"/>
          <w:b/>
          <w:bCs/>
          <w:sz w:val="24"/>
          <w:szCs w:val="24"/>
        </w:rPr>
        <w:br w:type="page"/>
      </w:r>
    </w:p>
    <w:p w14:paraId="7342A18F" w14:textId="0CEAF3E9" w:rsidR="00BB395F" w:rsidRPr="00BB395F" w:rsidRDefault="00BB395F" w:rsidP="00BB395F">
      <w:pPr>
        <w:spacing w:after="0" w:line="240" w:lineRule="auto"/>
        <w:jc w:val="center"/>
        <w:textAlignment w:val="baseline"/>
        <w:rPr>
          <w:rFonts w:ascii="Segoe UI" w:eastAsia="Times New Roman" w:hAnsi="Segoe UI" w:cs="Segoe UI"/>
          <w:b/>
          <w:bCs/>
          <w:sz w:val="18"/>
          <w:szCs w:val="18"/>
        </w:rPr>
      </w:pPr>
      <w:r w:rsidRPr="00BB395F">
        <w:rPr>
          <w:rFonts w:ascii="Arial" w:eastAsia="Times New Roman" w:hAnsi="Arial" w:cs="Arial"/>
          <w:b/>
          <w:bCs/>
          <w:sz w:val="24"/>
          <w:szCs w:val="24"/>
        </w:rPr>
        <w:lastRenderedPageBreak/>
        <w:t>BEFORE </w:t>
      </w:r>
    </w:p>
    <w:p w14:paraId="5E3CE5AE" w14:textId="7E75C372" w:rsidR="00BB395F" w:rsidRDefault="00BB395F" w:rsidP="00BB395F">
      <w:pPr>
        <w:spacing w:after="0" w:line="240" w:lineRule="auto"/>
        <w:jc w:val="center"/>
        <w:textAlignment w:val="baseline"/>
        <w:rPr>
          <w:rFonts w:ascii="Arial" w:eastAsia="Times New Roman" w:hAnsi="Arial" w:cs="Arial"/>
          <w:sz w:val="24"/>
          <w:szCs w:val="24"/>
        </w:rPr>
      </w:pPr>
      <w:r w:rsidRPr="00BB395F">
        <w:rPr>
          <w:rFonts w:ascii="Arial" w:eastAsia="Times New Roman" w:hAnsi="Arial" w:cs="Arial"/>
          <w:b/>
          <w:bCs/>
          <w:sz w:val="24"/>
          <w:szCs w:val="24"/>
        </w:rPr>
        <w:t>THE PUBLIC UTILITIES COMMISSION OF OHIO</w:t>
      </w:r>
      <w:r w:rsidRPr="00BB395F">
        <w:rPr>
          <w:rFonts w:ascii="Arial" w:eastAsia="Times New Roman" w:hAnsi="Arial" w:cs="Arial"/>
          <w:sz w:val="24"/>
          <w:szCs w:val="24"/>
        </w:rPr>
        <w:t> </w:t>
      </w:r>
    </w:p>
    <w:p w14:paraId="06D7E979" w14:textId="77777777" w:rsidR="00604F28" w:rsidRPr="00BB395F" w:rsidRDefault="00604F28" w:rsidP="00BB395F">
      <w:pPr>
        <w:spacing w:after="0" w:line="240" w:lineRule="auto"/>
        <w:jc w:val="center"/>
        <w:textAlignment w:val="baseline"/>
        <w:rPr>
          <w:rFonts w:ascii="Segoe UI" w:eastAsia="Times New Roman" w:hAnsi="Segoe UI" w:cs="Segoe U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80"/>
        <w:gridCol w:w="2340"/>
      </w:tblGrid>
      <w:tr w:rsidR="004D4B3D" w:rsidRPr="004D4B3D" w14:paraId="6C2486AD" w14:textId="77777777" w:rsidTr="004D4B3D">
        <w:trPr>
          <w:jc w:val="center"/>
        </w:trPr>
        <w:tc>
          <w:tcPr>
            <w:tcW w:w="4230" w:type="dxa"/>
          </w:tcPr>
          <w:p w14:paraId="5F9256AD" w14:textId="77777777" w:rsidR="004D4B3D" w:rsidRPr="004D4B3D" w:rsidRDefault="004D4B3D" w:rsidP="004D4B3D">
            <w:pPr>
              <w:jc w:val="both"/>
              <w:textAlignment w:val="baseline"/>
              <w:rPr>
                <w:rFonts w:ascii="Arial" w:eastAsia="Times New Roman" w:hAnsi="Arial" w:cs="Arial"/>
                <w:sz w:val="24"/>
                <w:szCs w:val="24"/>
              </w:rPr>
            </w:pPr>
            <w:r w:rsidRPr="004D4B3D">
              <w:rPr>
                <w:rFonts w:ascii="Arial" w:eastAsia="Times New Roman" w:hAnsi="Arial" w:cs="Arial"/>
                <w:sz w:val="24"/>
                <w:szCs w:val="24"/>
              </w:rPr>
              <w:t xml:space="preserve">In the Matter of the Commission’s Review of Ohio </w:t>
            </w:r>
            <w:proofErr w:type="spellStart"/>
            <w:r w:rsidRPr="004D4B3D">
              <w:rPr>
                <w:rFonts w:ascii="Arial" w:eastAsia="Times New Roman" w:hAnsi="Arial" w:cs="Arial"/>
                <w:sz w:val="24"/>
                <w:szCs w:val="24"/>
              </w:rPr>
              <w:t>Adm.Code</w:t>
            </w:r>
            <w:proofErr w:type="spellEnd"/>
            <w:r w:rsidRPr="004D4B3D">
              <w:rPr>
                <w:rFonts w:ascii="Arial" w:eastAsia="Times New Roman" w:hAnsi="Arial" w:cs="Arial"/>
                <w:sz w:val="24"/>
                <w:szCs w:val="24"/>
              </w:rPr>
              <w:t xml:space="preserve"> Chapters 4901:1-21, 4901:1-23, 4901:1-24, 4901:1-27, 4901:1-28, 4901:1-29, 4901:1-30, 4901:1-31, 4901:1-32, 4901:1-33, and 4901:1-34 Regarding Rules Governing Competitive Retail Electric Service and Competitive Retail Natural Gas Service. </w:t>
            </w:r>
          </w:p>
        </w:tc>
        <w:tc>
          <w:tcPr>
            <w:tcW w:w="1980" w:type="dxa"/>
          </w:tcPr>
          <w:p w14:paraId="0C142057" w14:textId="0C7218B6" w:rsidR="004D4B3D" w:rsidRPr="004D4B3D" w:rsidRDefault="004D4B3D" w:rsidP="004D4B3D">
            <w:pPr>
              <w:jc w:val="right"/>
              <w:textAlignment w:val="baseline"/>
              <w:rPr>
                <w:rFonts w:ascii="Arial" w:eastAsia="Times New Roman" w:hAnsi="Arial" w:cs="Arial"/>
                <w:sz w:val="24"/>
                <w:szCs w:val="24"/>
              </w:rPr>
            </w:pPr>
            <w:r w:rsidRPr="004D4B3D">
              <w:rPr>
                <w:rFonts w:ascii="Arial" w:eastAsia="Times New Roman" w:hAnsi="Arial" w:cs="Arial"/>
                <w:sz w:val="24"/>
                <w:szCs w:val="24"/>
              </w:rPr>
              <w:t>Case</w:t>
            </w:r>
            <w:r>
              <w:rPr>
                <w:rFonts w:ascii="Arial" w:eastAsia="Times New Roman" w:hAnsi="Arial" w:cs="Arial"/>
                <w:sz w:val="24"/>
                <w:szCs w:val="24"/>
              </w:rPr>
              <w:t xml:space="preserve"> </w:t>
            </w:r>
            <w:r w:rsidRPr="004D4B3D">
              <w:rPr>
                <w:rFonts w:ascii="Arial" w:eastAsia="Times New Roman" w:hAnsi="Arial" w:cs="Arial"/>
                <w:sz w:val="24"/>
                <w:szCs w:val="24"/>
              </w:rPr>
              <w:t>Nos.</w:t>
            </w:r>
          </w:p>
        </w:tc>
        <w:tc>
          <w:tcPr>
            <w:tcW w:w="2340" w:type="dxa"/>
          </w:tcPr>
          <w:p w14:paraId="7B2955E3"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17-1843-EL-ORD </w:t>
            </w:r>
          </w:p>
          <w:p w14:paraId="7BD0CCB6"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17-1844-EL-ORD </w:t>
            </w:r>
          </w:p>
          <w:p w14:paraId="144A6E03"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17-1862-EL-ORD </w:t>
            </w:r>
          </w:p>
          <w:p w14:paraId="066B215D"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17-1845-GA-ORD </w:t>
            </w:r>
          </w:p>
          <w:p w14:paraId="56EBB012"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17-1846-GA-ORD </w:t>
            </w:r>
          </w:p>
          <w:p w14:paraId="2ACE80BA"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17-1847-GA-ORD </w:t>
            </w:r>
          </w:p>
          <w:p w14:paraId="4F2D1F69"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17-1848-GA-ORD </w:t>
            </w:r>
          </w:p>
          <w:p w14:paraId="111ACFB2"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17-1849-GA-ORD </w:t>
            </w:r>
          </w:p>
          <w:p w14:paraId="4C9E9D41"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17-1850-GA-ORD </w:t>
            </w:r>
          </w:p>
          <w:p w14:paraId="7C03AC4A"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 xml:space="preserve">17-1851-GA-ORD </w:t>
            </w:r>
          </w:p>
          <w:p w14:paraId="33F57F61" w14:textId="77777777" w:rsidR="004D4B3D" w:rsidRPr="004D4B3D" w:rsidRDefault="004D4B3D" w:rsidP="004D4B3D">
            <w:pPr>
              <w:textAlignment w:val="baseline"/>
              <w:rPr>
                <w:rFonts w:ascii="Arial" w:eastAsia="Times New Roman" w:hAnsi="Arial" w:cs="Arial"/>
                <w:sz w:val="24"/>
                <w:szCs w:val="24"/>
              </w:rPr>
            </w:pPr>
            <w:r w:rsidRPr="004D4B3D">
              <w:rPr>
                <w:rFonts w:ascii="Arial" w:eastAsia="Times New Roman" w:hAnsi="Arial" w:cs="Arial"/>
                <w:sz w:val="24"/>
                <w:szCs w:val="24"/>
              </w:rPr>
              <w:t>17-1852-GA-ORD</w:t>
            </w:r>
          </w:p>
        </w:tc>
      </w:tr>
    </w:tbl>
    <w:p w14:paraId="35FA224C" w14:textId="3443FFD6" w:rsidR="00BB395F" w:rsidRPr="00BB395F" w:rsidRDefault="00BB395F" w:rsidP="00BB395F">
      <w:pPr>
        <w:spacing w:after="0" w:line="240" w:lineRule="auto"/>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58029F64" w14:textId="77777777" w:rsidR="00BB395F" w:rsidRPr="00BB395F" w:rsidRDefault="00BB395F" w:rsidP="00442110">
      <w:pPr>
        <w:pBdr>
          <w:bottom w:val="single" w:sz="4" w:space="1" w:color="auto"/>
        </w:pBdr>
        <w:spacing w:after="0" w:line="240" w:lineRule="auto"/>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083AAAB3" w14:textId="77777777" w:rsidR="00442110" w:rsidRDefault="00442110" w:rsidP="00BB395F">
      <w:pPr>
        <w:spacing w:after="0" w:line="240" w:lineRule="auto"/>
        <w:jc w:val="center"/>
        <w:textAlignment w:val="baseline"/>
        <w:rPr>
          <w:rFonts w:ascii="Arial" w:eastAsia="Times New Roman" w:hAnsi="Arial" w:cs="Arial"/>
          <w:b/>
          <w:bCs/>
          <w:sz w:val="24"/>
          <w:szCs w:val="24"/>
        </w:rPr>
      </w:pPr>
    </w:p>
    <w:p w14:paraId="77A99ABD" w14:textId="4DB33A1E" w:rsidR="00BB395F" w:rsidRDefault="00BB395F" w:rsidP="00BB395F">
      <w:pPr>
        <w:spacing w:after="0" w:line="240" w:lineRule="auto"/>
        <w:jc w:val="center"/>
        <w:textAlignment w:val="baseline"/>
        <w:rPr>
          <w:rFonts w:ascii="Arial" w:eastAsia="Times New Roman" w:hAnsi="Arial" w:cs="Arial"/>
          <w:sz w:val="24"/>
          <w:szCs w:val="24"/>
        </w:rPr>
      </w:pPr>
      <w:r w:rsidRPr="00BB395F">
        <w:rPr>
          <w:rFonts w:ascii="Arial" w:eastAsia="Times New Roman" w:hAnsi="Arial" w:cs="Arial"/>
          <w:b/>
          <w:bCs/>
          <w:sz w:val="24"/>
          <w:szCs w:val="24"/>
        </w:rPr>
        <w:t>REPLY COMMENTS OF INTERSTATE GAS SUPPLY, INC.</w:t>
      </w:r>
      <w:r w:rsidRPr="00BB395F">
        <w:rPr>
          <w:rFonts w:ascii="Arial" w:eastAsia="Times New Roman" w:hAnsi="Arial" w:cs="Arial"/>
          <w:sz w:val="24"/>
          <w:szCs w:val="24"/>
        </w:rPr>
        <w:t> </w:t>
      </w:r>
    </w:p>
    <w:p w14:paraId="1FD70C49" w14:textId="77777777" w:rsidR="00442110" w:rsidRPr="00BB395F" w:rsidRDefault="00442110" w:rsidP="00442110">
      <w:pPr>
        <w:pBdr>
          <w:bottom w:val="single" w:sz="4" w:space="1" w:color="auto"/>
        </w:pBdr>
        <w:spacing w:after="0" w:line="240" w:lineRule="auto"/>
        <w:textAlignment w:val="baseline"/>
        <w:rPr>
          <w:rFonts w:ascii="Segoe UI" w:eastAsia="Times New Roman" w:hAnsi="Segoe UI" w:cs="Segoe UI"/>
          <w:sz w:val="18"/>
          <w:szCs w:val="18"/>
        </w:rPr>
      </w:pPr>
    </w:p>
    <w:p w14:paraId="40A23594" w14:textId="77777777" w:rsidR="00BB395F" w:rsidRPr="00BB395F" w:rsidRDefault="00BB395F" w:rsidP="00BB395F">
      <w:pPr>
        <w:spacing w:after="0" w:line="240" w:lineRule="auto"/>
        <w:jc w:val="center"/>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29EE3E6B" w14:textId="77777777" w:rsidR="00BB395F" w:rsidRPr="00BB395F" w:rsidRDefault="00BB395F" w:rsidP="00BB395F">
      <w:pPr>
        <w:spacing w:after="0" w:line="240" w:lineRule="auto"/>
        <w:textAlignment w:val="baseline"/>
        <w:rPr>
          <w:rFonts w:ascii="Segoe UI" w:eastAsia="Times New Roman" w:hAnsi="Segoe UI" w:cs="Segoe UI"/>
          <w:sz w:val="18"/>
          <w:szCs w:val="18"/>
        </w:rPr>
      </w:pPr>
      <w:r w:rsidRPr="00BB395F">
        <w:rPr>
          <w:rFonts w:ascii="Arial" w:eastAsia="Times New Roman" w:hAnsi="Arial" w:cs="Arial"/>
        </w:rPr>
        <w:t> </w:t>
      </w:r>
    </w:p>
    <w:p w14:paraId="09DF5496" w14:textId="743FD852" w:rsidR="00BB395F" w:rsidRPr="00D11301" w:rsidRDefault="00BB395F" w:rsidP="00D11301">
      <w:pPr>
        <w:pStyle w:val="Heading1"/>
      </w:pPr>
      <w:bookmarkStart w:id="0" w:name="_Toc85784646"/>
      <w:bookmarkStart w:id="1" w:name="_Toc85784988"/>
      <w:r w:rsidRPr="00A34554">
        <w:t>INTRODUCTION</w:t>
      </w:r>
      <w:bookmarkEnd w:id="0"/>
      <w:bookmarkEnd w:id="1"/>
      <w:r w:rsidRPr="007C6BC9">
        <w:t> </w:t>
      </w:r>
    </w:p>
    <w:p w14:paraId="3293D721" w14:textId="5A4F9DC2" w:rsidR="00C63330" w:rsidRDefault="00BB395F" w:rsidP="000D121D">
      <w:pPr>
        <w:spacing w:after="0" w:line="480" w:lineRule="auto"/>
        <w:ind w:firstLine="720"/>
        <w:jc w:val="both"/>
        <w:textAlignment w:val="baseline"/>
        <w:rPr>
          <w:rFonts w:ascii="Arial" w:eastAsia="Times New Roman" w:hAnsi="Arial" w:cs="Arial"/>
          <w:sz w:val="24"/>
          <w:szCs w:val="24"/>
        </w:rPr>
      </w:pPr>
      <w:r w:rsidRPr="00BB395F">
        <w:rPr>
          <w:rFonts w:ascii="Arial" w:eastAsia="Times New Roman" w:hAnsi="Arial" w:cs="Arial"/>
          <w:sz w:val="24"/>
          <w:szCs w:val="24"/>
        </w:rPr>
        <w:t xml:space="preserve">On </w:t>
      </w:r>
      <w:r w:rsidR="00336FE8">
        <w:rPr>
          <w:rFonts w:ascii="Arial" w:eastAsia="Times New Roman" w:hAnsi="Arial" w:cs="Arial"/>
          <w:sz w:val="24"/>
          <w:szCs w:val="24"/>
        </w:rPr>
        <w:t>September</w:t>
      </w:r>
      <w:r w:rsidRPr="00BB395F">
        <w:rPr>
          <w:rFonts w:ascii="Arial" w:eastAsia="Times New Roman" w:hAnsi="Arial" w:cs="Arial"/>
          <w:sz w:val="24"/>
          <w:szCs w:val="24"/>
        </w:rPr>
        <w:t xml:space="preserve"> </w:t>
      </w:r>
      <w:r w:rsidR="00336FE8">
        <w:rPr>
          <w:rFonts w:ascii="Arial" w:eastAsia="Times New Roman" w:hAnsi="Arial" w:cs="Arial"/>
          <w:sz w:val="24"/>
          <w:szCs w:val="24"/>
        </w:rPr>
        <w:t>8</w:t>
      </w:r>
      <w:r w:rsidRPr="00BB395F">
        <w:rPr>
          <w:rFonts w:ascii="Arial" w:eastAsia="Times New Roman" w:hAnsi="Arial" w:cs="Arial"/>
          <w:sz w:val="24"/>
          <w:szCs w:val="24"/>
        </w:rPr>
        <w:t>, 20</w:t>
      </w:r>
      <w:r w:rsidR="00336FE8">
        <w:rPr>
          <w:rFonts w:ascii="Arial" w:eastAsia="Times New Roman" w:hAnsi="Arial" w:cs="Arial"/>
          <w:sz w:val="24"/>
          <w:szCs w:val="24"/>
        </w:rPr>
        <w:t>21</w:t>
      </w:r>
      <w:r w:rsidRPr="00BB395F">
        <w:rPr>
          <w:rFonts w:ascii="Arial" w:eastAsia="Times New Roman" w:hAnsi="Arial" w:cs="Arial"/>
          <w:sz w:val="24"/>
          <w:szCs w:val="24"/>
        </w:rPr>
        <w:t xml:space="preserve">, the Commission issued </w:t>
      </w:r>
      <w:r w:rsidR="00336FE8" w:rsidRPr="00336FE8">
        <w:rPr>
          <w:rFonts w:ascii="Arial" w:eastAsia="Times New Roman" w:hAnsi="Arial" w:cs="Arial"/>
          <w:sz w:val="24"/>
          <w:szCs w:val="24"/>
        </w:rPr>
        <w:t xml:space="preserve">draft rules for comment </w:t>
      </w:r>
      <w:r w:rsidR="000D121D">
        <w:rPr>
          <w:rFonts w:ascii="Arial" w:eastAsia="Times New Roman" w:hAnsi="Arial" w:cs="Arial"/>
          <w:sz w:val="24"/>
          <w:szCs w:val="24"/>
        </w:rPr>
        <w:t xml:space="preserve">for </w:t>
      </w:r>
      <w:r w:rsidR="00336FE8" w:rsidRPr="00336FE8">
        <w:rPr>
          <w:rFonts w:ascii="Arial" w:eastAsia="Times New Roman" w:hAnsi="Arial" w:cs="Arial"/>
          <w:sz w:val="24"/>
          <w:szCs w:val="24"/>
        </w:rPr>
        <w:t>eleven chapters of the Ohio Administrative Code</w:t>
      </w:r>
      <w:r w:rsidR="00A56A11">
        <w:rPr>
          <w:rFonts w:ascii="Arial" w:eastAsia="Times New Roman" w:hAnsi="Arial" w:cs="Arial"/>
          <w:sz w:val="24"/>
          <w:szCs w:val="24"/>
        </w:rPr>
        <w:t xml:space="preserve"> </w:t>
      </w:r>
      <w:r w:rsidR="0099453A">
        <w:rPr>
          <w:rFonts w:ascii="Arial" w:eastAsia="Times New Roman" w:hAnsi="Arial" w:cs="Arial"/>
          <w:sz w:val="24"/>
          <w:szCs w:val="24"/>
        </w:rPr>
        <w:t xml:space="preserve">regarding </w:t>
      </w:r>
      <w:r w:rsidR="00C914F6">
        <w:rPr>
          <w:rFonts w:ascii="Arial" w:eastAsia="Times New Roman" w:hAnsi="Arial" w:cs="Arial"/>
          <w:sz w:val="24"/>
          <w:szCs w:val="24"/>
        </w:rPr>
        <w:t>Competitive Retail Electric Service (“CRES”) and Competitive Retail Natural Gas Service (“CRNGS”).</w:t>
      </w:r>
      <w:r w:rsidR="00336FE8" w:rsidRPr="00336FE8">
        <w:rPr>
          <w:rFonts w:ascii="Arial" w:eastAsia="Times New Roman" w:hAnsi="Arial" w:cs="Arial"/>
          <w:sz w:val="24"/>
          <w:szCs w:val="24"/>
        </w:rPr>
        <w:t xml:space="preserve"> </w:t>
      </w:r>
      <w:r w:rsidR="00336FE8">
        <w:rPr>
          <w:rFonts w:ascii="Arial" w:eastAsia="Times New Roman" w:hAnsi="Arial" w:cs="Arial"/>
          <w:sz w:val="24"/>
          <w:szCs w:val="24"/>
        </w:rPr>
        <w:t>Initial Comments were filed by six parties, including Interstate Gas Supply, Inc.</w:t>
      </w:r>
      <w:r w:rsidR="00933B12">
        <w:rPr>
          <w:rFonts w:ascii="Arial" w:eastAsia="Times New Roman" w:hAnsi="Arial" w:cs="Arial"/>
          <w:sz w:val="24"/>
          <w:szCs w:val="24"/>
        </w:rPr>
        <w:t xml:space="preserve"> (“IGS”)</w:t>
      </w:r>
      <w:r w:rsidR="00336FE8">
        <w:rPr>
          <w:rFonts w:ascii="Arial" w:eastAsia="Times New Roman" w:hAnsi="Arial" w:cs="Arial"/>
          <w:sz w:val="24"/>
          <w:szCs w:val="24"/>
        </w:rPr>
        <w:t>, on October 10, 2021</w:t>
      </w:r>
      <w:r w:rsidR="005436A0">
        <w:rPr>
          <w:rFonts w:ascii="Arial" w:eastAsia="Times New Roman" w:hAnsi="Arial" w:cs="Arial"/>
          <w:sz w:val="24"/>
          <w:szCs w:val="24"/>
        </w:rPr>
        <w:t>,</w:t>
      </w:r>
      <w:r w:rsidR="00336FE8">
        <w:rPr>
          <w:rFonts w:ascii="Arial" w:eastAsia="Times New Roman" w:hAnsi="Arial" w:cs="Arial"/>
          <w:sz w:val="24"/>
          <w:szCs w:val="24"/>
        </w:rPr>
        <w:t xml:space="preserve"> proposing numerous changes and amendments to the proposed </w:t>
      </w:r>
      <w:r w:rsidR="002A557D">
        <w:rPr>
          <w:rFonts w:ascii="Arial" w:eastAsia="Times New Roman" w:hAnsi="Arial" w:cs="Arial"/>
          <w:sz w:val="24"/>
          <w:szCs w:val="24"/>
        </w:rPr>
        <w:t xml:space="preserve">rules. </w:t>
      </w:r>
      <w:r w:rsidR="00933B12">
        <w:rPr>
          <w:rFonts w:ascii="Arial" w:eastAsia="Times New Roman" w:hAnsi="Arial" w:cs="Arial"/>
          <w:sz w:val="24"/>
          <w:szCs w:val="24"/>
        </w:rPr>
        <w:t xml:space="preserve">IGS submits the following Reply Comments </w:t>
      </w:r>
      <w:r w:rsidR="005436A0">
        <w:rPr>
          <w:rFonts w:ascii="Arial" w:eastAsia="Times New Roman" w:hAnsi="Arial" w:cs="Arial"/>
          <w:sz w:val="24"/>
          <w:szCs w:val="24"/>
        </w:rPr>
        <w:t>in response to</w:t>
      </w:r>
      <w:r w:rsidR="00933B12">
        <w:rPr>
          <w:rFonts w:ascii="Arial" w:eastAsia="Times New Roman" w:hAnsi="Arial" w:cs="Arial"/>
          <w:sz w:val="24"/>
          <w:szCs w:val="24"/>
        </w:rPr>
        <w:t xml:space="preserve"> th</w:t>
      </w:r>
      <w:r w:rsidR="00F47EEA">
        <w:rPr>
          <w:rFonts w:ascii="Arial" w:eastAsia="Times New Roman" w:hAnsi="Arial" w:cs="Arial"/>
          <w:sz w:val="24"/>
          <w:szCs w:val="24"/>
        </w:rPr>
        <w:t>e</w:t>
      </w:r>
      <w:r w:rsidR="00933B12">
        <w:rPr>
          <w:rFonts w:ascii="Arial" w:eastAsia="Times New Roman" w:hAnsi="Arial" w:cs="Arial"/>
          <w:sz w:val="24"/>
          <w:szCs w:val="24"/>
        </w:rPr>
        <w:t xml:space="preserve"> comments filed in the above captioned cases. </w:t>
      </w:r>
    </w:p>
    <w:p w14:paraId="7E2865E9" w14:textId="1C7B6E74" w:rsidR="00A34554" w:rsidRPr="00E72A73" w:rsidRDefault="00A34554" w:rsidP="00D11301">
      <w:pPr>
        <w:pStyle w:val="Heading1"/>
      </w:pPr>
      <w:bookmarkStart w:id="2" w:name="_Toc85784647"/>
      <w:bookmarkStart w:id="3" w:name="_Toc85784989"/>
      <w:r w:rsidRPr="00E72A73">
        <w:t>COMMENTS</w:t>
      </w:r>
      <w:bookmarkEnd w:id="2"/>
      <w:bookmarkEnd w:id="3"/>
    </w:p>
    <w:p w14:paraId="168C2228" w14:textId="2FD2A633" w:rsidR="00ED7779" w:rsidRPr="00E72A73" w:rsidRDefault="00CF6D6C" w:rsidP="00ED7779">
      <w:pPr>
        <w:pStyle w:val="Heading2"/>
        <w:jc w:val="both"/>
      </w:pPr>
      <w:bookmarkStart w:id="4" w:name="_Toc85784648"/>
      <w:bookmarkStart w:id="5" w:name="_Toc85784990"/>
      <w:r w:rsidRPr="00E72A73">
        <w:t xml:space="preserve">The Commission should consider adopting </w:t>
      </w:r>
      <w:r w:rsidR="007841E8">
        <w:t>certain</w:t>
      </w:r>
      <w:r w:rsidR="00E72A73" w:rsidRPr="00E72A73">
        <w:t xml:space="preserve"> additions to the list of specific acts and practices deemed unfair, misleading, deceptive, or unconscionable under the rules</w:t>
      </w:r>
      <w:r w:rsidR="00571262">
        <w:t>.</w:t>
      </w:r>
      <w:bookmarkEnd w:id="4"/>
      <w:bookmarkEnd w:id="5"/>
    </w:p>
    <w:p w14:paraId="42F5AB4E" w14:textId="3F3EBAC2" w:rsidR="00603C6E" w:rsidRPr="0037067A" w:rsidRDefault="00603C6E" w:rsidP="000D121D">
      <w:pPr>
        <w:spacing w:after="0" w:line="480" w:lineRule="auto"/>
        <w:ind w:firstLine="720"/>
        <w:jc w:val="both"/>
      </w:pPr>
      <w:r w:rsidRPr="00E72A73">
        <w:rPr>
          <w:rFonts w:ascii="Arial" w:hAnsi="Arial" w:cs="Arial"/>
          <w:sz w:val="24"/>
          <w:szCs w:val="24"/>
        </w:rPr>
        <w:t>In its Initial Comments, the Office of</w:t>
      </w:r>
      <w:r w:rsidRPr="005266E1">
        <w:rPr>
          <w:rFonts w:ascii="Arial" w:hAnsi="Arial" w:cs="Arial"/>
          <w:sz w:val="24"/>
          <w:szCs w:val="24"/>
        </w:rPr>
        <w:t xml:space="preserve"> the Ohio</w:t>
      </w:r>
      <w:r w:rsidR="00F91BE0" w:rsidRPr="005266E1">
        <w:rPr>
          <w:rFonts w:ascii="Arial" w:hAnsi="Arial" w:cs="Arial"/>
          <w:sz w:val="24"/>
          <w:szCs w:val="24"/>
        </w:rPr>
        <w:t xml:space="preserve"> Consumers’ Counsel (“OCC”) </w:t>
      </w:r>
      <w:r w:rsidR="00227483" w:rsidRPr="005266E1">
        <w:rPr>
          <w:rFonts w:ascii="Arial" w:hAnsi="Arial" w:cs="Arial"/>
          <w:sz w:val="24"/>
          <w:szCs w:val="24"/>
        </w:rPr>
        <w:t xml:space="preserve">recommends </w:t>
      </w:r>
      <w:r w:rsidR="00FC5751" w:rsidRPr="005266E1">
        <w:rPr>
          <w:rFonts w:ascii="Arial" w:hAnsi="Arial" w:cs="Arial"/>
          <w:sz w:val="24"/>
          <w:szCs w:val="24"/>
        </w:rPr>
        <w:t xml:space="preserve">several </w:t>
      </w:r>
      <w:r w:rsidR="00BB31B2" w:rsidRPr="005266E1">
        <w:rPr>
          <w:rFonts w:ascii="Arial" w:hAnsi="Arial" w:cs="Arial"/>
          <w:sz w:val="24"/>
          <w:szCs w:val="24"/>
        </w:rPr>
        <w:t>additions</w:t>
      </w:r>
      <w:r w:rsidR="00B81DC7" w:rsidRPr="005266E1">
        <w:rPr>
          <w:rFonts w:ascii="Arial" w:hAnsi="Arial" w:cs="Arial"/>
          <w:sz w:val="24"/>
          <w:szCs w:val="24"/>
        </w:rPr>
        <w:t xml:space="preserve"> to the</w:t>
      </w:r>
      <w:r w:rsidR="00BA2685">
        <w:rPr>
          <w:rFonts w:ascii="Arial" w:hAnsi="Arial" w:cs="Arial"/>
          <w:sz w:val="24"/>
          <w:szCs w:val="24"/>
        </w:rPr>
        <w:t xml:space="preserve"> list of specific acts and practices deemed</w:t>
      </w:r>
      <w:r w:rsidR="00B81DC7" w:rsidRPr="005266E1">
        <w:rPr>
          <w:rFonts w:ascii="Arial" w:hAnsi="Arial" w:cs="Arial"/>
          <w:sz w:val="24"/>
          <w:szCs w:val="24"/>
        </w:rPr>
        <w:t xml:space="preserve"> </w:t>
      </w:r>
      <w:r w:rsidR="00DB2196" w:rsidRPr="005266E1">
        <w:rPr>
          <w:rFonts w:ascii="Arial" w:hAnsi="Arial" w:cs="Arial"/>
          <w:sz w:val="24"/>
          <w:szCs w:val="24"/>
        </w:rPr>
        <w:t xml:space="preserve">unfair, </w:t>
      </w:r>
      <w:r w:rsidR="00DB2196" w:rsidRPr="005266E1">
        <w:rPr>
          <w:rFonts w:ascii="Arial" w:hAnsi="Arial" w:cs="Arial"/>
          <w:sz w:val="24"/>
          <w:szCs w:val="24"/>
        </w:rPr>
        <w:lastRenderedPageBreak/>
        <w:t xml:space="preserve">misleading, deceptive, or unconscionable </w:t>
      </w:r>
      <w:r w:rsidR="005B2AFD" w:rsidRPr="005266E1">
        <w:rPr>
          <w:rFonts w:ascii="Arial" w:hAnsi="Arial" w:cs="Arial"/>
          <w:sz w:val="24"/>
          <w:szCs w:val="24"/>
        </w:rPr>
        <w:t xml:space="preserve">under </w:t>
      </w:r>
      <w:r w:rsidR="00ED7957" w:rsidRPr="005266E1">
        <w:rPr>
          <w:rFonts w:ascii="Arial" w:hAnsi="Arial" w:cs="Arial"/>
          <w:sz w:val="24"/>
          <w:szCs w:val="24"/>
        </w:rPr>
        <w:t xml:space="preserve">the rules. </w:t>
      </w:r>
      <w:r w:rsidR="005A1E8B">
        <w:rPr>
          <w:rFonts w:ascii="Arial" w:hAnsi="Arial" w:cs="Arial"/>
          <w:sz w:val="24"/>
          <w:szCs w:val="24"/>
        </w:rPr>
        <w:t xml:space="preserve">IGS </w:t>
      </w:r>
      <w:r w:rsidR="00E27DAF">
        <w:rPr>
          <w:rFonts w:ascii="Arial" w:hAnsi="Arial" w:cs="Arial"/>
          <w:sz w:val="24"/>
          <w:szCs w:val="24"/>
        </w:rPr>
        <w:t xml:space="preserve">supports </w:t>
      </w:r>
      <w:r w:rsidR="00576058">
        <w:rPr>
          <w:rFonts w:ascii="Arial" w:hAnsi="Arial" w:cs="Arial"/>
          <w:sz w:val="24"/>
          <w:szCs w:val="24"/>
        </w:rPr>
        <w:t>some of these recommendations and opposes others</w:t>
      </w:r>
      <w:r w:rsidR="007841E8">
        <w:rPr>
          <w:rFonts w:ascii="Arial" w:hAnsi="Arial" w:cs="Arial"/>
          <w:sz w:val="24"/>
          <w:szCs w:val="24"/>
        </w:rPr>
        <w:t>,</w:t>
      </w:r>
      <w:r w:rsidR="00576058">
        <w:rPr>
          <w:rFonts w:ascii="Arial" w:hAnsi="Arial" w:cs="Arial"/>
          <w:sz w:val="24"/>
          <w:szCs w:val="24"/>
        </w:rPr>
        <w:t xml:space="preserve"> as set forth below.</w:t>
      </w:r>
    </w:p>
    <w:p w14:paraId="190728A2" w14:textId="0AF29B07" w:rsidR="00ED7779" w:rsidRPr="005266E1" w:rsidRDefault="00ED7779" w:rsidP="000D121D">
      <w:pPr>
        <w:pStyle w:val="Heading3"/>
        <w:jc w:val="both"/>
      </w:pPr>
      <w:bookmarkStart w:id="6" w:name="_Toc85784649"/>
      <w:bookmarkStart w:id="7" w:name="_Toc85784991"/>
      <w:r w:rsidRPr="005266E1">
        <w:t>Soliciting to customers who cannot understand contract terms should be explicitly prohibited under both the natural gas and electric rules.</w:t>
      </w:r>
      <w:bookmarkEnd w:id="6"/>
      <w:bookmarkEnd w:id="7"/>
    </w:p>
    <w:p w14:paraId="42AEA000" w14:textId="396F9803" w:rsidR="00ED7779" w:rsidRDefault="00ED7779" w:rsidP="005266E1">
      <w:pPr>
        <w:spacing w:after="0" w:line="480" w:lineRule="auto"/>
        <w:ind w:firstLine="720"/>
        <w:jc w:val="both"/>
        <w:textAlignment w:val="baseline"/>
        <w:rPr>
          <w:rFonts w:ascii="Arial" w:eastAsia="Times New Roman" w:hAnsi="Arial" w:cs="Arial"/>
          <w:sz w:val="24"/>
          <w:szCs w:val="24"/>
        </w:rPr>
      </w:pPr>
      <w:r w:rsidRPr="005266E1">
        <w:rPr>
          <w:rFonts w:ascii="Arial" w:eastAsia="Times New Roman" w:hAnsi="Arial" w:cs="Arial"/>
          <w:sz w:val="24"/>
          <w:szCs w:val="24"/>
        </w:rPr>
        <w:t xml:space="preserve">As </w:t>
      </w:r>
      <w:r w:rsidR="00576058">
        <w:rPr>
          <w:rFonts w:ascii="Arial" w:eastAsia="Times New Roman" w:hAnsi="Arial" w:cs="Arial"/>
          <w:sz w:val="24"/>
          <w:szCs w:val="24"/>
        </w:rPr>
        <w:t xml:space="preserve">noted </w:t>
      </w:r>
      <w:r w:rsidRPr="005266E1">
        <w:rPr>
          <w:rFonts w:ascii="Arial" w:eastAsia="Times New Roman" w:hAnsi="Arial" w:cs="Arial"/>
          <w:sz w:val="24"/>
          <w:szCs w:val="24"/>
        </w:rPr>
        <w:t>by OCC, the language prohibiting a supplier from “</w:t>
      </w:r>
      <w:r w:rsidR="00534E2C">
        <w:rPr>
          <w:rFonts w:ascii="Arial" w:eastAsia="Times New Roman" w:hAnsi="Arial" w:cs="Arial"/>
          <w:sz w:val="24"/>
          <w:szCs w:val="24"/>
        </w:rPr>
        <w:t>[k]</w:t>
      </w:r>
      <w:proofErr w:type="spellStart"/>
      <w:r w:rsidRPr="005266E1">
        <w:rPr>
          <w:rFonts w:ascii="Arial" w:eastAsia="Times New Roman" w:hAnsi="Arial" w:cs="Arial"/>
          <w:sz w:val="24"/>
          <w:szCs w:val="24"/>
        </w:rPr>
        <w:t>nowingly</w:t>
      </w:r>
      <w:proofErr w:type="spellEnd"/>
      <w:r w:rsidRPr="005266E1">
        <w:rPr>
          <w:rFonts w:ascii="Arial" w:eastAsia="Times New Roman" w:hAnsi="Arial" w:cs="Arial"/>
          <w:sz w:val="24"/>
          <w:szCs w:val="24"/>
        </w:rPr>
        <w:t xml:space="preserve"> taking advantage of a customer’s inability to reasonably protect their interests because of physical or mental infirmities, ignorance, illiteracy, or inability to understand the language of an agreement” </w:t>
      </w:r>
      <w:r w:rsidR="005C704B">
        <w:rPr>
          <w:rFonts w:ascii="Arial" w:eastAsia="Times New Roman" w:hAnsi="Arial" w:cs="Arial"/>
          <w:sz w:val="24"/>
          <w:szCs w:val="24"/>
        </w:rPr>
        <w:t>only appears in the CRNGS rules</w:t>
      </w:r>
      <w:r>
        <w:rPr>
          <w:rFonts w:ascii="Arial" w:eastAsia="Times New Roman" w:hAnsi="Arial" w:cs="Arial"/>
          <w:sz w:val="24"/>
          <w:szCs w:val="24"/>
        </w:rPr>
        <w:t>.</w:t>
      </w:r>
      <w:r>
        <w:rPr>
          <w:rStyle w:val="FootnoteReference"/>
          <w:rFonts w:ascii="Arial" w:eastAsia="Times New Roman" w:hAnsi="Arial" w:cs="Arial"/>
          <w:sz w:val="24"/>
          <w:szCs w:val="24"/>
        </w:rPr>
        <w:footnoteReference w:id="2"/>
      </w:r>
      <w:r>
        <w:rPr>
          <w:rFonts w:ascii="Arial" w:eastAsia="Times New Roman" w:hAnsi="Arial" w:cs="Arial"/>
          <w:sz w:val="24"/>
          <w:szCs w:val="24"/>
        </w:rPr>
        <w:t xml:space="preserve"> IGS supports OCC’s suggestion to duplicate the language in</w:t>
      </w:r>
      <w:r w:rsidR="00600293">
        <w:rPr>
          <w:rFonts w:ascii="Arial" w:eastAsia="Times New Roman" w:hAnsi="Arial" w:cs="Arial"/>
          <w:sz w:val="24"/>
          <w:szCs w:val="24"/>
        </w:rPr>
        <w:t xml:space="preserve">to the </w:t>
      </w:r>
      <w:r w:rsidR="0026421B">
        <w:rPr>
          <w:rFonts w:ascii="Arial" w:eastAsia="Times New Roman" w:hAnsi="Arial" w:cs="Arial"/>
          <w:sz w:val="24"/>
          <w:szCs w:val="24"/>
        </w:rPr>
        <w:t>CRES rules</w:t>
      </w:r>
      <w:r>
        <w:rPr>
          <w:rFonts w:ascii="Arial" w:eastAsia="Times New Roman" w:hAnsi="Arial" w:cs="Arial"/>
          <w:sz w:val="24"/>
          <w:szCs w:val="24"/>
        </w:rPr>
        <w:t xml:space="preserve"> to both protect </w:t>
      </w:r>
      <w:r w:rsidR="00600293">
        <w:rPr>
          <w:rFonts w:ascii="Arial" w:eastAsia="Times New Roman" w:hAnsi="Arial" w:cs="Arial"/>
          <w:sz w:val="24"/>
          <w:szCs w:val="24"/>
        </w:rPr>
        <w:t xml:space="preserve">vulnerable </w:t>
      </w:r>
      <w:r>
        <w:rPr>
          <w:rFonts w:ascii="Arial" w:eastAsia="Times New Roman" w:hAnsi="Arial" w:cs="Arial"/>
          <w:sz w:val="24"/>
          <w:szCs w:val="24"/>
        </w:rPr>
        <w:t xml:space="preserve">customers and synthesize the rules across </w:t>
      </w:r>
      <w:r w:rsidR="00D765B5">
        <w:rPr>
          <w:rFonts w:ascii="Arial" w:eastAsia="Times New Roman" w:hAnsi="Arial" w:cs="Arial"/>
          <w:sz w:val="24"/>
          <w:szCs w:val="24"/>
        </w:rPr>
        <w:t>the two</w:t>
      </w:r>
      <w:r>
        <w:rPr>
          <w:rFonts w:ascii="Arial" w:eastAsia="Times New Roman" w:hAnsi="Arial" w:cs="Arial"/>
          <w:sz w:val="24"/>
          <w:szCs w:val="24"/>
        </w:rPr>
        <w:t xml:space="preserve"> products. </w:t>
      </w:r>
    </w:p>
    <w:p w14:paraId="051C900C" w14:textId="07A2E7D7" w:rsidR="00323EC4" w:rsidRPr="00477C7E" w:rsidRDefault="00622D38" w:rsidP="00323EC4">
      <w:pPr>
        <w:pStyle w:val="Heading3"/>
      </w:pPr>
      <w:bookmarkStart w:id="8" w:name="_Toc85784650"/>
      <w:bookmarkStart w:id="9" w:name="_Toc85784992"/>
      <w:r w:rsidRPr="00477C7E">
        <w:t xml:space="preserve">Providing </w:t>
      </w:r>
      <w:r w:rsidR="00477C7E" w:rsidRPr="00477C7E">
        <w:t xml:space="preserve">a variety of </w:t>
      </w:r>
      <w:r w:rsidRPr="00477C7E">
        <w:t>benefits to enroll with a CRES or CRNGS supplier is</w:t>
      </w:r>
      <w:r w:rsidR="00020D8F" w:rsidRPr="00477C7E">
        <w:t xml:space="preserve"> </w:t>
      </w:r>
      <w:r w:rsidR="00097881" w:rsidRPr="00477C7E">
        <w:t xml:space="preserve">not </w:t>
      </w:r>
      <w:r w:rsidR="00B569BB" w:rsidRPr="00477C7E">
        <w:t xml:space="preserve">a </w:t>
      </w:r>
      <w:r w:rsidR="00097881" w:rsidRPr="00477C7E">
        <w:t xml:space="preserve">misleading </w:t>
      </w:r>
      <w:r w:rsidR="00651774" w:rsidRPr="00477C7E">
        <w:t>or deceptive</w:t>
      </w:r>
      <w:r w:rsidR="00B569BB" w:rsidRPr="00477C7E">
        <w:t xml:space="preserve"> practice</w:t>
      </w:r>
      <w:r w:rsidR="00824E55" w:rsidRPr="00477C7E">
        <w:t>.</w:t>
      </w:r>
      <w:bookmarkEnd w:id="8"/>
      <w:bookmarkEnd w:id="9"/>
      <w:r w:rsidR="00824E55" w:rsidRPr="00477C7E">
        <w:t xml:space="preserve"> </w:t>
      </w:r>
    </w:p>
    <w:p w14:paraId="498EEC0C" w14:textId="5900703F" w:rsidR="00391D04" w:rsidRDefault="00ED519B" w:rsidP="00391D04">
      <w:pPr>
        <w:spacing w:after="0" w:line="480" w:lineRule="auto"/>
        <w:ind w:firstLine="720"/>
        <w:jc w:val="both"/>
        <w:rPr>
          <w:rFonts w:ascii="Arial" w:hAnsi="Arial" w:cs="Arial"/>
          <w:sz w:val="24"/>
          <w:szCs w:val="24"/>
        </w:rPr>
      </w:pPr>
      <w:r w:rsidRPr="000D121D">
        <w:rPr>
          <w:rFonts w:ascii="Arial" w:hAnsi="Arial" w:cs="Arial"/>
          <w:sz w:val="24"/>
          <w:szCs w:val="24"/>
        </w:rPr>
        <w:t>OCC a</w:t>
      </w:r>
      <w:r w:rsidR="00DB1D03" w:rsidRPr="000D121D">
        <w:rPr>
          <w:rFonts w:ascii="Arial" w:hAnsi="Arial" w:cs="Arial"/>
          <w:sz w:val="24"/>
          <w:szCs w:val="24"/>
        </w:rPr>
        <w:t xml:space="preserve">lso recommends </w:t>
      </w:r>
      <w:r w:rsidR="00302220">
        <w:rPr>
          <w:rFonts w:ascii="Arial" w:hAnsi="Arial" w:cs="Arial"/>
          <w:sz w:val="24"/>
          <w:szCs w:val="24"/>
        </w:rPr>
        <w:t>adding “o</w:t>
      </w:r>
      <w:r w:rsidR="00302220" w:rsidRPr="00302220">
        <w:rPr>
          <w:rFonts w:ascii="Arial" w:hAnsi="Arial" w:cs="Arial"/>
          <w:sz w:val="24"/>
          <w:szCs w:val="24"/>
        </w:rPr>
        <w:t>ffering cash cards, gift cards, or rewards points as an incentive for new customer enrollments</w:t>
      </w:r>
      <w:r w:rsidR="00302220">
        <w:rPr>
          <w:rFonts w:ascii="Arial" w:hAnsi="Arial" w:cs="Arial"/>
          <w:sz w:val="24"/>
          <w:szCs w:val="24"/>
        </w:rPr>
        <w:t xml:space="preserve">” to the list of </w:t>
      </w:r>
      <w:r w:rsidR="00040997" w:rsidRPr="00040997">
        <w:rPr>
          <w:rFonts w:ascii="Arial" w:hAnsi="Arial" w:cs="Arial"/>
          <w:sz w:val="24"/>
          <w:szCs w:val="24"/>
        </w:rPr>
        <w:t>unfair, misleading, deceptive, or unconscionable acts and practices</w:t>
      </w:r>
      <w:r w:rsidR="007A073C">
        <w:rPr>
          <w:rFonts w:ascii="Arial" w:hAnsi="Arial" w:cs="Arial"/>
          <w:sz w:val="24"/>
          <w:szCs w:val="24"/>
        </w:rPr>
        <w:t>.</w:t>
      </w:r>
      <w:r w:rsidR="007A073C">
        <w:rPr>
          <w:rStyle w:val="FootnoteReference"/>
          <w:rFonts w:ascii="Arial" w:hAnsi="Arial" w:cs="Arial"/>
          <w:sz w:val="24"/>
          <w:szCs w:val="24"/>
        </w:rPr>
        <w:footnoteReference w:id="3"/>
      </w:r>
      <w:r w:rsidR="00391D04">
        <w:rPr>
          <w:rFonts w:ascii="Arial" w:hAnsi="Arial" w:cs="Arial"/>
          <w:sz w:val="24"/>
          <w:szCs w:val="24"/>
        </w:rPr>
        <w:t xml:space="preserve"> </w:t>
      </w:r>
      <w:r w:rsidR="003E10F9">
        <w:rPr>
          <w:rFonts w:ascii="Arial" w:hAnsi="Arial" w:cs="Arial"/>
          <w:sz w:val="24"/>
          <w:szCs w:val="24"/>
        </w:rPr>
        <w:t xml:space="preserve">According to OCC, </w:t>
      </w:r>
      <w:r w:rsidR="003916C5">
        <w:rPr>
          <w:rFonts w:ascii="Arial" w:hAnsi="Arial" w:cs="Arial"/>
          <w:sz w:val="24"/>
          <w:szCs w:val="24"/>
        </w:rPr>
        <w:t>this is a way for suppliers “to take advantage of consumers.”</w:t>
      </w:r>
      <w:r w:rsidR="007066D9">
        <w:rPr>
          <w:rStyle w:val="FootnoteReference"/>
          <w:rFonts w:ascii="Arial" w:hAnsi="Arial" w:cs="Arial"/>
          <w:sz w:val="24"/>
          <w:szCs w:val="24"/>
        </w:rPr>
        <w:footnoteReference w:id="4"/>
      </w:r>
      <w:r w:rsidR="003916C5">
        <w:rPr>
          <w:rFonts w:ascii="Arial" w:hAnsi="Arial" w:cs="Arial"/>
          <w:sz w:val="24"/>
          <w:szCs w:val="24"/>
        </w:rPr>
        <w:t xml:space="preserve"> This recommendation should be rejected.</w:t>
      </w:r>
    </w:p>
    <w:p w14:paraId="2A688E28" w14:textId="47BA72A8" w:rsidR="00F56A15" w:rsidRDefault="003916C5" w:rsidP="0082571D">
      <w:pPr>
        <w:spacing w:after="0" w:line="480" w:lineRule="auto"/>
        <w:ind w:firstLine="720"/>
        <w:jc w:val="both"/>
        <w:rPr>
          <w:rFonts w:ascii="Arial" w:hAnsi="Arial" w:cs="Arial"/>
          <w:sz w:val="24"/>
          <w:szCs w:val="24"/>
        </w:rPr>
      </w:pPr>
      <w:r>
        <w:rPr>
          <w:rFonts w:ascii="Arial" w:hAnsi="Arial" w:cs="Arial"/>
          <w:sz w:val="24"/>
          <w:szCs w:val="24"/>
        </w:rPr>
        <w:t xml:space="preserve">Providing </w:t>
      </w:r>
      <w:r w:rsidR="006C2188">
        <w:rPr>
          <w:rFonts w:ascii="Arial" w:hAnsi="Arial" w:cs="Arial"/>
          <w:sz w:val="24"/>
          <w:szCs w:val="24"/>
        </w:rPr>
        <w:t xml:space="preserve">customers </w:t>
      </w:r>
      <w:r w:rsidR="003A27FF">
        <w:rPr>
          <w:rFonts w:ascii="Arial" w:hAnsi="Arial" w:cs="Arial"/>
          <w:sz w:val="24"/>
          <w:szCs w:val="24"/>
        </w:rPr>
        <w:t>with additional</w:t>
      </w:r>
      <w:r w:rsidR="009346E5">
        <w:rPr>
          <w:rFonts w:ascii="Arial" w:hAnsi="Arial" w:cs="Arial"/>
          <w:sz w:val="24"/>
          <w:szCs w:val="24"/>
        </w:rPr>
        <w:t xml:space="preserve"> benefits for enrollment is not </w:t>
      </w:r>
      <w:r w:rsidR="00AA1DAA" w:rsidRPr="00040997">
        <w:rPr>
          <w:rFonts w:ascii="Arial" w:hAnsi="Arial" w:cs="Arial"/>
          <w:sz w:val="24"/>
          <w:szCs w:val="24"/>
        </w:rPr>
        <w:t>unfair, misleading, deceptive, or unconscionable</w:t>
      </w:r>
      <w:r w:rsidR="00AA1DAA">
        <w:rPr>
          <w:rFonts w:ascii="Arial" w:hAnsi="Arial" w:cs="Arial"/>
          <w:sz w:val="24"/>
          <w:szCs w:val="24"/>
        </w:rPr>
        <w:t xml:space="preserve">. Instead, it is a way for energy providers to differentiate our products </w:t>
      </w:r>
      <w:r w:rsidR="00824AD2">
        <w:rPr>
          <w:rFonts w:ascii="Arial" w:hAnsi="Arial" w:cs="Arial"/>
          <w:sz w:val="24"/>
          <w:szCs w:val="24"/>
        </w:rPr>
        <w:t>in the market</w:t>
      </w:r>
      <w:r w:rsidR="006064E5">
        <w:rPr>
          <w:rFonts w:ascii="Arial" w:hAnsi="Arial" w:cs="Arial"/>
          <w:sz w:val="24"/>
          <w:szCs w:val="24"/>
        </w:rPr>
        <w:t>place</w:t>
      </w:r>
      <w:r w:rsidR="00824AD2">
        <w:rPr>
          <w:rFonts w:ascii="Arial" w:hAnsi="Arial" w:cs="Arial"/>
          <w:sz w:val="24"/>
          <w:szCs w:val="24"/>
        </w:rPr>
        <w:t xml:space="preserve">. </w:t>
      </w:r>
      <w:r w:rsidR="000D7EC4">
        <w:rPr>
          <w:rFonts w:ascii="Arial" w:hAnsi="Arial" w:cs="Arial"/>
          <w:sz w:val="24"/>
          <w:szCs w:val="24"/>
        </w:rPr>
        <w:t>CRES and CRN</w:t>
      </w:r>
      <w:r w:rsidR="00D84325">
        <w:rPr>
          <w:rFonts w:ascii="Arial" w:hAnsi="Arial" w:cs="Arial"/>
          <w:sz w:val="24"/>
          <w:szCs w:val="24"/>
        </w:rPr>
        <w:t xml:space="preserve">GS </w:t>
      </w:r>
      <w:r w:rsidR="00155FC6">
        <w:rPr>
          <w:rFonts w:ascii="Arial" w:hAnsi="Arial" w:cs="Arial"/>
          <w:sz w:val="24"/>
          <w:szCs w:val="24"/>
        </w:rPr>
        <w:t>suppliers</w:t>
      </w:r>
      <w:r w:rsidR="00D84325">
        <w:rPr>
          <w:rFonts w:ascii="Arial" w:hAnsi="Arial" w:cs="Arial"/>
          <w:sz w:val="24"/>
          <w:szCs w:val="24"/>
        </w:rPr>
        <w:t xml:space="preserve"> </w:t>
      </w:r>
      <w:r w:rsidR="00AD3A45">
        <w:rPr>
          <w:rFonts w:ascii="Arial" w:hAnsi="Arial" w:cs="Arial"/>
          <w:sz w:val="24"/>
          <w:szCs w:val="24"/>
        </w:rPr>
        <w:t xml:space="preserve">are always seeking to </w:t>
      </w:r>
      <w:r w:rsidR="00F861FC">
        <w:rPr>
          <w:rFonts w:ascii="Arial" w:hAnsi="Arial" w:cs="Arial"/>
          <w:sz w:val="24"/>
          <w:szCs w:val="24"/>
        </w:rPr>
        <w:t xml:space="preserve">offer products and services to customers </w:t>
      </w:r>
      <w:r w:rsidR="00DF21A7">
        <w:rPr>
          <w:rFonts w:ascii="Arial" w:hAnsi="Arial" w:cs="Arial"/>
          <w:sz w:val="24"/>
          <w:szCs w:val="24"/>
        </w:rPr>
        <w:t>that are tailored to fit their</w:t>
      </w:r>
      <w:r w:rsidR="00155FC6">
        <w:rPr>
          <w:rFonts w:ascii="Arial" w:hAnsi="Arial" w:cs="Arial"/>
          <w:sz w:val="24"/>
          <w:szCs w:val="24"/>
        </w:rPr>
        <w:t xml:space="preserve"> individual</w:t>
      </w:r>
      <w:r w:rsidR="00DF21A7">
        <w:rPr>
          <w:rFonts w:ascii="Arial" w:hAnsi="Arial" w:cs="Arial"/>
          <w:sz w:val="24"/>
          <w:szCs w:val="24"/>
        </w:rPr>
        <w:t xml:space="preserve"> needs and preferences. </w:t>
      </w:r>
      <w:r w:rsidR="00C1593D">
        <w:rPr>
          <w:rFonts w:ascii="Arial" w:hAnsi="Arial" w:cs="Arial"/>
          <w:sz w:val="24"/>
          <w:szCs w:val="24"/>
        </w:rPr>
        <w:t xml:space="preserve">Consumers can </w:t>
      </w:r>
      <w:r w:rsidR="00D01B5C">
        <w:rPr>
          <w:rFonts w:ascii="Arial" w:hAnsi="Arial" w:cs="Arial"/>
          <w:sz w:val="24"/>
          <w:szCs w:val="24"/>
        </w:rPr>
        <w:t>determine what products they would like to sign up for and what produ</w:t>
      </w:r>
      <w:r w:rsidR="00126445">
        <w:rPr>
          <w:rFonts w:ascii="Arial" w:hAnsi="Arial" w:cs="Arial"/>
          <w:sz w:val="24"/>
          <w:szCs w:val="24"/>
        </w:rPr>
        <w:t>c</w:t>
      </w:r>
      <w:r w:rsidR="00D01B5C">
        <w:rPr>
          <w:rFonts w:ascii="Arial" w:hAnsi="Arial" w:cs="Arial"/>
          <w:sz w:val="24"/>
          <w:szCs w:val="24"/>
        </w:rPr>
        <w:t xml:space="preserve">ts do not fit their needs or </w:t>
      </w:r>
      <w:r w:rsidR="00821924">
        <w:rPr>
          <w:rFonts w:ascii="Arial" w:hAnsi="Arial" w:cs="Arial"/>
          <w:sz w:val="24"/>
          <w:szCs w:val="24"/>
        </w:rPr>
        <w:t>provi</w:t>
      </w:r>
      <w:r w:rsidR="00F56A15">
        <w:rPr>
          <w:rFonts w:ascii="Arial" w:hAnsi="Arial" w:cs="Arial"/>
          <w:sz w:val="24"/>
          <w:szCs w:val="24"/>
        </w:rPr>
        <w:t xml:space="preserve">de added benefits to them. </w:t>
      </w:r>
    </w:p>
    <w:p w14:paraId="418E09ED" w14:textId="01CAAF75" w:rsidR="003916C5" w:rsidRDefault="007066D9" w:rsidP="0082571D">
      <w:pPr>
        <w:spacing w:after="0" w:line="480" w:lineRule="auto"/>
        <w:ind w:firstLine="720"/>
        <w:jc w:val="both"/>
        <w:rPr>
          <w:rFonts w:ascii="Arial" w:hAnsi="Arial" w:cs="Arial"/>
          <w:sz w:val="24"/>
          <w:szCs w:val="24"/>
        </w:rPr>
      </w:pPr>
      <w:r>
        <w:rPr>
          <w:rFonts w:ascii="Arial" w:hAnsi="Arial" w:cs="Arial"/>
          <w:sz w:val="24"/>
          <w:szCs w:val="24"/>
        </w:rPr>
        <w:lastRenderedPageBreak/>
        <w:t>C</w:t>
      </w:r>
      <w:r w:rsidR="00B519F4" w:rsidRPr="0067562D">
        <w:rPr>
          <w:rFonts w:ascii="Arial" w:hAnsi="Arial" w:cs="Arial"/>
          <w:sz w:val="24"/>
          <w:szCs w:val="24"/>
        </w:rPr>
        <w:t xml:space="preserve">onsumer preferences should determine product offerings rather than regulation.  </w:t>
      </w:r>
      <w:r w:rsidR="007318BD">
        <w:rPr>
          <w:rFonts w:ascii="Arial" w:hAnsi="Arial" w:cs="Arial"/>
          <w:sz w:val="24"/>
          <w:szCs w:val="24"/>
        </w:rPr>
        <w:t xml:space="preserve">Indeed, </w:t>
      </w:r>
      <w:r w:rsidR="00F56A15">
        <w:rPr>
          <w:rFonts w:ascii="Arial" w:hAnsi="Arial" w:cs="Arial"/>
          <w:sz w:val="24"/>
          <w:szCs w:val="24"/>
        </w:rPr>
        <w:t xml:space="preserve">it is the state policy of Ohio </w:t>
      </w:r>
      <w:r w:rsidR="00FB3B5D">
        <w:rPr>
          <w:rFonts w:ascii="Arial" w:hAnsi="Arial" w:cs="Arial"/>
          <w:sz w:val="24"/>
          <w:szCs w:val="24"/>
        </w:rPr>
        <w:t>to reduce regulations in the marketplace</w:t>
      </w:r>
      <w:r w:rsidR="008860E8">
        <w:rPr>
          <w:rFonts w:ascii="Arial" w:hAnsi="Arial" w:cs="Arial"/>
          <w:sz w:val="24"/>
          <w:szCs w:val="24"/>
        </w:rPr>
        <w:t xml:space="preserve"> </w:t>
      </w:r>
      <w:r w:rsidR="001E0925">
        <w:rPr>
          <w:rFonts w:ascii="Arial" w:hAnsi="Arial" w:cs="Arial"/>
          <w:sz w:val="24"/>
          <w:szCs w:val="24"/>
        </w:rPr>
        <w:t xml:space="preserve">in favor of </w:t>
      </w:r>
      <w:r w:rsidR="0099436A">
        <w:rPr>
          <w:rFonts w:ascii="Arial" w:hAnsi="Arial" w:cs="Arial"/>
          <w:sz w:val="24"/>
          <w:szCs w:val="24"/>
        </w:rPr>
        <w:t xml:space="preserve">promoting </w:t>
      </w:r>
      <w:r w:rsidR="001E0925">
        <w:rPr>
          <w:rFonts w:ascii="Arial" w:hAnsi="Arial" w:cs="Arial"/>
          <w:sz w:val="24"/>
          <w:szCs w:val="24"/>
        </w:rPr>
        <w:t>transactions between willing buyers and willing sellers.</w:t>
      </w:r>
      <w:r w:rsidR="001E0925">
        <w:rPr>
          <w:rStyle w:val="FootnoteReference"/>
          <w:rFonts w:ascii="Arial" w:hAnsi="Arial" w:cs="Arial"/>
          <w:sz w:val="24"/>
          <w:szCs w:val="24"/>
        </w:rPr>
        <w:footnoteReference w:id="5"/>
      </w:r>
      <w:r w:rsidR="00FB3B5D">
        <w:rPr>
          <w:rFonts w:ascii="Arial" w:hAnsi="Arial" w:cs="Arial"/>
          <w:sz w:val="24"/>
          <w:szCs w:val="24"/>
        </w:rPr>
        <w:t xml:space="preserve"> Thus adding </w:t>
      </w:r>
      <w:r w:rsidR="004E291F">
        <w:rPr>
          <w:rFonts w:ascii="Arial" w:hAnsi="Arial" w:cs="Arial"/>
          <w:sz w:val="24"/>
          <w:szCs w:val="24"/>
        </w:rPr>
        <w:t xml:space="preserve">strict </w:t>
      </w:r>
      <w:r w:rsidR="00FB3B5D">
        <w:rPr>
          <w:rFonts w:ascii="Arial" w:hAnsi="Arial" w:cs="Arial"/>
          <w:sz w:val="24"/>
          <w:szCs w:val="24"/>
        </w:rPr>
        <w:t>regulation</w:t>
      </w:r>
      <w:r w:rsidR="004E291F">
        <w:rPr>
          <w:rFonts w:ascii="Arial" w:hAnsi="Arial" w:cs="Arial"/>
          <w:sz w:val="24"/>
          <w:szCs w:val="24"/>
        </w:rPr>
        <w:t>s</w:t>
      </w:r>
      <w:r w:rsidR="00FB3B5D">
        <w:rPr>
          <w:rFonts w:ascii="Arial" w:hAnsi="Arial" w:cs="Arial"/>
          <w:sz w:val="24"/>
          <w:szCs w:val="24"/>
        </w:rPr>
        <w:t xml:space="preserve"> on the </w:t>
      </w:r>
      <w:r w:rsidR="004E291F">
        <w:rPr>
          <w:rFonts w:ascii="Arial" w:hAnsi="Arial" w:cs="Arial"/>
          <w:sz w:val="24"/>
          <w:szCs w:val="24"/>
        </w:rPr>
        <w:t>benefits</w:t>
      </w:r>
      <w:r w:rsidR="00FB3B5D">
        <w:rPr>
          <w:rFonts w:ascii="Arial" w:hAnsi="Arial" w:cs="Arial"/>
          <w:sz w:val="24"/>
          <w:szCs w:val="24"/>
        </w:rPr>
        <w:t xml:space="preserve"> CRES and CRNGS supplie</w:t>
      </w:r>
      <w:r w:rsidR="004E291F">
        <w:rPr>
          <w:rFonts w:ascii="Arial" w:hAnsi="Arial" w:cs="Arial"/>
          <w:sz w:val="24"/>
          <w:szCs w:val="24"/>
        </w:rPr>
        <w:t xml:space="preserve">rs can </w:t>
      </w:r>
      <w:r w:rsidR="00553141">
        <w:rPr>
          <w:rFonts w:ascii="Arial" w:hAnsi="Arial" w:cs="Arial"/>
          <w:sz w:val="24"/>
          <w:szCs w:val="24"/>
        </w:rPr>
        <w:t xml:space="preserve">relay to customers is </w:t>
      </w:r>
      <w:r>
        <w:rPr>
          <w:rFonts w:ascii="Arial" w:hAnsi="Arial" w:cs="Arial"/>
          <w:sz w:val="24"/>
          <w:szCs w:val="24"/>
        </w:rPr>
        <w:t xml:space="preserve">contrary </w:t>
      </w:r>
      <w:r w:rsidR="00824319">
        <w:rPr>
          <w:rFonts w:ascii="Arial" w:hAnsi="Arial" w:cs="Arial"/>
          <w:sz w:val="24"/>
          <w:szCs w:val="24"/>
        </w:rPr>
        <w:t xml:space="preserve">to </w:t>
      </w:r>
      <w:r w:rsidR="00553141">
        <w:rPr>
          <w:rFonts w:ascii="Arial" w:hAnsi="Arial" w:cs="Arial"/>
          <w:sz w:val="24"/>
          <w:szCs w:val="24"/>
        </w:rPr>
        <w:t>state policy.</w:t>
      </w:r>
      <w:r w:rsidR="00FB3B5D">
        <w:rPr>
          <w:rFonts w:ascii="Arial" w:hAnsi="Arial" w:cs="Arial"/>
          <w:sz w:val="24"/>
          <w:szCs w:val="24"/>
        </w:rPr>
        <w:t xml:space="preserve"> </w:t>
      </w:r>
      <w:r w:rsidR="00DD68E6">
        <w:rPr>
          <w:rFonts w:ascii="Arial" w:hAnsi="Arial" w:cs="Arial"/>
          <w:sz w:val="24"/>
          <w:szCs w:val="24"/>
        </w:rPr>
        <w:t>There should be no</w:t>
      </w:r>
      <w:r w:rsidR="003240EA">
        <w:rPr>
          <w:rFonts w:ascii="Arial" w:hAnsi="Arial" w:cs="Arial"/>
          <w:sz w:val="24"/>
          <w:szCs w:val="24"/>
        </w:rPr>
        <w:t xml:space="preserve"> limitation on the benefits </w:t>
      </w:r>
      <w:r w:rsidR="00704ABD">
        <w:rPr>
          <w:rFonts w:ascii="Arial" w:hAnsi="Arial" w:cs="Arial"/>
          <w:sz w:val="24"/>
          <w:szCs w:val="24"/>
        </w:rPr>
        <w:t>a CRES or CRNGS supplier can provide to customers</w:t>
      </w:r>
      <w:r w:rsidR="00DD68E6">
        <w:rPr>
          <w:rFonts w:ascii="Arial" w:hAnsi="Arial" w:cs="Arial"/>
          <w:sz w:val="24"/>
          <w:szCs w:val="24"/>
        </w:rPr>
        <w:t xml:space="preserve">. </w:t>
      </w:r>
    </w:p>
    <w:p w14:paraId="02151BC9" w14:textId="4C152038" w:rsidR="003852CE" w:rsidRPr="00396E13" w:rsidRDefault="002866F3" w:rsidP="000D121D">
      <w:pPr>
        <w:pStyle w:val="Heading3"/>
        <w:spacing w:after="0"/>
        <w:jc w:val="both"/>
      </w:pPr>
      <w:bookmarkStart w:id="10" w:name="_Toc85784651"/>
      <w:bookmarkStart w:id="11" w:name="_Toc85784993"/>
      <w:r w:rsidRPr="00396E13">
        <w:t>A</w:t>
      </w:r>
      <w:r w:rsidR="00185DDD" w:rsidRPr="00396E13">
        <w:t>llowing a</w:t>
      </w:r>
      <w:r w:rsidRPr="00396E13">
        <w:t xml:space="preserve"> regulated distribution utility </w:t>
      </w:r>
      <w:r w:rsidR="000675A8" w:rsidRPr="00396E13">
        <w:t xml:space="preserve">to </w:t>
      </w:r>
      <w:r w:rsidR="00095825" w:rsidRPr="00396E13">
        <w:t>operat</w:t>
      </w:r>
      <w:r w:rsidR="000675A8" w:rsidRPr="00396E13">
        <w:t>e a competitive affiliate</w:t>
      </w:r>
      <w:r w:rsidR="00095825" w:rsidRPr="00396E13">
        <w:t xml:space="preserve"> under the same or similar name </w:t>
      </w:r>
      <w:r w:rsidR="000675A8" w:rsidRPr="00396E13">
        <w:t xml:space="preserve">is </w:t>
      </w:r>
      <w:r w:rsidR="00177207" w:rsidRPr="00396E13">
        <w:t>misleading and deceptive</w:t>
      </w:r>
      <w:r w:rsidR="00396E13">
        <w:t xml:space="preserve"> and should be prohibited</w:t>
      </w:r>
      <w:r w:rsidR="00177207" w:rsidRPr="00396E13">
        <w:t>.</w:t>
      </w:r>
      <w:bookmarkEnd w:id="10"/>
      <w:bookmarkEnd w:id="11"/>
      <w:r w:rsidR="00177207" w:rsidRPr="00396E13">
        <w:t xml:space="preserve"> </w:t>
      </w:r>
    </w:p>
    <w:p w14:paraId="147BFBA8" w14:textId="77777777" w:rsidR="00396E13" w:rsidRDefault="00396E13" w:rsidP="00396E13">
      <w:pPr>
        <w:pStyle w:val="NoSpacing"/>
        <w:ind w:firstLine="720"/>
        <w:jc w:val="both"/>
        <w:rPr>
          <w:sz w:val="24"/>
          <w:szCs w:val="24"/>
        </w:rPr>
      </w:pPr>
    </w:p>
    <w:p w14:paraId="73720ECB" w14:textId="4F876227" w:rsidR="00396E13" w:rsidRDefault="00396E13" w:rsidP="00396E13">
      <w:pPr>
        <w:spacing w:after="0" w:line="480" w:lineRule="auto"/>
        <w:ind w:firstLine="720"/>
        <w:jc w:val="both"/>
        <w:rPr>
          <w:rFonts w:ascii="Arial" w:hAnsi="Arial" w:cs="Arial"/>
          <w:sz w:val="24"/>
          <w:szCs w:val="24"/>
        </w:rPr>
      </w:pPr>
      <w:r w:rsidRPr="000D121D">
        <w:rPr>
          <w:rFonts w:ascii="Arial" w:hAnsi="Arial" w:cs="Arial"/>
          <w:sz w:val="24"/>
          <w:szCs w:val="24"/>
        </w:rPr>
        <w:t>OCC also recommends</w:t>
      </w:r>
      <w:r w:rsidR="006D1190">
        <w:rPr>
          <w:rFonts w:ascii="Arial" w:hAnsi="Arial" w:cs="Arial"/>
          <w:sz w:val="24"/>
          <w:szCs w:val="24"/>
        </w:rPr>
        <w:t xml:space="preserve"> </w:t>
      </w:r>
      <w:r w:rsidR="004D72D4">
        <w:rPr>
          <w:rFonts w:ascii="Arial" w:hAnsi="Arial" w:cs="Arial"/>
          <w:sz w:val="24"/>
          <w:szCs w:val="24"/>
        </w:rPr>
        <w:t>prohibit</w:t>
      </w:r>
      <w:r w:rsidR="006D1190">
        <w:rPr>
          <w:rFonts w:ascii="Arial" w:hAnsi="Arial" w:cs="Arial"/>
          <w:sz w:val="24"/>
          <w:szCs w:val="24"/>
        </w:rPr>
        <w:t>ing</w:t>
      </w:r>
      <w:r>
        <w:rPr>
          <w:rFonts w:ascii="Arial" w:hAnsi="Arial" w:cs="Arial"/>
          <w:sz w:val="24"/>
          <w:szCs w:val="24"/>
        </w:rPr>
        <w:t xml:space="preserve"> a</w:t>
      </w:r>
      <w:r w:rsidRPr="000D121D">
        <w:rPr>
          <w:rFonts w:ascii="Arial" w:hAnsi="Arial" w:cs="Arial"/>
          <w:sz w:val="24"/>
          <w:szCs w:val="24"/>
        </w:rPr>
        <w:t xml:space="preserve"> CRES </w:t>
      </w:r>
      <w:r>
        <w:rPr>
          <w:rFonts w:ascii="Arial" w:hAnsi="Arial" w:cs="Arial"/>
          <w:sz w:val="24"/>
          <w:szCs w:val="24"/>
        </w:rPr>
        <w:t xml:space="preserve">or CRNGS </w:t>
      </w:r>
      <w:r w:rsidRPr="000D121D">
        <w:rPr>
          <w:rFonts w:ascii="Arial" w:hAnsi="Arial" w:cs="Arial"/>
          <w:sz w:val="24"/>
          <w:szCs w:val="24"/>
        </w:rPr>
        <w:t>provider affiliated with a</w:t>
      </w:r>
      <w:r w:rsidR="00A47188">
        <w:rPr>
          <w:rFonts w:ascii="Arial" w:hAnsi="Arial" w:cs="Arial"/>
          <w:sz w:val="24"/>
          <w:szCs w:val="24"/>
        </w:rPr>
        <w:t>n electric</w:t>
      </w:r>
      <w:r w:rsidRPr="000D121D">
        <w:rPr>
          <w:rFonts w:ascii="Arial" w:hAnsi="Arial" w:cs="Arial"/>
          <w:sz w:val="24"/>
          <w:szCs w:val="24"/>
        </w:rPr>
        <w:t xml:space="preserve"> distribution utility </w:t>
      </w:r>
      <w:r w:rsidR="00A47188">
        <w:rPr>
          <w:rFonts w:ascii="Arial" w:hAnsi="Arial" w:cs="Arial"/>
          <w:sz w:val="24"/>
          <w:szCs w:val="24"/>
        </w:rPr>
        <w:t xml:space="preserve">(“EDU”) or </w:t>
      </w:r>
      <w:r w:rsidR="00206AE4">
        <w:rPr>
          <w:rFonts w:ascii="Arial" w:hAnsi="Arial" w:cs="Arial"/>
          <w:sz w:val="24"/>
          <w:szCs w:val="24"/>
        </w:rPr>
        <w:t xml:space="preserve">natural gas </w:t>
      </w:r>
      <w:r w:rsidR="003C13C4">
        <w:rPr>
          <w:rFonts w:ascii="Arial" w:hAnsi="Arial" w:cs="Arial"/>
          <w:sz w:val="24"/>
          <w:szCs w:val="24"/>
        </w:rPr>
        <w:t xml:space="preserve">distribution </w:t>
      </w:r>
      <w:r w:rsidR="00206AE4">
        <w:rPr>
          <w:rFonts w:ascii="Arial" w:hAnsi="Arial" w:cs="Arial"/>
          <w:sz w:val="24"/>
          <w:szCs w:val="24"/>
        </w:rPr>
        <w:t>compan</w:t>
      </w:r>
      <w:r w:rsidR="003C13C4">
        <w:rPr>
          <w:rFonts w:ascii="Arial" w:hAnsi="Arial" w:cs="Arial"/>
          <w:sz w:val="24"/>
          <w:szCs w:val="24"/>
        </w:rPr>
        <w:t>y</w:t>
      </w:r>
      <w:r w:rsidR="00206AE4">
        <w:rPr>
          <w:rFonts w:ascii="Arial" w:hAnsi="Arial" w:cs="Arial"/>
          <w:sz w:val="24"/>
          <w:szCs w:val="24"/>
        </w:rPr>
        <w:t xml:space="preserve"> </w:t>
      </w:r>
      <w:r w:rsidRPr="000D121D">
        <w:rPr>
          <w:rFonts w:ascii="Arial" w:hAnsi="Arial" w:cs="Arial"/>
          <w:sz w:val="24"/>
          <w:szCs w:val="24"/>
        </w:rPr>
        <w:t>regulated by the Commission</w:t>
      </w:r>
      <w:r w:rsidR="003C4D78">
        <w:rPr>
          <w:rFonts w:ascii="Arial" w:hAnsi="Arial" w:cs="Arial"/>
          <w:sz w:val="24"/>
          <w:szCs w:val="24"/>
        </w:rPr>
        <w:t xml:space="preserve"> from</w:t>
      </w:r>
      <w:r w:rsidRPr="000D121D">
        <w:rPr>
          <w:rFonts w:ascii="Arial" w:hAnsi="Arial" w:cs="Arial"/>
          <w:sz w:val="24"/>
          <w:szCs w:val="24"/>
        </w:rPr>
        <w:t xml:space="preserve"> the solicit</w:t>
      </w:r>
      <w:r w:rsidR="003C4D78">
        <w:rPr>
          <w:rFonts w:ascii="Arial" w:hAnsi="Arial" w:cs="Arial"/>
          <w:sz w:val="24"/>
          <w:szCs w:val="24"/>
        </w:rPr>
        <w:t>ing</w:t>
      </w:r>
      <w:r w:rsidRPr="000D121D">
        <w:rPr>
          <w:rFonts w:ascii="Arial" w:hAnsi="Arial" w:cs="Arial"/>
          <w:sz w:val="24"/>
          <w:szCs w:val="24"/>
        </w:rPr>
        <w:t>, market</w:t>
      </w:r>
      <w:r w:rsidR="003C4D78">
        <w:rPr>
          <w:rFonts w:ascii="Arial" w:hAnsi="Arial" w:cs="Arial"/>
          <w:sz w:val="24"/>
          <w:szCs w:val="24"/>
        </w:rPr>
        <w:t>ing</w:t>
      </w:r>
      <w:r w:rsidRPr="000D121D">
        <w:rPr>
          <w:rFonts w:ascii="Arial" w:hAnsi="Arial" w:cs="Arial"/>
          <w:sz w:val="24"/>
          <w:szCs w:val="24"/>
        </w:rPr>
        <w:t>, or adverti</w:t>
      </w:r>
      <w:r w:rsidR="003C4D78">
        <w:rPr>
          <w:rFonts w:ascii="Arial" w:hAnsi="Arial" w:cs="Arial"/>
          <w:sz w:val="24"/>
          <w:szCs w:val="24"/>
        </w:rPr>
        <w:t>ng</w:t>
      </w:r>
      <w:r w:rsidRPr="000D121D">
        <w:rPr>
          <w:rFonts w:ascii="Arial" w:hAnsi="Arial" w:cs="Arial"/>
          <w:sz w:val="24"/>
          <w:szCs w:val="24"/>
        </w:rPr>
        <w:t xml:space="preserve"> to consumers using the same or similar name </w:t>
      </w:r>
      <w:r w:rsidR="00824319">
        <w:rPr>
          <w:rFonts w:ascii="Arial" w:hAnsi="Arial" w:cs="Arial"/>
          <w:sz w:val="24"/>
          <w:szCs w:val="24"/>
        </w:rPr>
        <w:t>and/</w:t>
      </w:r>
      <w:r w:rsidRPr="000D121D">
        <w:rPr>
          <w:rFonts w:ascii="Arial" w:hAnsi="Arial" w:cs="Arial"/>
          <w:sz w:val="24"/>
          <w:szCs w:val="24"/>
        </w:rPr>
        <w:t>or logo of the distribution utility.</w:t>
      </w:r>
      <w:r>
        <w:rPr>
          <w:rStyle w:val="FootnoteReference"/>
          <w:rFonts w:ascii="Arial" w:hAnsi="Arial" w:cs="Arial"/>
          <w:sz w:val="24"/>
          <w:szCs w:val="24"/>
        </w:rPr>
        <w:footnoteReference w:id="6"/>
      </w:r>
      <w:r>
        <w:rPr>
          <w:rFonts w:ascii="Arial" w:hAnsi="Arial" w:cs="Arial"/>
          <w:sz w:val="24"/>
          <w:szCs w:val="24"/>
        </w:rPr>
        <w:t xml:space="preserve"> OCC asserts that </w:t>
      </w:r>
      <w:r w:rsidRPr="00326848">
        <w:rPr>
          <w:rFonts w:ascii="Arial" w:hAnsi="Arial" w:cs="Arial"/>
          <w:sz w:val="24"/>
          <w:szCs w:val="24"/>
        </w:rPr>
        <w:t xml:space="preserve">use of the regulated utility’s name (or parent company name) and similar logo could easily cause customer confusion and create an unfair competitive advantage for the </w:t>
      </w:r>
      <w:r w:rsidR="003C13C4">
        <w:rPr>
          <w:rFonts w:ascii="Arial" w:hAnsi="Arial" w:cs="Arial"/>
          <w:sz w:val="24"/>
          <w:szCs w:val="24"/>
        </w:rPr>
        <w:t>supplier</w:t>
      </w:r>
      <w:r w:rsidRPr="00326848">
        <w:rPr>
          <w:rFonts w:ascii="Arial" w:hAnsi="Arial" w:cs="Arial"/>
          <w:sz w:val="24"/>
          <w:szCs w:val="24"/>
        </w:rPr>
        <w:t xml:space="preserve">. </w:t>
      </w:r>
      <w:r>
        <w:rPr>
          <w:rFonts w:ascii="Arial" w:hAnsi="Arial" w:cs="Arial"/>
          <w:sz w:val="24"/>
          <w:szCs w:val="24"/>
        </w:rPr>
        <w:t>IGS agrees.</w:t>
      </w:r>
    </w:p>
    <w:p w14:paraId="79AE7120" w14:textId="3CDDB863" w:rsidR="00396E13" w:rsidRDefault="00396E13" w:rsidP="00396E13">
      <w:pPr>
        <w:spacing w:after="0" w:line="480" w:lineRule="auto"/>
        <w:jc w:val="both"/>
        <w:rPr>
          <w:rFonts w:ascii="Arial" w:hAnsi="Arial" w:cs="Arial"/>
          <w:sz w:val="24"/>
          <w:szCs w:val="24"/>
        </w:rPr>
      </w:pPr>
      <w:r w:rsidRPr="00576DFC">
        <w:rPr>
          <w:rFonts w:ascii="Arial" w:hAnsi="Arial" w:cs="Arial"/>
          <w:sz w:val="24"/>
          <w:szCs w:val="24"/>
        </w:rPr>
        <w:tab/>
      </w:r>
      <w:r>
        <w:rPr>
          <w:rFonts w:ascii="Arial" w:hAnsi="Arial" w:cs="Arial"/>
          <w:sz w:val="24"/>
          <w:szCs w:val="24"/>
        </w:rPr>
        <w:t>As noted by OCC, t</w:t>
      </w:r>
      <w:r w:rsidRPr="00576DFC">
        <w:rPr>
          <w:rFonts w:ascii="Arial" w:hAnsi="Arial" w:cs="Arial"/>
          <w:sz w:val="24"/>
          <w:szCs w:val="24"/>
        </w:rPr>
        <w:t>his</w:t>
      </w:r>
      <w:r>
        <w:rPr>
          <w:rFonts w:ascii="Arial" w:hAnsi="Arial" w:cs="Arial"/>
          <w:sz w:val="24"/>
          <w:szCs w:val="24"/>
        </w:rPr>
        <w:t xml:space="preserve"> issue has been raised in </w:t>
      </w:r>
      <w:r w:rsidR="002B6E1A">
        <w:rPr>
          <w:rFonts w:ascii="Arial" w:hAnsi="Arial" w:cs="Arial"/>
          <w:sz w:val="24"/>
          <w:szCs w:val="24"/>
        </w:rPr>
        <w:t>an open</w:t>
      </w:r>
      <w:r>
        <w:rPr>
          <w:rFonts w:ascii="Arial" w:hAnsi="Arial" w:cs="Arial"/>
          <w:sz w:val="24"/>
          <w:szCs w:val="24"/>
        </w:rPr>
        <w:t xml:space="preserve"> audit proceeding of FirstEnergy’s compliance with the corporate separation requirements.</w:t>
      </w:r>
      <w:r>
        <w:rPr>
          <w:rStyle w:val="FootnoteReference"/>
          <w:rFonts w:cs="Arial"/>
          <w:szCs w:val="24"/>
        </w:rPr>
        <w:footnoteReference w:id="7"/>
      </w:r>
      <w:r>
        <w:rPr>
          <w:rFonts w:ascii="Arial" w:hAnsi="Arial" w:cs="Arial"/>
          <w:sz w:val="24"/>
          <w:szCs w:val="24"/>
        </w:rPr>
        <w:t xml:space="preserve"> </w:t>
      </w:r>
      <w:r w:rsidRPr="00576DFC">
        <w:rPr>
          <w:rFonts w:ascii="Arial" w:hAnsi="Arial" w:cs="Arial"/>
          <w:sz w:val="24"/>
          <w:szCs w:val="24"/>
        </w:rPr>
        <w:t xml:space="preserve"> </w:t>
      </w:r>
      <w:r>
        <w:rPr>
          <w:rFonts w:ascii="Arial" w:hAnsi="Arial" w:cs="Arial"/>
          <w:sz w:val="24"/>
          <w:szCs w:val="24"/>
        </w:rPr>
        <w:t xml:space="preserve">However, IGS </w:t>
      </w:r>
      <w:r w:rsidR="002B6E1A">
        <w:rPr>
          <w:rFonts w:ascii="Arial" w:hAnsi="Arial" w:cs="Arial"/>
          <w:sz w:val="24"/>
          <w:szCs w:val="24"/>
        </w:rPr>
        <w:t>believes</w:t>
      </w:r>
      <w:r>
        <w:rPr>
          <w:rFonts w:ascii="Arial" w:hAnsi="Arial" w:cs="Arial"/>
          <w:sz w:val="24"/>
          <w:szCs w:val="24"/>
        </w:rPr>
        <w:t xml:space="preserve"> that this rulemaking </w:t>
      </w:r>
      <w:r w:rsidRPr="00576DFC">
        <w:rPr>
          <w:rFonts w:ascii="Arial" w:hAnsi="Arial" w:cs="Arial"/>
          <w:sz w:val="24"/>
          <w:szCs w:val="24"/>
        </w:rPr>
        <w:t xml:space="preserve">is the best forum to address </w:t>
      </w:r>
      <w:r>
        <w:rPr>
          <w:rFonts w:ascii="Arial" w:hAnsi="Arial" w:cs="Arial"/>
          <w:sz w:val="24"/>
          <w:szCs w:val="24"/>
        </w:rPr>
        <w:t>this issue</w:t>
      </w:r>
      <w:r w:rsidRPr="00576DFC">
        <w:rPr>
          <w:rFonts w:ascii="Arial" w:hAnsi="Arial" w:cs="Arial"/>
          <w:sz w:val="24"/>
          <w:szCs w:val="24"/>
        </w:rPr>
        <w:t xml:space="preserve"> because </w:t>
      </w:r>
      <w:r>
        <w:rPr>
          <w:rFonts w:ascii="Arial" w:hAnsi="Arial" w:cs="Arial"/>
          <w:sz w:val="24"/>
          <w:szCs w:val="24"/>
        </w:rPr>
        <w:t>the</w:t>
      </w:r>
      <w:r w:rsidR="00824319">
        <w:rPr>
          <w:rFonts w:ascii="Arial" w:hAnsi="Arial" w:cs="Arial"/>
          <w:sz w:val="24"/>
          <w:szCs w:val="24"/>
        </w:rPr>
        <w:t>se</w:t>
      </w:r>
      <w:r>
        <w:rPr>
          <w:rFonts w:ascii="Arial" w:hAnsi="Arial" w:cs="Arial"/>
          <w:sz w:val="24"/>
          <w:szCs w:val="24"/>
        </w:rPr>
        <w:t xml:space="preserve"> rules </w:t>
      </w:r>
      <w:r w:rsidRPr="00576DFC">
        <w:rPr>
          <w:rFonts w:ascii="Arial" w:hAnsi="Arial" w:cs="Arial"/>
          <w:sz w:val="24"/>
          <w:szCs w:val="24"/>
        </w:rPr>
        <w:t>have universal application</w:t>
      </w:r>
      <w:r>
        <w:rPr>
          <w:rFonts w:ascii="Arial" w:hAnsi="Arial" w:cs="Arial"/>
          <w:sz w:val="24"/>
          <w:szCs w:val="24"/>
        </w:rPr>
        <w:t xml:space="preserve"> across all electric and natural gas distribution utilities.</w:t>
      </w:r>
    </w:p>
    <w:p w14:paraId="269B74FE" w14:textId="42FA8B03" w:rsidR="0049227C" w:rsidRDefault="00396E13" w:rsidP="00396E13">
      <w:pPr>
        <w:spacing w:after="0" w:line="480" w:lineRule="auto"/>
        <w:jc w:val="both"/>
        <w:rPr>
          <w:rFonts w:ascii="Arial" w:hAnsi="Arial" w:cs="Arial"/>
          <w:sz w:val="24"/>
          <w:szCs w:val="24"/>
        </w:rPr>
      </w:pPr>
      <w:r>
        <w:rPr>
          <w:rFonts w:ascii="Arial" w:hAnsi="Arial" w:cs="Arial"/>
          <w:sz w:val="24"/>
          <w:szCs w:val="24"/>
        </w:rPr>
        <w:tab/>
        <w:t>In the FirstEnergy Corporate Separation Proceeding, two different independent auditors made the same finding</w:t>
      </w:r>
      <w:r w:rsidR="00BD0B61">
        <w:rPr>
          <w:rFonts w:ascii="Arial" w:hAnsi="Arial" w:cs="Arial"/>
          <w:sz w:val="24"/>
          <w:szCs w:val="24"/>
        </w:rPr>
        <w:t xml:space="preserve">: using the “FirstEnergy” name implies an endorsement </w:t>
      </w:r>
      <w:r w:rsidR="00BD0B61">
        <w:rPr>
          <w:rFonts w:ascii="Arial" w:hAnsi="Arial" w:cs="Arial"/>
          <w:sz w:val="24"/>
          <w:szCs w:val="24"/>
        </w:rPr>
        <w:lastRenderedPageBreak/>
        <w:t>by the FirstEnergy Ohio EDUs and provides an advantage that no other suppliers have.</w:t>
      </w:r>
      <w:r>
        <w:rPr>
          <w:rStyle w:val="FootnoteReference"/>
          <w:rFonts w:cs="Arial"/>
          <w:szCs w:val="24"/>
        </w:rPr>
        <w:footnoteReference w:id="8"/>
      </w:r>
      <w:r>
        <w:rPr>
          <w:rFonts w:ascii="Arial" w:hAnsi="Arial" w:cs="Arial"/>
          <w:sz w:val="24"/>
          <w:szCs w:val="24"/>
        </w:rPr>
        <w:t xml:space="preserve"> </w:t>
      </w:r>
      <w:r w:rsidR="002E039D">
        <w:rPr>
          <w:rFonts w:ascii="Arial" w:hAnsi="Arial" w:cs="Arial"/>
          <w:sz w:val="24"/>
          <w:szCs w:val="24"/>
        </w:rPr>
        <w:t>Additionally, it</w:t>
      </w:r>
      <w:r w:rsidR="0049227C">
        <w:rPr>
          <w:rFonts w:ascii="Arial" w:hAnsi="Arial" w:cs="Arial"/>
          <w:sz w:val="24"/>
          <w:szCs w:val="24"/>
        </w:rPr>
        <w:t xml:space="preserve"> </w:t>
      </w:r>
      <w:r w:rsidR="00F27BD9">
        <w:rPr>
          <w:rFonts w:ascii="Arial" w:hAnsi="Arial" w:cs="Arial"/>
          <w:sz w:val="24"/>
          <w:szCs w:val="24"/>
        </w:rPr>
        <w:t xml:space="preserve">can be </w:t>
      </w:r>
      <w:r w:rsidR="0049227C">
        <w:rPr>
          <w:rFonts w:ascii="Arial" w:hAnsi="Arial" w:cs="Arial"/>
          <w:sz w:val="24"/>
          <w:szCs w:val="24"/>
        </w:rPr>
        <w:t>confusing and misleading to customers</w:t>
      </w:r>
      <w:r w:rsidR="00571262">
        <w:rPr>
          <w:rFonts w:ascii="Arial" w:hAnsi="Arial" w:cs="Arial"/>
          <w:sz w:val="24"/>
          <w:szCs w:val="24"/>
        </w:rPr>
        <w:t>,</w:t>
      </w:r>
      <w:r w:rsidR="00F27BD9">
        <w:rPr>
          <w:rStyle w:val="FootnoteReference"/>
          <w:rFonts w:ascii="Arial" w:hAnsi="Arial" w:cs="Arial"/>
          <w:sz w:val="24"/>
          <w:szCs w:val="24"/>
        </w:rPr>
        <w:footnoteReference w:id="9"/>
      </w:r>
      <w:r w:rsidR="00E704EB">
        <w:rPr>
          <w:rFonts w:ascii="Arial" w:hAnsi="Arial" w:cs="Arial"/>
          <w:sz w:val="24"/>
          <w:szCs w:val="24"/>
        </w:rPr>
        <w:t xml:space="preserve"> making it a necessary addition </w:t>
      </w:r>
      <w:r w:rsidR="00064FA5">
        <w:rPr>
          <w:rFonts w:ascii="Arial" w:hAnsi="Arial" w:cs="Arial"/>
          <w:sz w:val="24"/>
          <w:szCs w:val="24"/>
        </w:rPr>
        <w:t>to the</w:t>
      </w:r>
      <w:r w:rsidR="00E704EB">
        <w:rPr>
          <w:rFonts w:ascii="Arial" w:hAnsi="Arial" w:cs="Arial"/>
          <w:sz w:val="24"/>
          <w:szCs w:val="24"/>
        </w:rPr>
        <w:t xml:space="preserve"> </w:t>
      </w:r>
      <w:r w:rsidR="00571262" w:rsidRPr="00E72A73">
        <w:rPr>
          <w:rFonts w:ascii="Arial" w:hAnsi="Arial" w:cs="Arial"/>
          <w:sz w:val="24"/>
          <w:szCs w:val="24"/>
        </w:rPr>
        <w:t>specific acts and practices deemed unfair, misleading, deceptive, or unconscionable under the rules</w:t>
      </w:r>
      <w:r w:rsidR="00571262">
        <w:t>.</w:t>
      </w:r>
    </w:p>
    <w:p w14:paraId="3436C619" w14:textId="6B157998" w:rsidR="00396E13" w:rsidRDefault="00D85C92" w:rsidP="0049227C">
      <w:pPr>
        <w:spacing w:after="0" w:line="480" w:lineRule="auto"/>
        <w:ind w:firstLine="720"/>
        <w:jc w:val="both"/>
        <w:rPr>
          <w:rFonts w:ascii="Arial" w:hAnsi="Arial" w:cs="Arial"/>
          <w:sz w:val="24"/>
          <w:szCs w:val="24"/>
        </w:rPr>
      </w:pPr>
      <w:r>
        <w:rPr>
          <w:rFonts w:ascii="Arial" w:hAnsi="Arial" w:cs="Arial"/>
          <w:sz w:val="24"/>
          <w:szCs w:val="24"/>
        </w:rPr>
        <w:t>For example, i</w:t>
      </w:r>
      <w:r w:rsidR="009F043B">
        <w:rPr>
          <w:rFonts w:ascii="Arial" w:hAnsi="Arial" w:cs="Arial"/>
          <w:sz w:val="24"/>
          <w:szCs w:val="24"/>
        </w:rPr>
        <w:t xml:space="preserve">n the Sage Audit Report, the auditor </w:t>
      </w:r>
      <w:r w:rsidR="00C072BA">
        <w:rPr>
          <w:rFonts w:ascii="Arial" w:hAnsi="Arial" w:cs="Arial"/>
          <w:sz w:val="24"/>
          <w:szCs w:val="24"/>
        </w:rPr>
        <w:t>recommend</w:t>
      </w:r>
      <w:r w:rsidR="00824319">
        <w:rPr>
          <w:rFonts w:ascii="Arial" w:hAnsi="Arial" w:cs="Arial"/>
          <w:sz w:val="24"/>
          <w:szCs w:val="24"/>
        </w:rPr>
        <w:t>ed</w:t>
      </w:r>
      <w:r w:rsidR="00C072BA">
        <w:rPr>
          <w:rFonts w:ascii="Arial" w:hAnsi="Arial" w:cs="Arial"/>
          <w:sz w:val="24"/>
          <w:szCs w:val="24"/>
        </w:rPr>
        <w:t xml:space="preserve"> removing the FirstEnergy name from </w:t>
      </w:r>
      <w:r w:rsidR="00081760">
        <w:rPr>
          <w:rFonts w:ascii="Arial" w:hAnsi="Arial" w:cs="Arial"/>
          <w:sz w:val="24"/>
          <w:szCs w:val="24"/>
        </w:rPr>
        <w:t xml:space="preserve">its </w:t>
      </w:r>
      <w:r w:rsidR="00CA684A">
        <w:rPr>
          <w:rFonts w:ascii="Arial" w:hAnsi="Arial" w:cs="Arial"/>
          <w:sz w:val="24"/>
          <w:szCs w:val="24"/>
        </w:rPr>
        <w:t>CRES affiliate.</w:t>
      </w:r>
      <w:r w:rsidR="00081760">
        <w:rPr>
          <w:rStyle w:val="FootnoteReference"/>
          <w:rFonts w:ascii="Arial" w:hAnsi="Arial" w:cs="Arial"/>
          <w:sz w:val="24"/>
          <w:szCs w:val="24"/>
        </w:rPr>
        <w:footnoteReference w:id="10"/>
      </w:r>
      <w:r w:rsidR="00CA684A">
        <w:rPr>
          <w:rFonts w:ascii="Arial" w:hAnsi="Arial" w:cs="Arial"/>
          <w:sz w:val="24"/>
          <w:szCs w:val="24"/>
        </w:rPr>
        <w:t xml:space="preserve"> The </w:t>
      </w:r>
      <w:r w:rsidR="008371DC">
        <w:rPr>
          <w:rFonts w:ascii="Arial" w:hAnsi="Arial" w:cs="Arial"/>
          <w:sz w:val="24"/>
          <w:szCs w:val="24"/>
        </w:rPr>
        <w:t>r</w:t>
      </w:r>
      <w:r w:rsidR="00CA684A">
        <w:rPr>
          <w:rFonts w:ascii="Arial" w:hAnsi="Arial" w:cs="Arial"/>
          <w:sz w:val="24"/>
          <w:szCs w:val="24"/>
        </w:rPr>
        <w:t xml:space="preserve">eport </w:t>
      </w:r>
      <w:r w:rsidR="00987038">
        <w:rPr>
          <w:rFonts w:ascii="Arial" w:hAnsi="Arial" w:cs="Arial"/>
          <w:sz w:val="24"/>
          <w:szCs w:val="24"/>
        </w:rPr>
        <w:t>found</w:t>
      </w:r>
      <w:r w:rsidR="00CA684A">
        <w:rPr>
          <w:rFonts w:ascii="Arial" w:hAnsi="Arial" w:cs="Arial"/>
          <w:sz w:val="24"/>
          <w:szCs w:val="24"/>
        </w:rPr>
        <w:t xml:space="preserve"> that</w:t>
      </w:r>
      <w:r w:rsidR="00396E13">
        <w:rPr>
          <w:rFonts w:ascii="Arial" w:hAnsi="Arial" w:cs="Arial"/>
          <w:sz w:val="24"/>
          <w:szCs w:val="24"/>
        </w:rPr>
        <w:t xml:space="preserve"> </w:t>
      </w:r>
      <w:r w:rsidR="00396E13" w:rsidRPr="005E4A0E">
        <w:rPr>
          <w:rFonts w:ascii="Arial" w:hAnsi="Arial" w:cs="Arial"/>
          <w:sz w:val="24"/>
          <w:szCs w:val="24"/>
        </w:rPr>
        <w:t>FirstEnergy works hard on its stand-alone branding in Ohi</w:t>
      </w:r>
      <w:r w:rsidR="00396E13">
        <w:rPr>
          <w:rFonts w:ascii="Arial" w:hAnsi="Arial" w:cs="Arial"/>
          <w:sz w:val="24"/>
          <w:szCs w:val="24"/>
        </w:rPr>
        <w:t xml:space="preserve">o, </w:t>
      </w:r>
      <w:r w:rsidR="009940FF">
        <w:rPr>
          <w:rFonts w:ascii="Arial" w:hAnsi="Arial" w:cs="Arial"/>
          <w:sz w:val="24"/>
          <w:szCs w:val="24"/>
        </w:rPr>
        <w:t xml:space="preserve">and </w:t>
      </w:r>
      <w:r w:rsidR="003A04CD">
        <w:rPr>
          <w:rFonts w:ascii="Arial" w:hAnsi="Arial" w:cs="Arial"/>
          <w:sz w:val="24"/>
          <w:szCs w:val="24"/>
        </w:rPr>
        <w:t xml:space="preserve">its </w:t>
      </w:r>
      <w:r w:rsidR="008F4A29">
        <w:rPr>
          <w:rFonts w:ascii="Arial" w:hAnsi="Arial" w:cs="Arial"/>
          <w:sz w:val="24"/>
          <w:szCs w:val="24"/>
        </w:rPr>
        <w:t xml:space="preserve">executives </w:t>
      </w:r>
      <w:r w:rsidR="00A713A3">
        <w:rPr>
          <w:rFonts w:ascii="Arial" w:hAnsi="Arial" w:cs="Arial"/>
          <w:sz w:val="24"/>
          <w:szCs w:val="24"/>
        </w:rPr>
        <w:t>“</w:t>
      </w:r>
      <w:r w:rsidR="008F4A29" w:rsidRPr="008F4A29">
        <w:rPr>
          <w:rFonts w:ascii="Arial" w:hAnsi="Arial" w:cs="Arial"/>
          <w:sz w:val="24"/>
          <w:szCs w:val="24"/>
        </w:rPr>
        <w:t>tout the importance of using the FirstEnergy name</w:t>
      </w:r>
      <w:r w:rsidR="008F4A29">
        <w:rPr>
          <w:rFonts w:ascii="Arial" w:hAnsi="Arial" w:cs="Arial"/>
          <w:sz w:val="24"/>
          <w:szCs w:val="24"/>
        </w:rPr>
        <w:t xml:space="preserve">” because </w:t>
      </w:r>
      <w:r w:rsidR="00A713A3">
        <w:rPr>
          <w:rFonts w:ascii="Arial" w:hAnsi="Arial" w:cs="Arial"/>
          <w:sz w:val="24"/>
          <w:szCs w:val="24"/>
        </w:rPr>
        <w:t>“</w:t>
      </w:r>
      <w:r w:rsidR="00A713A3" w:rsidRPr="00A713A3">
        <w:rPr>
          <w:rFonts w:ascii="Arial" w:hAnsi="Arial" w:cs="Arial"/>
          <w:sz w:val="24"/>
          <w:szCs w:val="24"/>
        </w:rPr>
        <w:t xml:space="preserve">FirstEnergy is a </w:t>
      </w:r>
      <w:r w:rsidR="00210C20">
        <w:rPr>
          <w:rFonts w:ascii="Arial" w:hAnsi="Arial" w:cs="Arial"/>
          <w:sz w:val="24"/>
          <w:szCs w:val="24"/>
        </w:rPr>
        <w:t>“‘</w:t>
      </w:r>
      <w:r w:rsidR="00A713A3" w:rsidRPr="00A713A3">
        <w:rPr>
          <w:rFonts w:ascii="Arial" w:hAnsi="Arial" w:cs="Arial"/>
          <w:sz w:val="24"/>
          <w:szCs w:val="24"/>
        </w:rPr>
        <w:t>trusted supplier</w:t>
      </w:r>
      <w:r w:rsidR="00A713A3">
        <w:rPr>
          <w:rFonts w:ascii="Arial" w:hAnsi="Arial" w:cs="Arial"/>
          <w:sz w:val="24"/>
          <w:szCs w:val="24"/>
        </w:rPr>
        <w:t>’</w:t>
      </w:r>
      <w:r w:rsidR="00A713A3" w:rsidRPr="00A713A3">
        <w:rPr>
          <w:rFonts w:ascii="Arial" w:hAnsi="Arial" w:cs="Arial"/>
          <w:sz w:val="24"/>
          <w:szCs w:val="24"/>
        </w:rPr>
        <w:t>” and the “</w:t>
      </w:r>
      <w:r w:rsidR="00A713A3">
        <w:rPr>
          <w:rFonts w:ascii="Arial" w:hAnsi="Arial" w:cs="Arial"/>
          <w:sz w:val="24"/>
          <w:szCs w:val="24"/>
        </w:rPr>
        <w:t>’</w:t>
      </w:r>
      <w:r w:rsidR="00A713A3" w:rsidRPr="00A713A3">
        <w:rPr>
          <w:rFonts w:ascii="Arial" w:hAnsi="Arial" w:cs="Arial"/>
          <w:sz w:val="24"/>
          <w:szCs w:val="24"/>
        </w:rPr>
        <w:t>FirstEnergy brand is prominent.</w:t>
      </w:r>
      <w:r w:rsidR="00A713A3">
        <w:rPr>
          <w:rFonts w:ascii="Arial" w:hAnsi="Arial" w:cs="Arial"/>
          <w:sz w:val="24"/>
          <w:szCs w:val="24"/>
        </w:rPr>
        <w:t>’”</w:t>
      </w:r>
      <w:r w:rsidR="00A713A3">
        <w:rPr>
          <w:rStyle w:val="FootnoteReference"/>
          <w:rFonts w:ascii="Arial" w:hAnsi="Arial" w:cs="Arial"/>
          <w:sz w:val="24"/>
          <w:szCs w:val="24"/>
        </w:rPr>
        <w:footnoteReference w:id="11"/>
      </w:r>
      <w:r w:rsidR="008F4A29">
        <w:rPr>
          <w:rFonts w:ascii="Arial" w:hAnsi="Arial" w:cs="Arial"/>
          <w:sz w:val="24"/>
          <w:szCs w:val="24"/>
        </w:rPr>
        <w:t xml:space="preserve"> </w:t>
      </w:r>
      <w:r w:rsidR="00A61973">
        <w:rPr>
          <w:rFonts w:ascii="Arial" w:hAnsi="Arial" w:cs="Arial"/>
          <w:sz w:val="24"/>
          <w:szCs w:val="24"/>
        </w:rPr>
        <w:t>But it</w:t>
      </w:r>
      <w:r w:rsidR="00E704BB">
        <w:rPr>
          <w:rFonts w:ascii="Arial" w:hAnsi="Arial" w:cs="Arial"/>
          <w:sz w:val="24"/>
          <w:szCs w:val="24"/>
        </w:rPr>
        <w:t xml:space="preserve"> also</w:t>
      </w:r>
      <w:r w:rsidR="009F043B">
        <w:rPr>
          <w:rFonts w:ascii="Arial" w:hAnsi="Arial" w:cs="Arial"/>
          <w:sz w:val="24"/>
          <w:szCs w:val="24"/>
        </w:rPr>
        <w:t xml:space="preserve"> found </w:t>
      </w:r>
      <w:r w:rsidR="008E1299">
        <w:rPr>
          <w:rFonts w:ascii="Arial" w:hAnsi="Arial" w:cs="Arial"/>
          <w:sz w:val="24"/>
          <w:szCs w:val="24"/>
        </w:rPr>
        <w:t xml:space="preserve">that </w:t>
      </w:r>
      <w:r w:rsidR="009F043B">
        <w:rPr>
          <w:rFonts w:ascii="Arial" w:hAnsi="Arial" w:cs="Arial"/>
          <w:sz w:val="24"/>
          <w:szCs w:val="24"/>
        </w:rPr>
        <w:t xml:space="preserve">it is “natural” </w:t>
      </w:r>
      <w:r w:rsidR="008E1299">
        <w:rPr>
          <w:rFonts w:ascii="Arial" w:hAnsi="Arial" w:cs="Arial"/>
          <w:sz w:val="24"/>
          <w:szCs w:val="24"/>
        </w:rPr>
        <w:t xml:space="preserve">for </w:t>
      </w:r>
      <w:r w:rsidR="009F043B">
        <w:rPr>
          <w:rFonts w:ascii="Arial" w:hAnsi="Arial" w:cs="Arial"/>
          <w:sz w:val="24"/>
          <w:szCs w:val="24"/>
        </w:rPr>
        <w:t>someone would infer a competitive affiliate utilizing the FirstEnergy name is the same as their “trust utility supplier”</w:t>
      </w:r>
      <w:r>
        <w:rPr>
          <w:rFonts w:ascii="Arial" w:hAnsi="Arial" w:cs="Arial"/>
          <w:sz w:val="24"/>
          <w:szCs w:val="24"/>
        </w:rPr>
        <w:t xml:space="preserve"> and give greater consideration to the affiliate when selecting a CRES provider.</w:t>
      </w:r>
      <w:r w:rsidR="001511AF">
        <w:rPr>
          <w:rStyle w:val="FootnoteReference"/>
          <w:rFonts w:ascii="Arial" w:hAnsi="Arial" w:cs="Arial"/>
          <w:sz w:val="24"/>
          <w:szCs w:val="24"/>
        </w:rPr>
        <w:footnoteReference w:id="12"/>
      </w:r>
    </w:p>
    <w:p w14:paraId="345A6F18" w14:textId="7C88B41A" w:rsidR="00396E13" w:rsidRDefault="0093057E" w:rsidP="00396E13">
      <w:pPr>
        <w:spacing w:after="0" w:line="480" w:lineRule="auto"/>
        <w:jc w:val="both"/>
        <w:rPr>
          <w:rFonts w:ascii="Arial" w:hAnsi="Arial" w:cs="Arial"/>
          <w:sz w:val="24"/>
          <w:szCs w:val="24"/>
        </w:rPr>
      </w:pPr>
      <w:r>
        <w:rPr>
          <w:rFonts w:ascii="Arial" w:hAnsi="Arial" w:cs="Arial"/>
          <w:sz w:val="24"/>
          <w:szCs w:val="24"/>
        </w:rPr>
        <w:tab/>
        <w:t xml:space="preserve">In the Daymark Audit Report, the auditor </w:t>
      </w:r>
      <w:r w:rsidR="00842E70">
        <w:rPr>
          <w:rFonts w:ascii="Arial" w:hAnsi="Arial" w:cs="Arial"/>
          <w:sz w:val="24"/>
          <w:szCs w:val="24"/>
        </w:rPr>
        <w:t>recommended remov</w:t>
      </w:r>
      <w:r w:rsidR="003B3E71">
        <w:rPr>
          <w:rFonts w:ascii="Arial" w:hAnsi="Arial" w:cs="Arial"/>
          <w:sz w:val="24"/>
          <w:szCs w:val="24"/>
        </w:rPr>
        <w:t>al of</w:t>
      </w:r>
      <w:r w:rsidR="00842E70">
        <w:rPr>
          <w:rFonts w:ascii="Arial" w:hAnsi="Arial" w:cs="Arial"/>
          <w:sz w:val="24"/>
          <w:szCs w:val="24"/>
        </w:rPr>
        <w:t xml:space="preserve"> the </w:t>
      </w:r>
      <w:r w:rsidR="00691CBD">
        <w:rPr>
          <w:rFonts w:ascii="Arial" w:hAnsi="Arial" w:cs="Arial"/>
          <w:sz w:val="24"/>
          <w:szCs w:val="24"/>
        </w:rPr>
        <w:t xml:space="preserve">names and logos of the </w:t>
      </w:r>
      <w:r w:rsidR="00842E70">
        <w:rPr>
          <w:rFonts w:ascii="Arial" w:hAnsi="Arial" w:cs="Arial"/>
          <w:sz w:val="24"/>
          <w:szCs w:val="24"/>
        </w:rPr>
        <w:t xml:space="preserve">FirstEnergy Ohio </w:t>
      </w:r>
      <w:r w:rsidR="00691CBD">
        <w:rPr>
          <w:rFonts w:ascii="Arial" w:hAnsi="Arial" w:cs="Arial"/>
          <w:sz w:val="24"/>
          <w:szCs w:val="24"/>
        </w:rPr>
        <w:t xml:space="preserve">EDUs from </w:t>
      </w:r>
      <w:r w:rsidR="003B3E71">
        <w:rPr>
          <w:rFonts w:ascii="Arial" w:hAnsi="Arial" w:cs="Arial"/>
          <w:sz w:val="24"/>
          <w:szCs w:val="24"/>
        </w:rPr>
        <w:t xml:space="preserve">the </w:t>
      </w:r>
      <w:r w:rsidR="007A4B66">
        <w:rPr>
          <w:rFonts w:ascii="Arial" w:hAnsi="Arial" w:cs="Arial"/>
          <w:sz w:val="24"/>
          <w:szCs w:val="24"/>
        </w:rPr>
        <w:t>marketing</w:t>
      </w:r>
      <w:r w:rsidR="00887226">
        <w:rPr>
          <w:rFonts w:ascii="Arial" w:hAnsi="Arial" w:cs="Arial"/>
          <w:sz w:val="24"/>
          <w:szCs w:val="24"/>
        </w:rPr>
        <w:t xml:space="preserve"> </w:t>
      </w:r>
      <w:r w:rsidR="003B3E71">
        <w:rPr>
          <w:rFonts w:ascii="Arial" w:hAnsi="Arial" w:cs="Arial"/>
          <w:sz w:val="24"/>
          <w:szCs w:val="24"/>
        </w:rPr>
        <w:t xml:space="preserve">of non-electric goods and services </w:t>
      </w:r>
      <w:r w:rsidR="000A1576">
        <w:rPr>
          <w:rFonts w:ascii="Arial" w:hAnsi="Arial" w:cs="Arial"/>
          <w:sz w:val="24"/>
          <w:szCs w:val="24"/>
        </w:rPr>
        <w:t>sold by the FirstEnergy Ohio EDUs.</w:t>
      </w:r>
      <w:r w:rsidR="00A66F96">
        <w:rPr>
          <w:rStyle w:val="FootnoteReference"/>
          <w:rFonts w:ascii="Arial" w:hAnsi="Arial" w:cs="Arial"/>
          <w:sz w:val="24"/>
          <w:szCs w:val="24"/>
        </w:rPr>
        <w:footnoteReference w:id="13"/>
      </w:r>
      <w:r w:rsidR="000A1576">
        <w:rPr>
          <w:rFonts w:ascii="Arial" w:hAnsi="Arial" w:cs="Arial"/>
          <w:sz w:val="24"/>
          <w:szCs w:val="24"/>
        </w:rPr>
        <w:t xml:space="preserve"> </w:t>
      </w:r>
      <w:r w:rsidR="00887226">
        <w:rPr>
          <w:rFonts w:ascii="Arial" w:hAnsi="Arial" w:cs="Arial"/>
          <w:sz w:val="24"/>
          <w:szCs w:val="24"/>
        </w:rPr>
        <w:t>The report noted that using the FirstEnergy name was capitalizing on the reputa</w:t>
      </w:r>
      <w:r w:rsidR="00A66F96">
        <w:rPr>
          <w:rFonts w:ascii="Arial" w:hAnsi="Arial" w:cs="Arial"/>
          <w:sz w:val="24"/>
          <w:szCs w:val="24"/>
        </w:rPr>
        <w:t>tion of the FirstEnergy Ohio EDUs to sell non-jurisdictional products and services.</w:t>
      </w:r>
      <w:r w:rsidR="00A66F96">
        <w:rPr>
          <w:rStyle w:val="FootnoteReference"/>
          <w:rFonts w:ascii="Arial" w:hAnsi="Arial" w:cs="Arial"/>
          <w:sz w:val="24"/>
          <w:szCs w:val="24"/>
        </w:rPr>
        <w:footnoteReference w:id="14"/>
      </w:r>
      <w:r w:rsidR="00673080">
        <w:rPr>
          <w:rFonts w:ascii="Arial" w:hAnsi="Arial" w:cs="Arial"/>
          <w:sz w:val="24"/>
          <w:szCs w:val="24"/>
        </w:rPr>
        <w:t xml:space="preserve"> Although the marketing materials included a disclaimer</w:t>
      </w:r>
      <w:r w:rsidR="00F40644">
        <w:rPr>
          <w:rFonts w:ascii="Arial" w:hAnsi="Arial" w:cs="Arial"/>
          <w:sz w:val="24"/>
          <w:szCs w:val="24"/>
        </w:rPr>
        <w:t xml:space="preserve">, </w:t>
      </w:r>
      <w:r w:rsidR="00DC7458">
        <w:rPr>
          <w:rFonts w:ascii="Arial" w:hAnsi="Arial" w:cs="Arial"/>
          <w:sz w:val="24"/>
          <w:szCs w:val="24"/>
        </w:rPr>
        <w:t>the auditor found that</w:t>
      </w:r>
      <w:r w:rsidR="007E18C9">
        <w:rPr>
          <w:rFonts w:ascii="Arial" w:hAnsi="Arial" w:cs="Arial"/>
          <w:sz w:val="24"/>
          <w:szCs w:val="24"/>
        </w:rPr>
        <w:t xml:space="preserve"> </w:t>
      </w:r>
      <w:r w:rsidR="0099692C">
        <w:rPr>
          <w:rFonts w:ascii="Arial" w:hAnsi="Arial" w:cs="Arial"/>
          <w:sz w:val="24"/>
          <w:szCs w:val="24"/>
        </w:rPr>
        <w:t>a customer could</w:t>
      </w:r>
      <w:r w:rsidR="00D738A2">
        <w:rPr>
          <w:rFonts w:ascii="Arial" w:hAnsi="Arial" w:cs="Arial"/>
          <w:sz w:val="24"/>
          <w:szCs w:val="24"/>
        </w:rPr>
        <w:t xml:space="preserve"> still</w:t>
      </w:r>
      <w:r w:rsidR="0099692C">
        <w:rPr>
          <w:rFonts w:ascii="Arial" w:hAnsi="Arial" w:cs="Arial"/>
          <w:sz w:val="24"/>
          <w:szCs w:val="24"/>
        </w:rPr>
        <w:t xml:space="preserve"> </w:t>
      </w:r>
      <w:r w:rsidR="00E420DF">
        <w:rPr>
          <w:rFonts w:ascii="Arial" w:hAnsi="Arial" w:cs="Arial"/>
          <w:sz w:val="24"/>
          <w:szCs w:val="24"/>
        </w:rPr>
        <w:t>“</w:t>
      </w:r>
      <w:r w:rsidR="0099692C">
        <w:rPr>
          <w:rFonts w:ascii="Arial" w:hAnsi="Arial" w:cs="Arial"/>
          <w:sz w:val="24"/>
          <w:szCs w:val="24"/>
        </w:rPr>
        <w:t>reasonably assume</w:t>
      </w:r>
      <w:r w:rsidR="00E420DF">
        <w:rPr>
          <w:rFonts w:ascii="Arial" w:hAnsi="Arial" w:cs="Arial"/>
          <w:sz w:val="24"/>
          <w:szCs w:val="24"/>
        </w:rPr>
        <w:t>”</w:t>
      </w:r>
      <w:r w:rsidR="0099692C">
        <w:rPr>
          <w:rFonts w:ascii="Arial" w:hAnsi="Arial" w:cs="Arial"/>
          <w:sz w:val="24"/>
          <w:szCs w:val="24"/>
        </w:rPr>
        <w:t xml:space="preserve"> that these </w:t>
      </w:r>
      <w:r w:rsidR="0099692C">
        <w:rPr>
          <w:rFonts w:ascii="Arial" w:hAnsi="Arial" w:cs="Arial"/>
          <w:sz w:val="24"/>
          <w:szCs w:val="24"/>
        </w:rPr>
        <w:lastRenderedPageBreak/>
        <w:t xml:space="preserve">products were </w:t>
      </w:r>
      <w:r w:rsidR="00AF5A69">
        <w:rPr>
          <w:rFonts w:ascii="Arial" w:hAnsi="Arial" w:cs="Arial"/>
          <w:sz w:val="24"/>
          <w:szCs w:val="24"/>
        </w:rPr>
        <w:t>an offering from the</w:t>
      </w:r>
      <w:r w:rsidR="00A90407">
        <w:rPr>
          <w:rFonts w:ascii="Arial" w:hAnsi="Arial" w:cs="Arial"/>
          <w:sz w:val="24"/>
          <w:szCs w:val="24"/>
        </w:rPr>
        <w:t xml:space="preserve"> FirstEnergy Ohio EDUs</w:t>
      </w:r>
      <w:r w:rsidR="00AF5A69">
        <w:rPr>
          <w:rFonts w:ascii="Arial" w:hAnsi="Arial" w:cs="Arial"/>
          <w:sz w:val="24"/>
          <w:szCs w:val="24"/>
        </w:rPr>
        <w:t>, rather than an affiliate’s offering</w:t>
      </w:r>
      <w:r w:rsidR="00B60B7A">
        <w:rPr>
          <w:rFonts w:ascii="Arial" w:hAnsi="Arial" w:cs="Arial"/>
          <w:sz w:val="24"/>
          <w:szCs w:val="24"/>
        </w:rPr>
        <w:t>.</w:t>
      </w:r>
      <w:r w:rsidR="004C439D">
        <w:rPr>
          <w:rStyle w:val="FootnoteReference"/>
          <w:rFonts w:ascii="Arial" w:hAnsi="Arial" w:cs="Arial"/>
          <w:sz w:val="24"/>
          <w:szCs w:val="24"/>
        </w:rPr>
        <w:footnoteReference w:id="15"/>
      </w:r>
      <w:r w:rsidR="00B60B7A">
        <w:rPr>
          <w:rFonts w:ascii="Arial" w:hAnsi="Arial" w:cs="Arial"/>
          <w:sz w:val="24"/>
          <w:szCs w:val="24"/>
        </w:rPr>
        <w:t xml:space="preserve"> </w:t>
      </w:r>
      <w:r w:rsidR="00D65E7E">
        <w:rPr>
          <w:rFonts w:ascii="Arial" w:hAnsi="Arial" w:cs="Arial"/>
          <w:sz w:val="24"/>
          <w:szCs w:val="24"/>
        </w:rPr>
        <w:t xml:space="preserve">In </w:t>
      </w:r>
      <w:r w:rsidR="004C439D">
        <w:rPr>
          <w:rFonts w:ascii="Arial" w:hAnsi="Arial" w:cs="Arial"/>
          <w:sz w:val="24"/>
          <w:szCs w:val="24"/>
        </w:rPr>
        <w:t>other words</w:t>
      </w:r>
      <w:r w:rsidR="00D65E7E">
        <w:rPr>
          <w:rFonts w:ascii="Arial" w:hAnsi="Arial" w:cs="Arial"/>
          <w:sz w:val="24"/>
          <w:szCs w:val="24"/>
        </w:rPr>
        <w:t xml:space="preserve">, </w:t>
      </w:r>
      <w:r w:rsidR="00AF5A69">
        <w:rPr>
          <w:rFonts w:ascii="Arial" w:hAnsi="Arial" w:cs="Arial"/>
          <w:sz w:val="24"/>
          <w:szCs w:val="24"/>
        </w:rPr>
        <w:t xml:space="preserve">a </w:t>
      </w:r>
      <w:r w:rsidR="00D65E7E">
        <w:rPr>
          <w:rFonts w:ascii="Arial" w:hAnsi="Arial" w:cs="Arial"/>
          <w:sz w:val="24"/>
          <w:szCs w:val="24"/>
        </w:rPr>
        <w:t xml:space="preserve">disclaimer is </w:t>
      </w:r>
      <w:r w:rsidR="00176304">
        <w:rPr>
          <w:rFonts w:ascii="Arial" w:hAnsi="Arial" w:cs="Arial"/>
          <w:sz w:val="24"/>
          <w:szCs w:val="24"/>
        </w:rPr>
        <w:t xml:space="preserve">just </w:t>
      </w:r>
      <w:r w:rsidR="00D65E7E">
        <w:rPr>
          <w:rFonts w:ascii="Arial" w:hAnsi="Arial" w:cs="Arial"/>
          <w:sz w:val="24"/>
          <w:szCs w:val="24"/>
        </w:rPr>
        <w:t>not enough</w:t>
      </w:r>
      <w:r w:rsidR="00691CBD">
        <w:rPr>
          <w:rFonts w:ascii="Arial" w:hAnsi="Arial" w:cs="Arial"/>
          <w:sz w:val="24"/>
          <w:szCs w:val="24"/>
        </w:rPr>
        <w:t xml:space="preserve"> to remove the bias</w:t>
      </w:r>
      <w:r w:rsidR="00176304">
        <w:rPr>
          <w:rFonts w:ascii="Arial" w:hAnsi="Arial" w:cs="Arial"/>
          <w:sz w:val="24"/>
          <w:szCs w:val="24"/>
        </w:rPr>
        <w:t xml:space="preserve"> or confusion</w:t>
      </w:r>
      <w:r w:rsidR="00D65E7E">
        <w:rPr>
          <w:rFonts w:ascii="Arial" w:hAnsi="Arial" w:cs="Arial"/>
          <w:sz w:val="24"/>
          <w:szCs w:val="24"/>
        </w:rPr>
        <w:t>.</w:t>
      </w:r>
    </w:p>
    <w:p w14:paraId="294241E9" w14:textId="4E795377" w:rsidR="00DE6D7D" w:rsidRPr="00DE6D7D" w:rsidRDefault="00EB2A59" w:rsidP="00DE6D7D">
      <w:pPr>
        <w:spacing w:after="0" w:line="480" w:lineRule="auto"/>
        <w:ind w:firstLine="720"/>
        <w:jc w:val="both"/>
        <w:rPr>
          <w:rFonts w:ascii="Arial" w:hAnsi="Arial" w:cs="Arial"/>
          <w:sz w:val="24"/>
          <w:szCs w:val="24"/>
        </w:rPr>
      </w:pPr>
      <w:r>
        <w:rPr>
          <w:rFonts w:ascii="Arial" w:hAnsi="Arial" w:cs="Arial"/>
          <w:sz w:val="24"/>
          <w:szCs w:val="24"/>
        </w:rPr>
        <w:t>Further, i</w:t>
      </w:r>
      <w:r w:rsidR="00396E13">
        <w:rPr>
          <w:rFonts w:ascii="Arial" w:hAnsi="Arial" w:cs="Arial"/>
          <w:sz w:val="24"/>
          <w:szCs w:val="24"/>
        </w:rPr>
        <w:t xml:space="preserve">mplementation of this </w:t>
      </w:r>
      <w:r w:rsidR="00DC7458">
        <w:rPr>
          <w:rFonts w:ascii="Arial" w:hAnsi="Arial" w:cs="Arial"/>
          <w:sz w:val="24"/>
          <w:szCs w:val="24"/>
        </w:rPr>
        <w:t>restriction</w:t>
      </w:r>
      <w:r w:rsidR="00396E13">
        <w:rPr>
          <w:rFonts w:ascii="Arial" w:hAnsi="Arial" w:cs="Arial"/>
          <w:sz w:val="24"/>
          <w:szCs w:val="24"/>
        </w:rPr>
        <w:t xml:space="preserve"> is not new or novel</w:t>
      </w:r>
      <w:r w:rsidR="00DC7458">
        <w:rPr>
          <w:rFonts w:ascii="Arial" w:hAnsi="Arial" w:cs="Arial"/>
          <w:sz w:val="24"/>
          <w:szCs w:val="24"/>
        </w:rPr>
        <w:t xml:space="preserve"> concept</w:t>
      </w:r>
      <w:r w:rsidR="00396E13">
        <w:rPr>
          <w:rFonts w:ascii="Arial" w:hAnsi="Arial" w:cs="Arial"/>
          <w:sz w:val="24"/>
          <w:szCs w:val="24"/>
        </w:rPr>
        <w:t xml:space="preserve">. </w:t>
      </w:r>
      <w:r w:rsidR="00DE6D7D">
        <w:rPr>
          <w:rFonts w:ascii="Arial" w:hAnsi="Arial" w:cs="Arial"/>
          <w:sz w:val="24"/>
          <w:szCs w:val="24"/>
        </w:rPr>
        <w:t>In Texas, the court upheld the Texas Public Utility Commission’s decision to prohibit AEP from utilizing the AEP name and branding for its competitive retail electric provider (“REP”) affiliate, AEP Retail Energy.</w:t>
      </w:r>
      <w:r w:rsidR="0002186E">
        <w:rPr>
          <w:rStyle w:val="FootnoteReference"/>
          <w:rFonts w:ascii="Arial" w:hAnsi="Arial" w:cs="Arial"/>
          <w:sz w:val="24"/>
          <w:szCs w:val="24"/>
        </w:rPr>
        <w:footnoteReference w:id="16"/>
      </w:r>
      <w:r w:rsidR="00DE6D7D">
        <w:rPr>
          <w:rFonts w:ascii="Arial" w:hAnsi="Arial" w:cs="Arial"/>
          <w:sz w:val="24"/>
          <w:szCs w:val="24"/>
        </w:rPr>
        <w:t xml:space="preserve"> This would prevent </w:t>
      </w:r>
      <w:r w:rsidR="00B36B47">
        <w:rPr>
          <w:rFonts w:ascii="Arial" w:hAnsi="Arial" w:cs="Arial"/>
          <w:sz w:val="24"/>
          <w:szCs w:val="24"/>
        </w:rPr>
        <w:t xml:space="preserve">any </w:t>
      </w:r>
      <w:r w:rsidR="00DE6D7D" w:rsidRPr="000369EA">
        <w:rPr>
          <w:rFonts w:ascii="Arial" w:hAnsi="Arial" w:cs="Arial"/>
          <w:sz w:val="24"/>
          <w:szCs w:val="24"/>
        </w:rPr>
        <w:t>cross-subsidization between regulated and competitive activitie</w:t>
      </w:r>
      <w:r w:rsidR="00DE6D7D">
        <w:rPr>
          <w:rFonts w:ascii="Arial" w:hAnsi="Arial" w:cs="Arial"/>
          <w:sz w:val="24"/>
          <w:szCs w:val="24"/>
        </w:rPr>
        <w:t xml:space="preserve">s, a “central legislative concern,” and </w:t>
      </w:r>
      <w:r w:rsidR="00FB3DE6">
        <w:rPr>
          <w:rFonts w:ascii="Arial" w:hAnsi="Arial" w:cs="Arial"/>
          <w:sz w:val="24"/>
          <w:szCs w:val="24"/>
        </w:rPr>
        <w:t xml:space="preserve">the ability of </w:t>
      </w:r>
      <w:r w:rsidR="00DE6D7D">
        <w:rPr>
          <w:rFonts w:ascii="Arial" w:hAnsi="Arial" w:cs="Arial"/>
          <w:sz w:val="24"/>
          <w:szCs w:val="24"/>
        </w:rPr>
        <w:t xml:space="preserve">AEP to leverage its monopoly position as </w:t>
      </w:r>
      <w:r w:rsidR="00DE6D7D" w:rsidRPr="00DE6D7D">
        <w:rPr>
          <w:rFonts w:ascii="Arial" w:hAnsi="Arial" w:cs="Arial"/>
          <w:sz w:val="24"/>
          <w:szCs w:val="24"/>
        </w:rPr>
        <w:t>the distribution utility, AEP Texas TDU.</w:t>
      </w:r>
      <w:r w:rsidR="00DE6D7D" w:rsidRPr="00DE6D7D">
        <w:rPr>
          <w:rStyle w:val="FootnoteReference"/>
          <w:rFonts w:ascii="Arial" w:hAnsi="Arial" w:cs="Arial"/>
          <w:sz w:val="24"/>
          <w:szCs w:val="24"/>
        </w:rPr>
        <w:footnoteReference w:id="17"/>
      </w:r>
      <w:r w:rsidR="00DE6D7D" w:rsidRPr="00DE6D7D">
        <w:rPr>
          <w:rFonts w:ascii="Arial" w:hAnsi="Arial" w:cs="Arial"/>
          <w:sz w:val="24"/>
          <w:szCs w:val="24"/>
        </w:rPr>
        <w:t xml:space="preserve"> The Commission found that:</w:t>
      </w:r>
    </w:p>
    <w:p w14:paraId="6DE73EF0" w14:textId="17D075BB" w:rsidR="00DE6D7D" w:rsidRPr="00DE6D7D" w:rsidRDefault="00DE6D7D" w:rsidP="00DE6D7D">
      <w:pPr>
        <w:spacing w:after="0" w:line="240" w:lineRule="auto"/>
        <w:ind w:left="720" w:right="720"/>
        <w:jc w:val="both"/>
        <w:rPr>
          <w:rFonts w:ascii="Arial" w:hAnsi="Arial" w:cs="Arial"/>
          <w:sz w:val="24"/>
          <w:szCs w:val="24"/>
        </w:rPr>
      </w:pPr>
      <w:r w:rsidRPr="00DE6D7D">
        <w:rPr>
          <w:rFonts w:ascii="Arial" w:hAnsi="Arial" w:cs="Arial"/>
          <w:sz w:val="24"/>
          <w:szCs w:val="24"/>
          <w:shd w:val="clear" w:color="auto" w:fill="FFFFFF"/>
        </w:rPr>
        <w:t xml:space="preserve">“AEP Retail Energy and the AEP Texas TDUs['] sharing of identical AEP branding is joint promotion that will cause confusion among customers and result in favoring AEP Retail Energy over non-affiliated </w:t>
      </w:r>
      <w:proofErr w:type="spellStart"/>
      <w:r w:rsidRPr="00DE6D7D">
        <w:rPr>
          <w:rFonts w:ascii="Arial" w:hAnsi="Arial" w:cs="Arial"/>
          <w:sz w:val="24"/>
          <w:szCs w:val="24"/>
          <w:shd w:val="clear" w:color="auto" w:fill="FFFFFF"/>
        </w:rPr>
        <w:t>REPs.</w:t>
      </w:r>
      <w:proofErr w:type="spellEnd"/>
      <w:r w:rsidRPr="00DE6D7D">
        <w:rPr>
          <w:rFonts w:ascii="Arial" w:hAnsi="Arial" w:cs="Arial"/>
          <w:sz w:val="24"/>
          <w:szCs w:val="24"/>
          <w:shd w:val="clear" w:color="auto" w:fill="FFFFFF"/>
        </w:rPr>
        <w:t>” Specifically, there was evidence that allowing AEP REP to sell electricity in the Texas retail market as “AEP Retail Electric,” with the same “AEP” identifier and logo as the “AEP Texas” TDUs would tend to cause retail and small commercial customers to perceive incorrectly that “AEP Retail Electric” and “AEP Texas” were one and the same or that customers of “AEP Retail Electric” otherwise stood to benefit from that company's affiliation with the TDU-e.g., perceiving that the affiliation would enable the customer to obtain more reliable service or more responsive restoration of service following an outage.</w:t>
      </w:r>
      <w:r w:rsidR="00236387">
        <w:rPr>
          <w:rStyle w:val="FootnoteReference"/>
          <w:rFonts w:ascii="Arial" w:hAnsi="Arial" w:cs="Arial"/>
          <w:sz w:val="24"/>
          <w:szCs w:val="24"/>
          <w:shd w:val="clear" w:color="auto" w:fill="FFFFFF"/>
        </w:rPr>
        <w:footnoteReference w:id="18"/>
      </w:r>
      <w:r w:rsidRPr="00DE6D7D">
        <w:rPr>
          <w:rFonts w:ascii="Arial" w:hAnsi="Arial" w:cs="Arial"/>
          <w:sz w:val="24"/>
          <w:szCs w:val="24"/>
        </w:rPr>
        <w:t xml:space="preserve"> </w:t>
      </w:r>
    </w:p>
    <w:p w14:paraId="338F6CAE" w14:textId="77777777" w:rsidR="00AF23C7" w:rsidRDefault="00AF23C7" w:rsidP="00F14768">
      <w:pPr>
        <w:spacing w:after="0" w:line="240" w:lineRule="auto"/>
        <w:jc w:val="both"/>
        <w:rPr>
          <w:rFonts w:ascii="Arial" w:hAnsi="Arial" w:cs="Arial"/>
          <w:sz w:val="24"/>
          <w:szCs w:val="24"/>
        </w:rPr>
      </w:pPr>
    </w:p>
    <w:p w14:paraId="11212EF1" w14:textId="134476AD" w:rsidR="00396E13" w:rsidRPr="00DE6D7D" w:rsidRDefault="00210C20" w:rsidP="00DE6D7D">
      <w:pPr>
        <w:spacing w:after="0" w:line="480" w:lineRule="auto"/>
        <w:jc w:val="both"/>
        <w:rPr>
          <w:rFonts w:ascii="Arial" w:hAnsi="Arial" w:cs="Arial"/>
          <w:sz w:val="24"/>
          <w:szCs w:val="24"/>
        </w:rPr>
      </w:pPr>
      <w:r>
        <w:rPr>
          <w:rFonts w:ascii="Arial" w:hAnsi="Arial" w:cs="Arial"/>
          <w:sz w:val="24"/>
          <w:szCs w:val="24"/>
        </w:rPr>
        <w:t xml:space="preserve">The identical analysis can be applied </w:t>
      </w:r>
      <w:r w:rsidR="00B21C62">
        <w:rPr>
          <w:rFonts w:ascii="Arial" w:hAnsi="Arial" w:cs="Arial"/>
          <w:sz w:val="24"/>
          <w:szCs w:val="24"/>
        </w:rPr>
        <w:t xml:space="preserve">here. </w:t>
      </w:r>
      <w:r w:rsidR="00AF23C7">
        <w:rPr>
          <w:rFonts w:ascii="Arial" w:hAnsi="Arial" w:cs="Arial"/>
          <w:sz w:val="24"/>
          <w:szCs w:val="24"/>
        </w:rPr>
        <w:t>The</w:t>
      </w:r>
      <w:r w:rsidR="00FE179C">
        <w:rPr>
          <w:rFonts w:ascii="Arial" w:hAnsi="Arial" w:cs="Arial"/>
          <w:sz w:val="24"/>
          <w:szCs w:val="24"/>
        </w:rPr>
        <w:t>refore, the</w:t>
      </w:r>
      <w:r w:rsidR="00AF23C7">
        <w:rPr>
          <w:rFonts w:ascii="Arial" w:hAnsi="Arial" w:cs="Arial"/>
          <w:sz w:val="24"/>
          <w:szCs w:val="24"/>
        </w:rPr>
        <w:t xml:space="preserve"> Commission s</w:t>
      </w:r>
      <w:r w:rsidR="00FE179C">
        <w:rPr>
          <w:rFonts w:ascii="Arial" w:hAnsi="Arial" w:cs="Arial"/>
          <w:sz w:val="24"/>
          <w:szCs w:val="24"/>
        </w:rPr>
        <w:t>hould</w:t>
      </w:r>
      <w:r w:rsidR="00AF23C7">
        <w:rPr>
          <w:rFonts w:ascii="Arial" w:hAnsi="Arial" w:cs="Arial"/>
          <w:sz w:val="24"/>
          <w:szCs w:val="24"/>
        </w:rPr>
        <w:t xml:space="preserve"> prohibit</w:t>
      </w:r>
      <w:r w:rsidR="009B24D1">
        <w:rPr>
          <w:rFonts w:ascii="Arial" w:hAnsi="Arial" w:cs="Arial"/>
          <w:sz w:val="24"/>
          <w:szCs w:val="24"/>
        </w:rPr>
        <w:t xml:space="preserve"> </w:t>
      </w:r>
      <w:r w:rsidR="00AF23C7">
        <w:rPr>
          <w:rFonts w:ascii="Arial" w:hAnsi="Arial" w:cs="Arial"/>
          <w:sz w:val="24"/>
          <w:szCs w:val="24"/>
        </w:rPr>
        <w:t>a</w:t>
      </w:r>
      <w:r w:rsidR="00AF23C7" w:rsidRPr="000D121D">
        <w:rPr>
          <w:rFonts w:ascii="Arial" w:hAnsi="Arial" w:cs="Arial"/>
          <w:sz w:val="24"/>
          <w:szCs w:val="24"/>
        </w:rPr>
        <w:t xml:space="preserve"> CRES </w:t>
      </w:r>
      <w:r w:rsidR="00AF23C7">
        <w:rPr>
          <w:rFonts w:ascii="Arial" w:hAnsi="Arial" w:cs="Arial"/>
          <w:sz w:val="24"/>
          <w:szCs w:val="24"/>
        </w:rPr>
        <w:t xml:space="preserve">or CRNGS </w:t>
      </w:r>
      <w:r w:rsidR="00AF23C7" w:rsidRPr="000D121D">
        <w:rPr>
          <w:rFonts w:ascii="Arial" w:hAnsi="Arial" w:cs="Arial"/>
          <w:sz w:val="24"/>
          <w:szCs w:val="24"/>
        </w:rPr>
        <w:t>provider affiliated with a</w:t>
      </w:r>
      <w:r w:rsidR="00F14768">
        <w:rPr>
          <w:rFonts w:ascii="Arial" w:hAnsi="Arial" w:cs="Arial"/>
          <w:sz w:val="24"/>
          <w:szCs w:val="24"/>
        </w:rPr>
        <w:t xml:space="preserve"> </w:t>
      </w:r>
      <w:r w:rsidR="00AF23C7">
        <w:rPr>
          <w:rFonts w:ascii="Arial" w:hAnsi="Arial" w:cs="Arial"/>
          <w:sz w:val="24"/>
          <w:szCs w:val="24"/>
        </w:rPr>
        <w:t xml:space="preserve">distribution company </w:t>
      </w:r>
      <w:r w:rsidR="00AF23C7" w:rsidRPr="000D121D">
        <w:rPr>
          <w:rFonts w:ascii="Arial" w:hAnsi="Arial" w:cs="Arial"/>
          <w:sz w:val="24"/>
          <w:szCs w:val="24"/>
        </w:rPr>
        <w:t>regulated by the Commission</w:t>
      </w:r>
      <w:r w:rsidR="00AF23C7">
        <w:rPr>
          <w:rFonts w:ascii="Arial" w:hAnsi="Arial" w:cs="Arial"/>
          <w:sz w:val="24"/>
          <w:szCs w:val="24"/>
        </w:rPr>
        <w:t xml:space="preserve"> from</w:t>
      </w:r>
      <w:r w:rsidR="00AF23C7" w:rsidRPr="000D121D">
        <w:rPr>
          <w:rFonts w:ascii="Arial" w:hAnsi="Arial" w:cs="Arial"/>
          <w:sz w:val="24"/>
          <w:szCs w:val="24"/>
        </w:rPr>
        <w:t xml:space="preserve"> the solicit</w:t>
      </w:r>
      <w:r w:rsidR="00AF23C7">
        <w:rPr>
          <w:rFonts w:ascii="Arial" w:hAnsi="Arial" w:cs="Arial"/>
          <w:sz w:val="24"/>
          <w:szCs w:val="24"/>
        </w:rPr>
        <w:t>ing</w:t>
      </w:r>
      <w:r w:rsidR="00AF23C7" w:rsidRPr="000D121D">
        <w:rPr>
          <w:rFonts w:ascii="Arial" w:hAnsi="Arial" w:cs="Arial"/>
          <w:sz w:val="24"/>
          <w:szCs w:val="24"/>
        </w:rPr>
        <w:t>, market</w:t>
      </w:r>
      <w:r w:rsidR="00AF23C7">
        <w:rPr>
          <w:rFonts w:ascii="Arial" w:hAnsi="Arial" w:cs="Arial"/>
          <w:sz w:val="24"/>
          <w:szCs w:val="24"/>
        </w:rPr>
        <w:t>ing</w:t>
      </w:r>
      <w:r w:rsidR="00AF23C7" w:rsidRPr="000D121D">
        <w:rPr>
          <w:rFonts w:ascii="Arial" w:hAnsi="Arial" w:cs="Arial"/>
          <w:sz w:val="24"/>
          <w:szCs w:val="24"/>
        </w:rPr>
        <w:t>, or adverti</w:t>
      </w:r>
      <w:r w:rsidR="00AF23C7">
        <w:rPr>
          <w:rFonts w:ascii="Arial" w:hAnsi="Arial" w:cs="Arial"/>
          <w:sz w:val="24"/>
          <w:szCs w:val="24"/>
        </w:rPr>
        <w:t>ng</w:t>
      </w:r>
      <w:r w:rsidR="00AF23C7" w:rsidRPr="000D121D">
        <w:rPr>
          <w:rFonts w:ascii="Arial" w:hAnsi="Arial" w:cs="Arial"/>
          <w:sz w:val="24"/>
          <w:szCs w:val="24"/>
        </w:rPr>
        <w:t xml:space="preserve"> to consumers using the same or similar name or logo of the distribution utility</w:t>
      </w:r>
      <w:r w:rsidR="00DE6D7D" w:rsidRPr="00D275EC">
        <w:rPr>
          <w:rFonts w:ascii="Arial" w:hAnsi="Arial" w:cs="Arial"/>
          <w:sz w:val="24"/>
          <w:szCs w:val="24"/>
        </w:rPr>
        <w:t>.</w:t>
      </w:r>
      <w:r w:rsidR="00DE6D7D" w:rsidRPr="00D275EC">
        <w:rPr>
          <w:rStyle w:val="FootnoteReference"/>
          <w:rFonts w:ascii="Arial" w:hAnsi="Arial" w:cs="Arial"/>
          <w:sz w:val="24"/>
          <w:szCs w:val="24"/>
        </w:rPr>
        <w:footnoteReference w:id="19"/>
      </w:r>
      <w:r w:rsidR="00DE6D7D" w:rsidRPr="00D275EC">
        <w:rPr>
          <w:rFonts w:ascii="Arial" w:hAnsi="Arial" w:cs="Arial"/>
          <w:sz w:val="24"/>
          <w:szCs w:val="24"/>
        </w:rPr>
        <w:t xml:space="preserve"> </w:t>
      </w:r>
    </w:p>
    <w:p w14:paraId="3B2C55F9" w14:textId="24975775" w:rsidR="00A426CA" w:rsidRPr="00D21FC4" w:rsidRDefault="00C91FAB" w:rsidP="000D121D">
      <w:pPr>
        <w:pStyle w:val="Heading3"/>
      </w:pPr>
      <w:bookmarkStart w:id="13" w:name="_Toc85784652"/>
      <w:bookmarkStart w:id="14" w:name="_Toc85784994"/>
      <w:r>
        <w:lastRenderedPageBreak/>
        <w:t>The r</w:t>
      </w:r>
      <w:r w:rsidR="00D21FC4" w:rsidRPr="00D21FC4">
        <w:t xml:space="preserve">ecommendations regarding </w:t>
      </w:r>
      <w:r w:rsidR="00FE19D9" w:rsidRPr="00D21FC4">
        <w:rPr>
          <w:rFonts w:eastAsia="Times New Roman"/>
        </w:rPr>
        <w:t>the marketing of a product</w:t>
      </w:r>
      <w:r w:rsidR="00FE19D9" w:rsidRPr="00D21FC4">
        <w:t xml:space="preserve"> </w:t>
      </w:r>
      <w:r w:rsidR="00FE19D9" w:rsidRPr="00D21FC4">
        <w:rPr>
          <w:rFonts w:eastAsia="Times New Roman"/>
        </w:rPr>
        <w:t xml:space="preserve">based on its fuel source and/or emissions profile </w:t>
      </w:r>
      <w:r w:rsidR="00D21FC4" w:rsidRPr="00D21FC4">
        <w:rPr>
          <w:rFonts w:eastAsia="Times New Roman"/>
        </w:rPr>
        <w:t>are improper</w:t>
      </w:r>
      <w:r>
        <w:rPr>
          <w:rFonts w:eastAsia="Times New Roman"/>
        </w:rPr>
        <w:t xml:space="preserve">, </w:t>
      </w:r>
      <w:r w:rsidR="00D21FC4" w:rsidRPr="00D21FC4">
        <w:rPr>
          <w:rFonts w:eastAsia="Times New Roman"/>
        </w:rPr>
        <w:t>unclear</w:t>
      </w:r>
      <w:r>
        <w:rPr>
          <w:rFonts w:eastAsia="Times New Roman"/>
        </w:rPr>
        <w:t>, and better addressed through the Green Pricing Program Rules</w:t>
      </w:r>
      <w:r w:rsidR="001450B4" w:rsidRPr="00D21FC4">
        <w:t>.</w:t>
      </w:r>
      <w:bookmarkEnd w:id="13"/>
      <w:bookmarkEnd w:id="14"/>
      <w:r w:rsidR="001450B4" w:rsidRPr="00D21FC4">
        <w:t xml:space="preserve"> </w:t>
      </w:r>
    </w:p>
    <w:p w14:paraId="2EEAFF3C" w14:textId="32938A79" w:rsidR="00A426CA" w:rsidRDefault="00A426CA" w:rsidP="00A426CA">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OCC </w:t>
      </w:r>
      <w:r w:rsidR="007C2BC8">
        <w:rPr>
          <w:rFonts w:ascii="Arial" w:eastAsia="Times New Roman" w:hAnsi="Arial" w:cs="Arial"/>
          <w:sz w:val="24"/>
          <w:szCs w:val="24"/>
        </w:rPr>
        <w:t>notes that the CRES rules</w:t>
      </w:r>
      <w:r w:rsidR="00A41317">
        <w:rPr>
          <w:rFonts w:ascii="Arial" w:eastAsia="Times New Roman" w:hAnsi="Arial" w:cs="Arial"/>
          <w:sz w:val="24"/>
          <w:szCs w:val="24"/>
        </w:rPr>
        <w:t xml:space="preserve"> include a provision</w:t>
      </w:r>
      <w:r w:rsidR="000B5ECC">
        <w:rPr>
          <w:rFonts w:ascii="Arial" w:eastAsia="Times New Roman" w:hAnsi="Arial" w:cs="Arial"/>
          <w:sz w:val="24"/>
          <w:szCs w:val="24"/>
        </w:rPr>
        <w:t xml:space="preserve"> prohibiting</w:t>
      </w:r>
      <w:r w:rsidR="005923A9">
        <w:rPr>
          <w:rFonts w:ascii="Arial" w:eastAsia="Times New Roman" w:hAnsi="Arial" w:cs="Arial"/>
          <w:sz w:val="24"/>
          <w:szCs w:val="24"/>
        </w:rPr>
        <w:t xml:space="preserve"> </w:t>
      </w:r>
      <w:r w:rsidR="00765477">
        <w:rPr>
          <w:rFonts w:ascii="Arial" w:eastAsia="Times New Roman" w:hAnsi="Arial" w:cs="Arial"/>
          <w:sz w:val="24"/>
          <w:szCs w:val="24"/>
        </w:rPr>
        <w:t xml:space="preserve">the act of </w:t>
      </w:r>
      <w:r w:rsidR="005923A9">
        <w:rPr>
          <w:rFonts w:ascii="Arial" w:eastAsia="Times New Roman" w:hAnsi="Arial" w:cs="Arial"/>
          <w:sz w:val="24"/>
          <w:szCs w:val="24"/>
        </w:rPr>
        <w:t>claiming</w:t>
      </w:r>
      <w:r w:rsidR="0062598C">
        <w:rPr>
          <w:rFonts w:ascii="Arial" w:eastAsia="Times New Roman" w:hAnsi="Arial" w:cs="Arial"/>
          <w:sz w:val="24"/>
          <w:szCs w:val="24"/>
        </w:rPr>
        <w:t xml:space="preserve"> </w:t>
      </w:r>
      <w:r w:rsidR="0062598C" w:rsidRPr="0062598C">
        <w:rPr>
          <w:rFonts w:ascii="Arial" w:eastAsia="Times New Roman" w:hAnsi="Arial" w:cs="Arial"/>
          <w:sz w:val="24"/>
          <w:szCs w:val="24"/>
        </w:rPr>
        <w:t xml:space="preserve">environmental characteristics of </w:t>
      </w:r>
      <w:r w:rsidR="00765477">
        <w:rPr>
          <w:rFonts w:ascii="Arial" w:eastAsia="Times New Roman" w:hAnsi="Arial" w:cs="Arial"/>
          <w:sz w:val="24"/>
          <w:szCs w:val="24"/>
        </w:rPr>
        <w:t>a</w:t>
      </w:r>
      <w:r w:rsidR="0062598C" w:rsidRPr="0062598C">
        <w:rPr>
          <w:rFonts w:ascii="Arial" w:eastAsia="Times New Roman" w:hAnsi="Arial" w:cs="Arial"/>
          <w:sz w:val="24"/>
          <w:szCs w:val="24"/>
        </w:rPr>
        <w:t xml:space="preserve"> generation service generation source(s) provide an environmental advantage</w:t>
      </w:r>
      <w:r w:rsidR="00765477">
        <w:rPr>
          <w:rFonts w:ascii="Arial" w:eastAsia="Times New Roman" w:hAnsi="Arial" w:cs="Arial"/>
          <w:sz w:val="24"/>
          <w:szCs w:val="24"/>
        </w:rPr>
        <w:t xml:space="preserve"> </w:t>
      </w:r>
      <w:r w:rsidR="005923A9">
        <w:rPr>
          <w:rFonts w:ascii="Arial" w:eastAsia="Times New Roman" w:hAnsi="Arial" w:cs="Arial"/>
          <w:sz w:val="24"/>
          <w:szCs w:val="24"/>
        </w:rPr>
        <w:t>when</w:t>
      </w:r>
      <w:r w:rsidR="0062598C" w:rsidRPr="0062598C">
        <w:rPr>
          <w:rFonts w:ascii="Arial" w:eastAsia="Times New Roman" w:hAnsi="Arial" w:cs="Arial"/>
          <w:sz w:val="24"/>
          <w:szCs w:val="24"/>
        </w:rPr>
        <w:t xml:space="preserve"> that </w:t>
      </w:r>
      <w:r w:rsidR="005923A9">
        <w:rPr>
          <w:rFonts w:ascii="Arial" w:eastAsia="Times New Roman" w:hAnsi="Arial" w:cs="Arial"/>
          <w:sz w:val="24"/>
          <w:szCs w:val="24"/>
        </w:rPr>
        <w:t xml:space="preserve">advantage </w:t>
      </w:r>
      <w:r w:rsidR="0062598C" w:rsidRPr="0062598C">
        <w:rPr>
          <w:rFonts w:ascii="Arial" w:eastAsia="Times New Roman" w:hAnsi="Arial" w:cs="Arial"/>
          <w:sz w:val="24"/>
          <w:szCs w:val="24"/>
        </w:rPr>
        <w:t>does not exist</w:t>
      </w:r>
      <w:r w:rsidR="005F1958">
        <w:rPr>
          <w:rFonts w:ascii="Arial" w:eastAsia="Times New Roman" w:hAnsi="Arial" w:cs="Arial"/>
          <w:sz w:val="24"/>
          <w:szCs w:val="24"/>
        </w:rPr>
        <w:t>, and recommends adding the same language into the CRNGS rules</w:t>
      </w:r>
      <w:r>
        <w:rPr>
          <w:rFonts w:ascii="Arial" w:eastAsia="Times New Roman" w:hAnsi="Arial" w:cs="Arial"/>
          <w:sz w:val="24"/>
          <w:szCs w:val="24"/>
        </w:rPr>
        <w:t>.</w:t>
      </w:r>
      <w:r>
        <w:rPr>
          <w:rStyle w:val="FootnoteReference"/>
          <w:rFonts w:ascii="Arial" w:eastAsia="Times New Roman" w:hAnsi="Arial" w:cs="Arial"/>
          <w:sz w:val="24"/>
          <w:szCs w:val="24"/>
        </w:rPr>
        <w:footnoteReference w:id="20"/>
      </w:r>
      <w:r>
        <w:rPr>
          <w:rFonts w:ascii="Arial" w:eastAsia="Times New Roman" w:hAnsi="Arial" w:cs="Arial"/>
          <w:sz w:val="24"/>
          <w:szCs w:val="24"/>
        </w:rPr>
        <w:t xml:space="preserve"> </w:t>
      </w:r>
      <w:r w:rsidR="0033010F">
        <w:rPr>
          <w:rFonts w:ascii="Arial" w:eastAsia="Times New Roman" w:hAnsi="Arial" w:cs="Arial"/>
          <w:sz w:val="24"/>
          <w:szCs w:val="24"/>
        </w:rPr>
        <w:t>In addition</w:t>
      </w:r>
      <w:r>
        <w:rPr>
          <w:rFonts w:ascii="Arial" w:eastAsia="Times New Roman" w:hAnsi="Arial" w:cs="Arial"/>
          <w:sz w:val="24"/>
          <w:szCs w:val="24"/>
        </w:rPr>
        <w:t xml:space="preserve">, </w:t>
      </w:r>
      <w:r w:rsidR="009E1D47">
        <w:rPr>
          <w:rFonts w:ascii="Arial" w:eastAsia="Times New Roman" w:hAnsi="Arial" w:cs="Arial"/>
          <w:sz w:val="24"/>
          <w:szCs w:val="24"/>
        </w:rPr>
        <w:t>OCC</w:t>
      </w:r>
      <w:r w:rsidR="00881291">
        <w:rPr>
          <w:rFonts w:ascii="Arial" w:eastAsia="Times New Roman" w:hAnsi="Arial" w:cs="Arial"/>
          <w:sz w:val="24"/>
          <w:szCs w:val="24"/>
        </w:rPr>
        <w:t xml:space="preserve"> recommends</w:t>
      </w:r>
      <w:r w:rsidR="009E1D47">
        <w:rPr>
          <w:rFonts w:ascii="Arial" w:eastAsia="Times New Roman" w:hAnsi="Arial" w:cs="Arial"/>
          <w:sz w:val="24"/>
          <w:szCs w:val="24"/>
        </w:rPr>
        <w:t xml:space="preserve"> </w:t>
      </w:r>
      <w:r w:rsidR="00756BAD">
        <w:rPr>
          <w:rFonts w:ascii="Arial" w:eastAsia="Times New Roman" w:hAnsi="Arial" w:cs="Arial"/>
          <w:sz w:val="24"/>
          <w:szCs w:val="24"/>
        </w:rPr>
        <w:t>that the</w:t>
      </w:r>
      <w:r w:rsidR="009E1D47" w:rsidRPr="009E1D47">
        <w:rPr>
          <w:rFonts w:ascii="Arial" w:eastAsia="Times New Roman" w:hAnsi="Arial" w:cs="Arial"/>
          <w:sz w:val="24"/>
          <w:szCs w:val="24"/>
        </w:rPr>
        <w:t xml:space="preserve"> </w:t>
      </w:r>
      <w:r w:rsidR="00F337C3">
        <w:rPr>
          <w:rFonts w:ascii="Arial" w:eastAsia="Times New Roman" w:hAnsi="Arial" w:cs="Arial"/>
          <w:sz w:val="24"/>
          <w:szCs w:val="24"/>
        </w:rPr>
        <w:t xml:space="preserve">CRES and CRNGS </w:t>
      </w:r>
      <w:r w:rsidR="009E1D47" w:rsidRPr="009E1D47">
        <w:rPr>
          <w:rFonts w:ascii="Arial" w:eastAsia="Times New Roman" w:hAnsi="Arial" w:cs="Arial"/>
          <w:sz w:val="24"/>
          <w:szCs w:val="24"/>
        </w:rPr>
        <w:t>rules</w:t>
      </w:r>
      <w:r w:rsidR="00756BAD">
        <w:rPr>
          <w:rFonts w:ascii="Arial" w:eastAsia="Times New Roman" w:hAnsi="Arial" w:cs="Arial"/>
          <w:sz w:val="24"/>
          <w:szCs w:val="24"/>
        </w:rPr>
        <w:t xml:space="preserve"> “</w:t>
      </w:r>
      <w:r w:rsidR="009E1D47" w:rsidRPr="009E1D47">
        <w:rPr>
          <w:rFonts w:ascii="Arial" w:eastAsia="Times New Roman" w:hAnsi="Arial" w:cs="Arial"/>
          <w:sz w:val="24"/>
          <w:szCs w:val="24"/>
        </w:rPr>
        <w:t>require express disclosure of the appropriate number of renewable energy credits</w:t>
      </w:r>
      <w:r w:rsidR="00707601">
        <w:rPr>
          <w:rFonts w:ascii="Arial" w:eastAsia="Times New Roman" w:hAnsi="Arial" w:cs="Arial"/>
          <w:sz w:val="24"/>
          <w:szCs w:val="24"/>
        </w:rPr>
        <w:t xml:space="preserve"> [</w:t>
      </w:r>
      <w:r w:rsidR="00DA5A6B">
        <w:rPr>
          <w:rFonts w:ascii="Arial" w:eastAsia="Times New Roman" w:hAnsi="Arial" w:cs="Arial"/>
          <w:sz w:val="24"/>
          <w:szCs w:val="24"/>
        </w:rPr>
        <w:t>(</w:t>
      </w:r>
      <w:r w:rsidR="00707601">
        <w:rPr>
          <w:rFonts w:ascii="Arial" w:eastAsia="Times New Roman" w:hAnsi="Arial" w:cs="Arial"/>
          <w:sz w:val="24"/>
          <w:szCs w:val="24"/>
        </w:rPr>
        <w:t>“REC</w:t>
      </w:r>
      <w:r w:rsidR="00DA5A6B">
        <w:rPr>
          <w:rFonts w:ascii="Arial" w:eastAsia="Times New Roman" w:hAnsi="Arial" w:cs="Arial"/>
          <w:sz w:val="24"/>
          <w:szCs w:val="24"/>
        </w:rPr>
        <w:t>s</w:t>
      </w:r>
      <w:r w:rsidR="00AB4922">
        <w:rPr>
          <w:rFonts w:ascii="Arial" w:eastAsia="Times New Roman" w:hAnsi="Arial" w:cs="Arial"/>
          <w:sz w:val="24"/>
          <w:szCs w:val="24"/>
        </w:rPr>
        <w:t>”)</w:t>
      </w:r>
      <w:r w:rsidR="00DA5A6B">
        <w:rPr>
          <w:rFonts w:ascii="Arial" w:eastAsia="Times New Roman" w:hAnsi="Arial" w:cs="Arial"/>
          <w:sz w:val="24"/>
          <w:szCs w:val="24"/>
        </w:rPr>
        <w:t>]</w:t>
      </w:r>
      <w:r w:rsidR="009E1D47" w:rsidRPr="009E1D47">
        <w:rPr>
          <w:rFonts w:ascii="Arial" w:eastAsia="Times New Roman" w:hAnsi="Arial" w:cs="Arial"/>
          <w:sz w:val="24"/>
          <w:szCs w:val="24"/>
        </w:rPr>
        <w:t xml:space="preserve"> purchased and retired by the marketer, including when the credits are retired</w:t>
      </w:r>
      <w:r w:rsidR="002D18F8" w:rsidRPr="002D18F8">
        <w:rPr>
          <w:rFonts w:ascii="Arial" w:eastAsia="Times New Roman" w:hAnsi="Arial" w:cs="Arial"/>
          <w:sz w:val="24"/>
          <w:szCs w:val="24"/>
        </w:rPr>
        <w:t>.</w:t>
      </w:r>
      <w:r w:rsidR="002D18F8">
        <w:rPr>
          <w:rFonts w:ascii="Arial" w:eastAsia="Times New Roman" w:hAnsi="Arial" w:cs="Arial"/>
          <w:sz w:val="24"/>
          <w:szCs w:val="24"/>
        </w:rPr>
        <w:t>”</w:t>
      </w:r>
      <w:r w:rsidR="002D18F8">
        <w:rPr>
          <w:rStyle w:val="FootnoteReference"/>
          <w:rFonts w:ascii="Arial" w:eastAsia="Times New Roman" w:hAnsi="Arial" w:cs="Arial"/>
          <w:sz w:val="24"/>
          <w:szCs w:val="24"/>
        </w:rPr>
        <w:footnoteReference w:id="21"/>
      </w:r>
      <w:r w:rsidR="006351B1">
        <w:rPr>
          <w:rFonts w:ascii="Arial" w:eastAsia="Times New Roman" w:hAnsi="Arial" w:cs="Arial"/>
          <w:sz w:val="24"/>
          <w:szCs w:val="24"/>
        </w:rPr>
        <w:t xml:space="preserve"> </w:t>
      </w:r>
      <w:proofErr w:type="spellStart"/>
      <w:r w:rsidR="00A647F1">
        <w:rPr>
          <w:rFonts w:ascii="Arial" w:eastAsia="Times New Roman" w:hAnsi="Arial" w:cs="Arial"/>
          <w:sz w:val="24"/>
          <w:szCs w:val="24"/>
        </w:rPr>
        <w:t>Similiary</w:t>
      </w:r>
      <w:proofErr w:type="spellEnd"/>
      <w:r w:rsidR="00A647F1">
        <w:rPr>
          <w:rFonts w:ascii="Arial" w:eastAsia="Times New Roman" w:hAnsi="Arial" w:cs="Arial"/>
          <w:sz w:val="24"/>
          <w:szCs w:val="24"/>
        </w:rPr>
        <w:t>, t</w:t>
      </w:r>
      <w:r w:rsidR="00AB2BE1">
        <w:rPr>
          <w:rFonts w:ascii="Arial" w:eastAsia="Times New Roman" w:hAnsi="Arial" w:cs="Arial"/>
          <w:sz w:val="24"/>
          <w:szCs w:val="24"/>
        </w:rPr>
        <w:t xml:space="preserve">he Citizens Utility Board of Ohio (“CUB Ohio”) </w:t>
      </w:r>
      <w:r w:rsidR="006E49F2">
        <w:rPr>
          <w:rFonts w:ascii="Arial" w:eastAsia="Times New Roman" w:hAnsi="Arial" w:cs="Arial"/>
          <w:sz w:val="24"/>
          <w:szCs w:val="24"/>
        </w:rPr>
        <w:t xml:space="preserve">recommended </w:t>
      </w:r>
      <w:r w:rsidR="00D17709">
        <w:rPr>
          <w:rFonts w:ascii="Arial" w:eastAsia="Times New Roman" w:hAnsi="Arial" w:cs="Arial"/>
          <w:sz w:val="24"/>
          <w:szCs w:val="24"/>
        </w:rPr>
        <w:t>additional</w:t>
      </w:r>
      <w:r w:rsidR="00A647F1">
        <w:rPr>
          <w:rFonts w:ascii="Arial" w:eastAsia="Times New Roman" w:hAnsi="Arial" w:cs="Arial"/>
          <w:sz w:val="24"/>
          <w:szCs w:val="24"/>
        </w:rPr>
        <w:t xml:space="preserve"> environmental disclosures</w:t>
      </w:r>
      <w:r w:rsidR="006E49F2">
        <w:rPr>
          <w:rFonts w:ascii="Arial" w:eastAsia="Times New Roman" w:hAnsi="Arial" w:cs="Arial"/>
          <w:sz w:val="24"/>
          <w:szCs w:val="24"/>
        </w:rPr>
        <w:t xml:space="preserve"> </w:t>
      </w:r>
      <w:r w:rsidR="00D17709">
        <w:rPr>
          <w:rFonts w:ascii="Arial" w:eastAsia="Times New Roman" w:hAnsi="Arial" w:cs="Arial"/>
          <w:sz w:val="24"/>
          <w:szCs w:val="24"/>
        </w:rPr>
        <w:t>during the enrollment process.</w:t>
      </w:r>
      <w:r w:rsidR="006E49F2">
        <w:rPr>
          <w:rFonts w:ascii="Arial" w:eastAsia="Times New Roman" w:hAnsi="Arial" w:cs="Arial"/>
          <w:sz w:val="24"/>
          <w:szCs w:val="24"/>
        </w:rPr>
        <w:t xml:space="preserve"> </w:t>
      </w:r>
      <w:r w:rsidR="004756C0">
        <w:rPr>
          <w:rFonts w:ascii="Arial" w:eastAsia="Times New Roman" w:hAnsi="Arial" w:cs="Arial"/>
          <w:sz w:val="24"/>
          <w:szCs w:val="24"/>
        </w:rPr>
        <w:t>The Commission should reject th</w:t>
      </w:r>
      <w:r w:rsidR="00FB0F58">
        <w:rPr>
          <w:rFonts w:ascii="Arial" w:eastAsia="Times New Roman" w:hAnsi="Arial" w:cs="Arial"/>
          <w:sz w:val="24"/>
          <w:szCs w:val="24"/>
        </w:rPr>
        <w:t>ese</w:t>
      </w:r>
      <w:r w:rsidR="004756C0">
        <w:rPr>
          <w:rFonts w:ascii="Arial" w:eastAsia="Times New Roman" w:hAnsi="Arial" w:cs="Arial"/>
          <w:sz w:val="24"/>
          <w:szCs w:val="24"/>
        </w:rPr>
        <w:t xml:space="preserve"> recommendation</w:t>
      </w:r>
      <w:r w:rsidR="00FB0F58">
        <w:rPr>
          <w:rFonts w:ascii="Arial" w:eastAsia="Times New Roman" w:hAnsi="Arial" w:cs="Arial"/>
          <w:sz w:val="24"/>
          <w:szCs w:val="24"/>
        </w:rPr>
        <w:t>s</w:t>
      </w:r>
      <w:r w:rsidR="0067097F">
        <w:rPr>
          <w:rFonts w:ascii="Arial" w:eastAsia="Times New Roman" w:hAnsi="Arial" w:cs="Arial"/>
          <w:sz w:val="24"/>
          <w:szCs w:val="24"/>
        </w:rPr>
        <w:t>.</w:t>
      </w:r>
    </w:p>
    <w:p w14:paraId="54D0CD4D" w14:textId="76C179B7" w:rsidR="00295913" w:rsidRDefault="00295913" w:rsidP="00A426CA">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Initially, IGS notes </w:t>
      </w:r>
      <w:r w:rsidR="006E312A">
        <w:rPr>
          <w:rFonts w:ascii="Arial" w:eastAsia="Times New Roman" w:hAnsi="Arial" w:cs="Arial"/>
          <w:sz w:val="24"/>
          <w:szCs w:val="24"/>
        </w:rPr>
        <w:t>the adding any</w:t>
      </w:r>
      <w:r w:rsidR="00A61412">
        <w:rPr>
          <w:rFonts w:ascii="Arial" w:eastAsia="Times New Roman" w:hAnsi="Arial" w:cs="Arial"/>
          <w:sz w:val="24"/>
          <w:szCs w:val="24"/>
        </w:rPr>
        <w:t xml:space="preserve">thing regarding “generation service” into the CRNGS rules is </w:t>
      </w:r>
      <w:proofErr w:type="gramStart"/>
      <w:r w:rsidR="00962271">
        <w:rPr>
          <w:rFonts w:ascii="Arial" w:eastAsia="Times New Roman" w:hAnsi="Arial" w:cs="Arial"/>
          <w:sz w:val="24"/>
          <w:szCs w:val="24"/>
        </w:rPr>
        <w:t>misleading in itself</w:t>
      </w:r>
      <w:proofErr w:type="gramEnd"/>
      <w:r w:rsidR="00962271">
        <w:rPr>
          <w:rFonts w:ascii="Arial" w:eastAsia="Times New Roman" w:hAnsi="Arial" w:cs="Arial"/>
          <w:sz w:val="24"/>
          <w:szCs w:val="24"/>
        </w:rPr>
        <w:t xml:space="preserve">. </w:t>
      </w:r>
      <w:r w:rsidR="00FB0F58">
        <w:rPr>
          <w:rFonts w:ascii="Arial" w:eastAsia="Times New Roman" w:hAnsi="Arial" w:cs="Arial"/>
          <w:sz w:val="24"/>
          <w:szCs w:val="24"/>
        </w:rPr>
        <w:t xml:space="preserve">Natural gas is not generated. </w:t>
      </w:r>
      <w:r w:rsidR="00175E39">
        <w:rPr>
          <w:rFonts w:ascii="Arial" w:eastAsia="Times New Roman" w:hAnsi="Arial" w:cs="Arial"/>
          <w:sz w:val="24"/>
          <w:szCs w:val="24"/>
        </w:rPr>
        <w:t>Likewise, i</w:t>
      </w:r>
      <w:r w:rsidR="00F278BF">
        <w:rPr>
          <w:rFonts w:ascii="Arial" w:eastAsia="Times New Roman" w:hAnsi="Arial" w:cs="Arial"/>
          <w:sz w:val="24"/>
          <w:szCs w:val="24"/>
        </w:rPr>
        <w:t xml:space="preserve">ncorporating references to </w:t>
      </w:r>
      <w:r w:rsidR="00DF2BF2">
        <w:rPr>
          <w:rFonts w:ascii="Arial" w:eastAsia="Times New Roman" w:hAnsi="Arial" w:cs="Arial"/>
          <w:sz w:val="24"/>
          <w:szCs w:val="24"/>
        </w:rPr>
        <w:t xml:space="preserve">renewable energy credits </w:t>
      </w:r>
      <w:r w:rsidR="00202ADE">
        <w:rPr>
          <w:rFonts w:ascii="Arial" w:eastAsia="Times New Roman" w:hAnsi="Arial" w:cs="Arial"/>
          <w:sz w:val="24"/>
          <w:szCs w:val="24"/>
        </w:rPr>
        <w:t xml:space="preserve">into rules regarding natural gas service </w:t>
      </w:r>
      <w:r w:rsidR="00F278BF">
        <w:rPr>
          <w:rFonts w:ascii="Arial" w:eastAsia="Times New Roman" w:hAnsi="Arial" w:cs="Arial"/>
          <w:sz w:val="24"/>
          <w:szCs w:val="24"/>
        </w:rPr>
        <w:t xml:space="preserve">is also </w:t>
      </w:r>
      <w:r w:rsidR="00202ADE">
        <w:rPr>
          <w:rFonts w:ascii="Arial" w:eastAsia="Times New Roman" w:hAnsi="Arial" w:cs="Arial"/>
          <w:sz w:val="24"/>
          <w:szCs w:val="24"/>
        </w:rPr>
        <w:t>improper</w:t>
      </w:r>
      <w:r w:rsidR="0009125B">
        <w:rPr>
          <w:rFonts w:ascii="Arial" w:eastAsia="Times New Roman" w:hAnsi="Arial" w:cs="Arial"/>
          <w:sz w:val="24"/>
          <w:szCs w:val="24"/>
        </w:rPr>
        <w:t xml:space="preserve">. </w:t>
      </w:r>
      <w:r w:rsidR="004104B9">
        <w:rPr>
          <w:rFonts w:ascii="Arial" w:eastAsia="Times New Roman" w:hAnsi="Arial" w:cs="Arial"/>
          <w:sz w:val="24"/>
          <w:szCs w:val="24"/>
        </w:rPr>
        <w:t>A</w:t>
      </w:r>
      <w:r w:rsidR="00AD3A83">
        <w:rPr>
          <w:rFonts w:ascii="Arial" w:eastAsia="Times New Roman" w:hAnsi="Arial" w:cs="Arial"/>
          <w:sz w:val="24"/>
          <w:szCs w:val="24"/>
        </w:rPr>
        <w:t xml:space="preserve"> </w:t>
      </w:r>
      <w:r w:rsidR="00DC33C9">
        <w:rPr>
          <w:rFonts w:ascii="Arial" w:eastAsia="Times New Roman" w:hAnsi="Arial" w:cs="Arial"/>
          <w:sz w:val="24"/>
          <w:szCs w:val="24"/>
        </w:rPr>
        <w:t xml:space="preserve">“REC” </w:t>
      </w:r>
      <w:r w:rsidR="004104B9">
        <w:rPr>
          <w:rFonts w:ascii="Arial" w:eastAsia="Times New Roman" w:hAnsi="Arial" w:cs="Arial"/>
          <w:sz w:val="24"/>
          <w:szCs w:val="24"/>
        </w:rPr>
        <w:t>i</w:t>
      </w:r>
      <w:r w:rsidR="00DC33C9">
        <w:rPr>
          <w:rFonts w:ascii="Arial" w:eastAsia="Times New Roman" w:hAnsi="Arial" w:cs="Arial"/>
          <w:sz w:val="24"/>
          <w:szCs w:val="24"/>
        </w:rPr>
        <w:t>s “</w:t>
      </w:r>
      <w:r w:rsidR="00DC33C9" w:rsidRPr="00DC33C9">
        <w:rPr>
          <w:rFonts w:ascii="Arial" w:eastAsia="Times New Roman" w:hAnsi="Arial" w:cs="Arial"/>
          <w:sz w:val="24"/>
          <w:szCs w:val="24"/>
        </w:rPr>
        <w:t>the environmental attributes associated with one megawatt-hour of electricity generated by a renewable energy resource</w:t>
      </w:r>
      <w:r w:rsidR="00DC33C9">
        <w:rPr>
          <w:rFonts w:ascii="Arial" w:eastAsia="Times New Roman" w:hAnsi="Arial" w:cs="Arial"/>
          <w:sz w:val="24"/>
          <w:szCs w:val="24"/>
        </w:rPr>
        <w:t>.”</w:t>
      </w:r>
      <w:r w:rsidR="00302E1A">
        <w:rPr>
          <w:rStyle w:val="FootnoteReference"/>
          <w:rFonts w:ascii="Arial" w:eastAsia="Times New Roman" w:hAnsi="Arial" w:cs="Arial"/>
          <w:sz w:val="24"/>
          <w:szCs w:val="24"/>
        </w:rPr>
        <w:footnoteReference w:id="22"/>
      </w:r>
      <w:r w:rsidR="00A33BE1">
        <w:rPr>
          <w:rFonts w:ascii="Arial" w:eastAsia="Times New Roman" w:hAnsi="Arial" w:cs="Arial"/>
          <w:sz w:val="24"/>
          <w:szCs w:val="24"/>
        </w:rPr>
        <w:t xml:space="preserve"> “Green” gas products are typically </w:t>
      </w:r>
      <w:r w:rsidR="00F41587">
        <w:rPr>
          <w:rFonts w:ascii="Arial" w:eastAsia="Times New Roman" w:hAnsi="Arial" w:cs="Arial"/>
          <w:sz w:val="24"/>
          <w:szCs w:val="24"/>
        </w:rPr>
        <w:t>paired with carbon offsets</w:t>
      </w:r>
      <w:r w:rsidR="006E2381">
        <w:rPr>
          <w:rFonts w:ascii="Arial" w:eastAsia="Times New Roman" w:hAnsi="Arial" w:cs="Arial"/>
          <w:sz w:val="24"/>
          <w:szCs w:val="24"/>
        </w:rPr>
        <w:t xml:space="preserve">, which is </w:t>
      </w:r>
      <w:r w:rsidR="00311D2B">
        <w:rPr>
          <w:rFonts w:ascii="Arial" w:eastAsia="Times New Roman" w:hAnsi="Arial" w:cs="Arial"/>
          <w:sz w:val="24"/>
          <w:szCs w:val="24"/>
        </w:rPr>
        <w:t xml:space="preserve">a reduction in </w:t>
      </w:r>
      <w:proofErr w:type="spellStart"/>
      <w:r w:rsidR="0020691E">
        <w:rPr>
          <w:rFonts w:ascii="Arial" w:eastAsia="Times New Roman" w:hAnsi="Arial" w:cs="Arial"/>
          <w:sz w:val="24"/>
          <w:szCs w:val="24"/>
        </w:rPr>
        <w:t>green house</w:t>
      </w:r>
      <w:proofErr w:type="spellEnd"/>
      <w:r w:rsidR="0020691E">
        <w:rPr>
          <w:rFonts w:ascii="Arial" w:eastAsia="Times New Roman" w:hAnsi="Arial" w:cs="Arial"/>
          <w:sz w:val="24"/>
          <w:szCs w:val="24"/>
        </w:rPr>
        <w:t xml:space="preserve"> gas emissions</w:t>
      </w:r>
      <w:r w:rsidR="00DB19A8">
        <w:rPr>
          <w:rFonts w:ascii="Arial" w:eastAsia="Times New Roman" w:hAnsi="Arial" w:cs="Arial"/>
          <w:sz w:val="24"/>
          <w:szCs w:val="24"/>
        </w:rPr>
        <w:t xml:space="preserve">, while “renewable” </w:t>
      </w:r>
      <w:r w:rsidR="00B21C62">
        <w:rPr>
          <w:rFonts w:ascii="Arial" w:eastAsia="Times New Roman" w:hAnsi="Arial" w:cs="Arial"/>
          <w:sz w:val="24"/>
          <w:szCs w:val="24"/>
        </w:rPr>
        <w:t xml:space="preserve">natural </w:t>
      </w:r>
      <w:r w:rsidR="00DB19A8">
        <w:rPr>
          <w:rFonts w:ascii="Arial" w:eastAsia="Times New Roman" w:hAnsi="Arial" w:cs="Arial"/>
          <w:sz w:val="24"/>
          <w:szCs w:val="24"/>
        </w:rPr>
        <w:t xml:space="preserve">gas </w:t>
      </w:r>
      <w:r w:rsidR="008F6BBF" w:rsidRPr="008F6BBF">
        <w:rPr>
          <w:rFonts w:ascii="Arial" w:eastAsia="Times New Roman" w:hAnsi="Arial" w:cs="Arial"/>
          <w:sz w:val="24"/>
          <w:szCs w:val="24"/>
        </w:rPr>
        <w:t>is a term used to describe biogas that has been upgraded for use in place of natural gas.</w:t>
      </w:r>
      <w:r w:rsidR="0033069B">
        <w:rPr>
          <w:rFonts w:ascii="Arial" w:eastAsia="Times New Roman" w:hAnsi="Arial" w:cs="Arial"/>
          <w:sz w:val="24"/>
          <w:szCs w:val="24"/>
        </w:rPr>
        <w:t xml:space="preserve"> </w:t>
      </w:r>
      <w:r w:rsidR="00B21C62">
        <w:rPr>
          <w:rFonts w:ascii="Arial" w:eastAsia="Times New Roman" w:hAnsi="Arial" w:cs="Arial"/>
          <w:sz w:val="24"/>
          <w:szCs w:val="24"/>
        </w:rPr>
        <w:t xml:space="preserve">Thus, </w:t>
      </w:r>
      <w:r w:rsidR="0033069B">
        <w:rPr>
          <w:rFonts w:ascii="Arial" w:eastAsia="Times New Roman" w:hAnsi="Arial" w:cs="Arial"/>
          <w:sz w:val="24"/>
          <w:szCs w:val="24"/>
        </w:rPr>
        <w:t>OCC’s recommendation as applied to gas service is improper and should be rejected.</w:t>
      </w:r>
    </w:p>
    <w:p w14:paraId="04C4A391" w14:textId="2B65CF4E" w:rsidR="00A44DA7" w:rsidRDefault="0057137A" w:rsidP="00016AB3">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lastRenderedPageBreak/>
        <w:t xml:space="preserve">With regards to electric service, </w:t>
      </w:r>
      <w:r w:rsidR="00E01D39" w:rsidRPr="0002390C">
        <w:rPr>
          <w:rFonts w:ascii="Arial" w:eastAsia="Times New Roman" w:hAnsi="Arial" w:cs="Arial"/>
          <w:sz w:val="24"/>
          <w:szCs w:val="24"/>
        </w:rPr>
        <w:t xml:space="preserve">the additional requirements </w:t>
      </w:r>
      <w:r w:rsidR="00CE5835" w:rsidRPr="0002390C">
        <w:rPr>
          <w:rFonts w:ascii="Arial" w:eastAsia="Times New Roman" w:hAnsi="Arial" w:cs="Arial"/>
          <w:sz w:val="24"/>
          <w:szCs w:val="24"/>
        </w:rPr>
        <w:t>proposed by OCC</w:t>
      </w:r>
      <w:r w:rsidR="0055396A">
        <w:rPr>
          <w:rFonts w:ascii="Arial" w:eastAsia="Times New Roman" w:hAnsi="Arial" w:cs="Arial"/>
          <w:sz w:val="24"/>
          <w:szCs w:val="24"/>
        </w:rPr>
        <w:t xml:space="preserve"> </w:t>
      </w:r>
      <w:r w:rsidR="00E01D39" w:rsidRPr="0002390C">
        <w:rPr>
          <w:rFonts w:ascii="Arial" w:eastAsia="Times New Roman" w:hAnsi="Arial" w:cs="Arial"/>
          <w:sz w:val="24"/>
          <w:szCs w:val="24"/>
        </w:rPr>
        <w:t>are unclear</w:t>
      </w:r>
      <w:r w:rsidR="00220E6A" w:rsidRPr="0002390C">
        <w:rPr>
          <w:rFonts w:ascii="Arial" w:eastAsia="Times New Roman" w:hAnsi="Arial" w:cs="Arial"/>
          <w:sz w:val="24"/>
          <w:szCs w:val="24"/>
        </w:rPr>
        <w:t>, especially the requirement to d</w:t>
      </w:r>
      <w:r w:rsidR="00AF45C2" w:rsidRPr="0002390C">
        <w:rPr>
          <w:rFonts w:ascii="Arial" w:eastAsia="Times New Roman" w:hAnsi="Arial" w:cs="Arial"/>
          <w:sz w:val="24"/>
          <w:szCs w:val="24"/>
        </w:rPr>
        <w:t>isclos</w:t>
      </w:r>
      <w:r w:rsidR="00220E6A" w:rsidRPr="0002390C">
        <w:rPr>
          <w:rFonts w:ascii="Arial" w:eastAsia="Times New Roman" w:hAnsi="Arial" w:cs="Arial"/>
          <w:sz w:val="24"/>
          <w:szCs w:val="24"/>
        </w:rPr>
        <w:t>e</w:t>
      </w:r>
      <w:r w:rsidR="00AF45C2" w:rsidRPr="0002390C">
        <w:rPr>
          <w:rFonts w:ascii="Arial" w:eastAsia="Times New Roman" w:hAnsi="Arial" w:cs="Arial"/>
          <w:sz w:val="24"/>
          <w:szCs w:val="24"/>
        </w:rPr>
        <w:t xml:space="preserve"> the “appropriate” number of </w:t>
      </w:r>
      <w:proofErr w:type="spellStart"/>
      <w:r w:rsidR="000861F8" w:rsidRPr="0002390C">
        <w:rPr>
          <w:rFonts w:ascii="Arial" w:eastAsia="Times New Roman" w:hAnsi="Arial" w:cs="Arial"/>
          <w:sz w:val="24"/>
          <w:szCs w:val="24"/>
        </w:rPr>
        <w:t>RECs</w:t>
      </w:r>
      <w:r w:rsidR="0007015F" w:rsidRPr="0002390C">
        <w:rPr>
          <w:rFonts w:ascii="Arial" w:eastAsia="Times New Roman" w:hAnsi="Arial" w:cs="Arial"/>
          <w:sz w:val="24"/>
          <w:szCs w:val="24"/>
        </w:rPr>
        <w:t>.</w:t>
      </w:r>
      <w:proofErr w:type="spellEnd"/>
      <w:r w:rsidR="0007015F" w:rsidRPr="0002390C">
        <w:rPr>
          <w:rFonts w:ascii="Arial" w:eastAsia="Times New Roman" w:hAnsi="Arial" w:cs="Arial"/>
          <w:sz w:val="24"/>
          <w:szCs w:val="24"/>
        </w:rPr>
        <w:t xml:space="preserve"> </w:t>
      </w:r>
      <w:r w:rsidR="007F552F" w:rsidRPr="0002390C">
        <w:rPr>
          <w:rFonts w:ascii="Arial" w:eastAsia="Times New Roman" w:hAnsi="Arial" w:cs="Arial"/>
          <w:sz w:val="24"/>
          <w:szCs w:val="24"/>
        </w:rPr>
        <w:t xml:space="preserve">How would </w:t>
      </w:r>
      <w:proofErr w:type="gramStart"/>
      <w:r w:rsidR="007F552F" w:rsidRPr="0002390C">
        <w:rPr>
          <w:rFonts w:ascii="Arial" w:eastAsia="Times New Roman" w:hAnsi="Arial" w:cs="Arial"/>
          <w:sz w:val="24"/>
          <w:szCs w:val="24"/>
        </w:rPr>
        <w:t>an</w:t>
      </w:r>
      <w:proofErr w:type="gramEnd"/>
      <w:r w:rsidR="007F552F" w:rsidRPr="0002390C">
        <w:rPr>
          <w:rFonts w:ascii="Arial" w:eastAsia="Times New Roman" w:hAnsi="Arial" w:cs="Arial"/>
          <w:sz w:val="24"/>
          <w:szCs w:val="24"/>
        </w:rPr>
        <w:t xml:space="preserve"> </w:t>
      </w:r>
      <w:r w:rsidR="001B09E4">
        <w:rPr>
          <w:rFonts w:ascii="Arial" w:eastAsia="Times New Roman" w:hAnsi="Arial" w:cs="Arial"/>
          <w:sz w:val="24"/>
          <w:szCs w:val="24"/>
        </w:rPr>
        <w:t>CRES</w:t>
      </w:r>
      <w:r w:rsidR="007F552F" w:rsidRPr="0002390C">
        <w:rPr>
          <w:rFonts w:ascii="Arial" w:eastAsia="Times New Roman" w:hAnsi="Arial" w:cs="Arial"/>
          <w:sz w:val="24"/>
          <w:szCs w:val="24"/>
        </w:rPr>
        <w:t xml:space="preserve"> </w:t>
      </w:r>
      <w:r w:rsidR="001B09E4">
        <w:rPr>
          <w:rFonts w:ascii="Arial" w:eastAsia="Times New Roman" w:hAnsi="Arial" w:cs="Arial"/>
          <w:sz w:val="24"/>
          <w:szCs w:val="24"/>
        </w:rPr>
        <w:t xml:space="preserve">provider </w:t>
      </w:r>
      <w:r w:rsidR="007F552F" w:rsidRPr="0002390C">
        <w:rPr>
          <w:rFonts w:ascii="Arial" w:eastAsia="Times New Roman" w:hAnsi="Arial" w:cs="Arial"/>
          <w:sz w:val="24"/>
          <w:szCs w:val="24"/>
        </w:rPr>
        <w:t>disclose this information</w:t>
      </w:r>
      <w:r w:rsidR="002834FA" w:rsidRPr="0002390C">
        <w:rPr>
          <w:rFonts w:ascii="Arial" w:eastAsia="Times New Roman" w:hAnsi="Arial" w:cs="Arial"/>
          <w:sz w:val="24"/>
          <w:szCs w:val="24"/>
        </w:rPr>
        <w:t xml:space="preserve">? </w:t>
      </w:r>
      <w:r w:rsidR="00C740EF" w:rsidRPr="0002390C">
        <w:rPr>
          <w:rFonts w:ascii="Arial" w:eastAsia="Times New Roman" w:hAnsi="Arial" w:cs="Arial"/>
          <w:sz w:val="24"/>
          <w:szCs w:val="24"/>
        </w:rPr>
        <w:t xml:space="preserve">Is the “appropriate” number </w:t>
      </w:r>
      <w:r w:rsidR="00CB2C70" w:rsidRPr="0002390C">
        <w:rPr>
          <w:rFonts w:ascii="Arial" w:eastAsia="Times New Roman" w:hAnsi="Arial" w:cs="Arial"/>
          <w:sz w:val="24"/>
          <w:szCs w:val="24"/>
        </w:rPr>
        <w:t>envision</w:t>
      </w:r>
      <w:r w:rsidR="008471B9" w:rsidRPr="0002390C">
        <w:rPr>
          <w:rFonts w:ascii="Arial" w:eastAsia="Times New Roman" w:hAnsi="Arial" w:cs="Arial"/>
          <w:sz w:val="24"/>
          <w:szCs w:val="24"/>
        </w:rPr>
        <w:t>ed</w:t>
      </w:r>
      <w:r w:rsidR="00CB2C70" w:rsidRPr="0002390C">
        <w:rPr>
          <w:rFonts w:ascii="Arial" w:eastAsia="Times New Roman" w:hAnsi="Arial" w:cs="Arial"/>
          <w:sz w:val="24"/>
          <w:szCs w:val="24"/>
        </w:rPr>
        <w:t xml:space="preserve"> by OCC </w:t>
      </w:r>
      <w:r w:rsidR="00C740EF" w:rsidRPr="0002390C">
        <w:rPr>
          <w:rFonts w:ascii="Arial" w:eastAsia="Times New Roman" w:hAnsi="Arial" w:cs="Arial"/>
          <w:sz w:val="24"/>
          <w:szCs w:val="24"/>
        </w:rPr>
        <w:t xml:space="preserve">the amount retired </w:t>
      </w:r>
      <w:r w:rsidR="00B7732F" w:rsidRPr="0002390C">
        <w:rPr>
          <w:rFonts w:ascii="Arial" w:eastAsia="Times New Roman" w:hAnsi="Arial" w:cs="Arial"/>
          <w:sz w:val="24"/>
          <w:szCs w:val="24"/>
        </w:rPr>
        <w:t xml:space="preserve">for </w:t>
      </w:r>
      <w:proofErr w:type="gramStart"/>
      <w:r w:rsidR="00B7732F" w:rsidRPr="0002390C">
        <w:rPr>
          <w:rFonts w:ascii="Arial" w:eastAsia="Times New Roman" w:hAnsi="Arial" w:cs="Arial"/>
          <w:sz w:val="24"/>
          <w:szCs w:val="24"/>
        </w:rPr>
        <w:t>all of</w:t>
      </w:r>
      <w:proofErr w:type="gramEnd"/>
      <w:r w:rsidR="00B7732F" w:rsidRPr="0002390C">
        <w:rPr>
          <w:rFonts w:ascii="Arial" w:eastAsia="Times New Roman" w:hAnsi="Arial" w:cs="Arial"/>
          <w:sz w:val="24"/>
          <w:szCs w:val="24"/>
        </w:rPr>
        <w:t xml:space="preserve"> IGS Energy’s customers in Ohio, </w:t>
      </w:r>
      <w:r w:rsidR="00A21837" w:rsidRPr="0002390C">
        <w:rPr>
          <w:rFonts w:ascii="Arial" w:eastAsia="Times New Roman" w:hAnsi="Arial" w:cs="Arial"/>
          <w:sz w:val="24"/>
          <w:szCs w:val="24"/>
        </w:rPr>
        <w:t xml:space="preserve">just within a certain territory, or for each individual customer? </w:t>
      </w:r>
      <w:r w:rsidR="009C7FA9" w:rsidRPr="0002390C">
        <w:rPr>
          <w:rFonts w:ascii="Arial" w:eastAsia="Times New Roman" w:hAnsi="Arial" w:cs="Arial"/>
          <w:sz w:val="24"/>
          <w:szCs w:val="24"/>
        </w:rPr>
        <w:t xml:space="preserve">Would this disclosure </w:t>
      </w:r>
      <w:r w:rsidR="005E6784" w:rsidRPr="0002390C">
        <w:rPr>
          <w:rFonts w:ascii="Arial" w:eastAsia="Times New Roman" w:hAnsi="Arial" w:cs="Arial"/>
          <w:sz w:val="24"/>
          <w:szCs w:val="24"/>
        </w:rPr>
        <w:t xml:space="preserve">include </w:t>
      </w:r>
      <w:r w:rsidR="00B16268" w:rsidRPr="0002390C">
        <w:rPr>
          <w:rFonts w:ascii="Arial" w:eastAsia="Times New Roman" w:hAnsi="Arial" w:cs="Arial"/>
          <w:sz w:val="24"/>
          <w:szCs w:val="24"/>
        </w:rPr>
        <w:t xml:space="preserve">the </w:t>
      </w:r>
      <w:r w:rsidR="00F84BCC" w:rsidRPr="0002390C">
        <w:rPr>
          <w:rFonts w:ascii="Arial" w:eastAsia="Times New Roman" w:hAnsi="Arial" w:cs="Arial"/>
          <w:sz w:val="24"/>
          <w:szCs w:val="24"/>
        </w:rPr>
        <w:t xml:space="preserve">retirements for the last month, last year, or </w:t>
      </w:r>
      <w:r w:rsidR="006A61BE" w:rsidRPr="0002390C">
        <w:rPr>
          <w:rFonts w:ascii="Arial" w:eastAsia="Times New Roman" w:hAnsi="Arial" w:cs="Arial"/>
          <w:sz w:val="24"/>
          <w:szCs w:val="24"/>
        </w:rPr>
        <w:t xml:space="preserve">some other length of time? </w:t>
      </w:r>
      <w:r w:rsidR="008B083A" w:rsidRPr="0002390C">
        <w:rPr>
          <w:rFonts w:ascii="Arial" w:eastAsia="Times New Roman" w:hAnsi="Arial" w:cs="Arial"/>
          <w:sz w:val="24"/>
          <w:szCs w:val="24"/>
        </w:rPr>
        <w:t>Would IGS include the RECs required to be retired under the Renewable Portfolio Standards?</w:t>
      </w:r>
      <w:r w:rsidR="00F16303" w:rsidRPr="0002390C">
        <w:rPr>
          <w:rFonts w:ascii="Arial" w:eastAsia="Times New Roman" w:hAnsi="Arial" w:cs="Arial"/>
          <w:sz w:val="24"/>
          <w:szCs w:val="24"/>
        </w:rPr>
        <w:t xml:space="preserve"> </w:t>
      </w:r>
      <w:r w:rsidR="00855F0D">
        <w:rPr>
          <w:rFonts w:ascii="Arial" w:eastAsia="Times New Roman" w:hAnsi="Arial" w:cs="Arial"/>
          <w:sz w:val="24"/>
          <w:szCs w:val="24"/>
        </w:rPr>
        <w:t xml:space="preserve">Most importantly, OCC fails to </w:t>
      </w:r>
      <w:r w:rsidR="00F17015">
        <w:rPr>
          <w:rFonts w:ascii="Arial" w:eastAsia="Times New Roman" w:hAnsi="Arial" w:cs="Arial"/>
          <w:sz w:val="24"/>
          <w:szCs w:val="24"/>
        </w:rPr>
        <w:t xml:space="preserve">provide any rationale as to how </w:t>
      </w:r>
      <w:r w:rsidR="00F16303" w:rsidRPr="0002390C">
        <w:rPr>
          <w:rFonts w:ascii="Arial" w:eastAsia="Times New Roman" w:hAnsi="Arial" w:cs="Arial"/>
          <w:sz w:val="24"/>
          <w:szCs w:val="24"/>
        </w:rPr>
        <w:t>failing to disclose</w:t>
      </w:r>
      <w:r w:rsidR="00CA3FCB" w:rsidRPr="0002390C">
        <w:rPr>
          <w:rFonts w:ascii="Arial" w:eastAsia="Times New Roman" w:hAnsi="Arial" w:cs="Arial"/>
          <w:sz w:val="24"/>
          <w:szCs w:val="24"/>
        </w:rPr>
        <w:t xml:space="preserve"> </w:t>
      </w:r>
      <w:r w:rsidR="00302A3A" w:rsidRPr="0002390C">
        <w:rPr>
          <w:rFonts w:ascii="Arial" w:eastAsia="Times New Roman" w:hAnsi="Arial" w:cs="Arial"/>
          <w:sz w:val="24"/>
          <w:szCs w:val="24"/>
        </w:rPr>
        <w:t>this information</w:t>
      </w:r>
      <w:r w:rsidR="00CA3FCB" w:rsidRPr="0002390C">
        <w:rPr>
          <w:rFonts w:ascii="Arial" w:eastAsia="Times New Roman" w:hAnsi="Arial" w:cs="Arial"/>
          <w:sz w:val="24"/>
          <w:szCs w:val="24"/>
        </w:rPr>
        <w:t xml:space="preserve"> </w:t>
      </w:r>
      <w:r w:rsidR="00E95B0A" w:rsidRPr="0002390C">
        <w:rPr>
          <w:rFonts w:ascii="Arial" w:eastAsia="Times New Roman" w:hAnsi="Arial" w:cs="Arial"/>
          <w:sz w:val="24"/>
          <w:szCs w:val="24"/>
        </w:rPr>
        <w:t>is a</w:t>
      </w:r>
      <w:r w:rsidR="004064E4" w:rsidRPr="0002390C">
        <w:rPr>
          <w:rFonts w:ascii="Arial" w:eastAsia="Times New Roman" w:hAnsi="Arial" w:cs="Arial"/>
          <w:sz w:val="24"/>
          <w:szCs w:val="24"/>
        </w:rPr>
        <w:t>n</w:t>
      </w:r>
      <w:r w:rsidR="005260AA" w:rsidRPr="0002390C">
        <w:rPr>
          <w:rFonts w:ascii="Arial" w:hAnsi="Arial" w:cs="Arial"/>
          <w:sz w:val="24"/>
          <w:szCs w:val="24"/>
        </w:rPr>
        <w:t xml:space="preserve"> unfair, misleading, deceptive, or unconscionable practice</w:t>
      </w:r>
      <w:r w:rsidR="00F17015">
        <w:rPr>
          <w:rFonts w:ascii="Arial" w:eastAsia="Times New Roman" w:hAnsi="Arial" w:cs="Arial"/>
          <w:sz w:val="24"/>
          <w:szCs w:val="24"/>
        </w:rPr>
        <w:t>.</w:t>
      </w:r>
      <w:r w:rsidR="001A3B05" w:rsidRPr="0002390C">
        <w:rPr>
          <w:rFonts w:ascii="Arial" w:eastAsia="Times New Roman" w:hAnsi="Arial" w:cs="Arial"/>
          <w:sz w:val="24"/>
          <w:szCs w:val="24"/>
        </w:rPr>
        <w:t xml:space="preserve"> </w:t>
      </w:r>
      <w:r w:rsidR="00F17015">
        <w:rPr>
          <w:rFonts w:ascii="Arial" w:eastAsia="Times New Roman" w:hAnsi="Arial" w:cs="Arial"/>
          <w:sz w:val="24"/>
          <w:szCs w:val="24"/>
        </w:rPr>
        <w:t xml:space="preserve">Thus, it </w:t>
      </w:r>
      <w:r w:rsidR="001A3B05" w:rsidRPr="0002390C">
        <w:rPr>
          <w:rFonts w:ascii="Arial" w:eastAsia="Times New Roman" w:hAnsi="Arial" w:cs="Arial"/>
          <w:sz w:val="24"/>
          <w:szCs w:val="24"/>
        </w:rPr>
        <w:t>should not be added</w:t>
      </w:r>
      <w:r w:rsidR="005260AA" w:rsidRPr="0002390C">
        <w:rPr>
          <w:rFonts w:ascii="Arial" w:eastAsia="Times New Roman" w:hAnsi="Arial" w:cs="Arial"/>
          <w:sz w:val="24"/>
          <w:szCs w:val="24"/>
        </w:rPr>
        <w:t xml:space="preserve"> the rule. </w:t>
      </w:r>
    </w:p>
    <w:p w14:paraId="10C21F18" w14:textId="642E9EEC" w:rsidR="002740FF" w:rsidRDefault="0004005B" w:rsidP="008D189C">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Although </w:t>
      </w:r>
      <w:r w:rsidR="003F02CE" w:rsidRPr="0002390C">
        <w:rPr>
          <w:rFonts w:ascii="Arial" w:eastAsia="Times New Roman" w:hAnsi="Arial" w:cs="Arial"/>
          <w:sz w:val="24"/>
          <w:szCs w:val="24"/>
        </w:rPr>
        <w:t xml:space="preserve">IGS agrees </w:t>
      </w:r>
      <w:r w:rsidR="003F02CE">
        <w:rPr>
          <w:rFonts w:ascii="Arial" w:eastAsia="Times New Roman" w:hAnsi="Arial" w:cs="Arial"/>
          <w:sz w:val="24"/>
          <w:szCs w:val="24"/>
        </w:rPr>
        <w:t xml:space="preserve">with OCC </w:t>
      </w:r>
      <w:r w:rsidR="008D189C">
        <w:rPr>
          <w:rFonts w:ascii="Arial" w:eastAsia="Times New Roman" w:hAnsi="Arial" w:cs="Arial"/>
          <w:sz w:val="24"/>
          <w:szCs w:val="24"/>
        </w:rPr>
        <w:t xml:space="preserve">and CUB Ohio </w:t>
      </w:r>
      <w:r w:rsidR="003F02CE" w:rsidRPr="0002390C">
        <w:rPr>
          <w:rFonts w:ascii="Arial" w:eastAsia="Times New Roman" w:hAnsi="Arial" w:cs="Arial"/>
          <w:sz w:val="24"/>
          <w:szCs w:val="24"/>
        </w:rPr>
        <w:t>that customers deserve transparency into the environmental characteristics of their chosen products</w:t>
      </w:r>
      <w:r w:rsidR="003F02CE">
        <w:rPr>
          <w:rFonts w:ascii="Arial" w:eastAsia="Times New Roman" w:hAnsi="Arial" w:cs="Arial"/>
          <w:sz w:val="24"/>
          <w:szCs w:val="24"/>
        </w:rPr>
        <w:t>,</w:t>
      </w:r>
      <w:r w:rsidR="009E0A2A">
        <w:rPr>
          <w:rFonts w:ascii="Arial" w:eastAsia="Times New Roman" w:hAnsi="Arial" w:cs="Arial"/>
          <w:sz w:val="24"/>
          <w:szCs w:val="24"/>
        </w:rPr>
        <w:t xml:space="preserve"> </w:t>
      </w:r>
      <w:r w:rsidR="00DE2A3C" w:rsidRPr="0002390C">
        <w:rPr>
          <w:rFonts w:ascii="Arial" w:eastAsia="Times New Roman" w:hAnsi="Arial" w:cs="Arial"/>
          <w:sz w:val="24"/>
          <w:szCs w:val="24"/>
        </w:rPr>
        <w:t>IGS s</w:t>
      </w:r>
      <w:r w:rsidR="00C527F4">
        <w:rPr>
          <w:rFonts w:ascii="Arial" w:eastAsia="Times New Roman" w:hAnsi="Arial" w:cs="Arial"/>
          <w:sz w:val="24"/>
          <w:szCs w:val="24"/>
        </w:rPr>
        <w:t>ubmits</w:t>
      </w:r>
      <w:r w:rsidR="00DE2A3C" w:rsidRPr="0002390C">
        <w:rPr>
          <w:rFonts w:ascii="Arial" w:eastAsia="Times New Roman" w:hAnsi="Arial" w:cs="Arial"/>
          <w:sz w:val="24"/>
          <w:szCs w:val="24"/>
        </w:rPr>
        <w:t xml:space="preserve"> that any </w:t>
      </w:r>
      <w:r w:rsidR="00C14C2C" w:rsidRPr="0002390C">
        <w:rPr>
          <w:rFonts w:ascii="Arial" w:eastAsia="Times New Roman" w:hAnsi="Arial" w:cs="Arial"/>
          <w:sz w:val="24"/>
          <w:szCs w:val="24"/>
        </w:rPr>
        <w:t xml:space="preserve">specific requirements regarding the marketing of </w:t>
      </w:r>
      <w:r w:rsidR="002665DE" w:rsidRPr="0002390C">
        <w:rPr>
          <w:rFonts w:ascii="Arial" w:eastAsia="Times New Roman" w:hAnsi="Arial" w:cs="Arial"/>
          <w:sz w:val="24"/>
          <w:szCs w:val="24"/>
        </w:rPr>
        <w:t>a product</w:t>
      </w:r>
      <w:r w:rsidR="000F701A" w:rsidRPr="0002390C">
        <w:t xml:space="preserve"> </w:t>
      </w:r>
      <w:r w:rsidR="000F701A" w:rsidRPr="0002390C">
        <w:rPr>
          <w:rFonts w:ascii="Arial" w:eastAsia="Times New Roman" w:hAnsi="Arial" w:cs="Arial"/>
          <w:sz w:val="24"/>
          <w:szCs w:val="24"/>
        </w:rPr>
        <w:t xml:space="preserve">based on its fuel source and/or emissions profile </w:t>
      </w:r>
      <w:r w:rsidR="00C14C2C" w:rsidRPr="0002390C">
        <w:rPr>
          <w:rFonts w:ascii="Arial" w:eastAsia="Times New Roman" w:hAnsi="Arial" w:cs="Arial"/>
          <w:sz w:val="24"/>
          <w:szCs w:val="24"/>
        </w:rPr>
        <w:t>are better addressed in the Green Pricing Programs Rules.</w:t>
      </w:r>
      <w:r w:rsidR="00C14C2C" w:rsidRPr="0002390C">
        <w:rPr>
          <w:rStyle w:val="FootnoteReference"/>
          <w:rFonts w:ascii="Arial" w:eastAsia="Times New Roman" w:hAnsi="Arial" w:cs="Arial"/>
          <w:sz w:val="24"/>
          <w:szCs w:val="24"/>
        </w:rPr>
        <w:footnoteReference w:id="23"/>
      </w:r>
    </w:p>
    <w:p w14:paraId="6282E5D1" w14:textId="63C6D7F8" w:rsidR="005F189A" w:rsidRPr="00F71347" w:rsidRDefault="00496B73" w:rsidP="00496B73">
      <w:pPr>
        <w:pStyle w:val="Heading3"/>
        <w:jc w:val="both"/>
      </w:pPr>
      <w:bookmarkStart w:id="15" w:name="_Toc85784653"/>
      <w:bookmarkStart w:id="16" w:name="_Toc85784995"/>
      <w:r>
        <w:t>The content</w:t>
      </w:r>
      <w:r w:rsidRPr="00F71347">
        <w:t xml:space="preserve"> of the contract </w:t>
      </w:r>
      <w:r>
        <w:t xml:space="preserve">is </w:t>
      </w:r>
      <w:r w:rsidRPr="00F71347">
        <w:t>more important and more informative to a customer than a single label.</w:t>
      </w:r>
      <w:bookmarkEnd w:id="15"/>
      <w:bookmarkEnd w:id="16"/>
    </w:p>
    <w:p w14:paraId="7E599C33" w14:textId="028C3411" w:rsidR="00F71347" w:rsidRPr="00F71347" w:rsidRDefault="00F71347" w:rsidP="00F71347">
      <w:pPr>
        <w:pStyle w:val="NoSpacing"/>
        <w:spacing w:line="480" w:lineRule="auto"/>
        <w:ind w:firstLine="720"/>
        <w:jc w:val="both"/>
        <w:rPr>
          <w:rFonts w:ascii="Arial" w:hAnsi="Arial" w:cs="Arial"/>
          <w:sz w:val="24"/>
          <w:szCs w:val="24"/>
        </w:rPr>
      </w:pPr>
      <w:r w:rsidRPr="00F71347">
        <w:rPr>
          <w:rFonts w:ascii="Arial" w:hAnsi="Arial" w:cs="Arial"/>
          <w:sz w:val="24"/>
          <w:szCs w:val="24"/>
        </w:rPr>
        <w:t>OCC also suggests including failing to label a contract as having “fixed,” “introductory,” or “variable” rates as a specific unfair, misleading,</w:t>
      </w:r>
      <w:r w:rsidR="003763F7">
        <w:rPr>
          <w:rFonts w:ascii="Arial" w:hAnsi="Arial" w:cs="Arial"/>
          <w:sz w:val="24"/>
          <w:szCs w:val="24"/>
        </w:rPr>
        <w:t xml:space="preserve"> deceptive,</w:t>
      </w:r>
      <w:r w:rsidRPr="00F71347">
        <w:rPr>
          <w:rFonts w:ascii="Arial" w:hAnsi="Arial" w:cs="Arial"/>
          <w:sz w:val="24"/>
          <w:szCs w:val="24"/>
        </w:rPr>
        <w:t xml:space="preserve"> </w:t>
      </w:r>
      <w:r w:rsidR="001A1F04">
        <w:rPr>
          <w:rFonts w:ascii="Arial" w:hAnsi="Arial" w:cs="Arial"/>
          <w:sz w:val="24"/>
          <w:szCs w:val="24"/>
        </w:rPr>
        <w:t>or</w:t>
      </w:r>
      <w:r w:rsidRPr="00F71347">
        <w:rPr>
          <w:rFonts w:ascii="Arial" w:hAnsi="Arial" w:cs="Arial"/>
          <w:sz w:val="24"/>
          <w:szCs w:val="24"/>
        </w:rPr>
        <w:t xml:space="preserve"> unconscionable act or practice.</w:t>
      </w:r>
      <w:r w:rsidRPr="00F71347">
        <w:rPr>
          <w:rStyle w:val="FootnoteReference"/>
          <w:rFonts w:ascii="Arial" w:hAnsi="Arial" w:cs="Arial"/>
          <w:sz w:val="24"/>
          <w:szCs w:val="24"/>
        </w:rPr>
        <w:footnoteReference w:id="24"/>
      </w:r>
      <w:r w:rsidRPr="00F71347">
        <w:rPr>
          <w:rFonts w:ascii="Arial" w:hAnsi="Arial" w:cs="Arial"/>
          <w:sz w:val="24"/>
          <w:szCs w:val="24"/>
        </w:rPr>
        <w:t xml:space="preserve"> As noted by the OCC, these labels were considered by </w:t>
      </w:r>
      <w:r w:rsidRPr="00F71347">
        <w:rPr>
          <w:rFonts w:ascii="Arial" w:hAnsi="Arial" w:cs="Arial"/>
          <w:sz w:val="24"/>
          <w:szCs w:val="24"/>
        </w:rPr>
        <w:lastRenderedPageBreak/>
        <w:t>the Commission in a prior proceeding, but the Commission found that this issue would be more appropriate for review in this rulemaking proceeding.</w:t>
      </w:r>
      <w:r w:rsidRPr="00F71347">
        <w:rPr>
          <w:rStyle w:val="FootnoteReference"/>
          <w:rFonts w:ascii="Arial" w:hAnsi="Arial" w:cs="Arial"/>
          <w:sz w:val="24"/>
          <w:szCs w:val="24"/>
        </w:rPr>
        <w:footnoteReference w:id="25"/>
      </w:r>
    </w:p>
    <w:p w14:paraId="3D8DCA13" w14:textId="07722767" w:rsidR="00F71347" w:rsidRPr="00F71347" w:rsidRDefault="00F71347" w:rsidP="00F71347">
      <w:pPr>
        <w:pStyle w:val="NoSpacing"/>
        <w:spacing w:line="480" w:lineRule="auto"/>
        <w:ind w:firstLine="720"/>
        <w:jc w:val="both"/>
        <w:rPr>
          <w:rFonts w:ascii="Arial" w:hAnsi="Arial" w:cs="Arial"/>
          <w:sz w:val="24"/>
          <w:szCs w:val="24"/>
        </w:rPr>
      </w:pPr>
      <w:r w:rsidRPr="00F71347">
        <w:rPr>
          <w:rFonts w:ascii="Arial" w:hAnsi="Arial" w:cs="Arial"/>
          <w:sz w:val="24"/>
          <w:szCs w:val="24"/>
        </w:rPr>
        <w:t xml:space="preserve">Notably, </w:t>
      </w:r>
      <w:r w:rsidR="003763F7">
        <w:rPr>
          <w:rFonts w:ascii="Arial" w:hAnsi="Arial" w:cs="Arial"/>
          <w:sz w:val="24"/>
          <w:szCs w:val="24"/>
        </w:rPr>
        <w:t>Commission</w:t>
      </w:r>
      <w:r w:rsidRPr="00F71347">
        <w:rPr>
          <w:rFonts w:ascii="Arial" w:hAnsi="Arial" w:cs="Arial"/>
          <w:sz w:val="24"/>
          <w:szCs w:val="24"/>
        </w:rPr>
        <w:t xml:space="preserve"> Staff did not recommend any additions to the rules regarding these labels</w:t>
      </w:r>
      <w:r w:rsidR="00995F8E">
        <w:rPr>
          <w:rFonts w:ascii="Arial" w:hAnsi="Arial" w:cs="Arial"/>
          <w:sz w:val="24"/>
          <w:szCs w:val="24"/>
        </w:rPr>
        <w:t>.</w:t>
      </w:r>
      <w:r w:rsidRPr="00F71347">
        <w:rPr>
          <w:rFonts w:ascii="Arial" w:hAnsi="Arial" w:cs="Arial"/>
          <w:sz w:val="24"/>
          <w:szCs w:val="24"/>
        </w:rPr>
        <w:t xml:space="preserve"> IGS agrees with Staff that these labels do not need to be incorporated into the rules. IGS believes that the disclosures and content of the contract are more important and more informative to a customer than a single label. Additionally, codifying this requirement could inhibit innovation in retail supply offerings because not every product fits neatly into these three categories</w:t>
      </w:r>
      <w:r w:rsidR="006647C3">
        <w:rPr>
          <w:rFonts w:ascii="Arial" w:hAnsi="Arial" w:cs="Arial"/>
          <w:sz w:val="24"/>
          <w:szCs w:val="24"/>
        </w:rPr>
        <w:t>. For example,</w:t>
      </w:r>
      <w:r w:rsidR="007D1427">
        <w:rPr>
          <w:rFonts w:ascii="Arial" w:hAnsi="Arial" w:cs="Arial"/>
          <w:sz w:val="24"/>
          <w:szCs w:val="24"/>
        </w:rPr>
        <w:t xml:space="preserve"> </w:t>
      </w:r>
      <w:r w:rsidR="002F1BD1">
        <w:rPr>
          <w:rFonts w:ascii="Arial" w:hAnsi="Arial" w:cs="Arial"/>
          <w:sz w:val="24"/>
          <w:szCs w:val="24"/>
        </w:rPr>
        <w:t>t</w:t>
      </w:r>
      <w:r w:rsidR="007D1427">
        <w:rPr>
          <w:rFonts w:ascii="Arial" w:hAnsi="Arial" w:cs="Arial"/>
          <w:sz w:val="24"/>
          <w:szCs w:val="24"/>
        </w:rPr>
        <w:t>ime</w:t>
      </w:r>
      <w:r w:rsidR="00995F8E">
        <w:rPr>
          <w:rFonts w:ascii="Arial" w:hAnsi="Arial" w:cs="Arial"/>
          <w:sz w:val="24"/>
          <w:szCs w:val="24"/>
        </w:rPr>
        <w:t>-varying</w:t>
      </w:r>
      <w:r w:rsidR="00F01C08">
        <w:rPr>
          <w:rFonts w:ascii="Arial" w:hAnsi="Arial" w:cs="Arial"/>
          <w:sz w:val="24"/>
          <w:szCs w:val="24"/>
        </w:rPr>
        <w:t xml:space="preserve"> </w:t>
      </w:r>
      <w:r w:rsidR="007D1427">
        <w:rPr>
          <w:rFonts w:ascii="Arial" w:hAnsi="Arial" w:cs="Arial"/>
          <w:sz w:val="24"/>
          <w:szCs w:val="24"/>
        </w:rPr>
        <w:t>rates</w:t>
      </w:r>
      <w:r w:rsidR="00CA2872">
        <w:rPr>
          <w:rFonts w:ascii="Arial" w:hAnsi="Arial" w:cs="Arial"/>
          <w:sz w:val="24"/>
          <w:szCs w:val="24"/>
        </w:rPr>
        <w:t xml:space="preserve">, </w:t>
      </w:r>
      <w:r w:rsidR="00733E8F">
        <w:rPr>
          <w:rFonts w:ascii="Arial" w:hAnsi="Arial" w:cs="Arial"/>
          <w:sz w:val="24"/>
          <w:szCs w:val="24"/>
        </w:rPr>
        <w:t xml:space="preserve">fixed rate </w:t>
      </w:r>
      <w:r w:rsidR="003936A3">
        <w:rPr>
          <w:rFonts w:ascii="Arial" w:hAnsi="Arial" w:cs="Arial"/>
          <w:sz w:val="24"/>
          <w:szCs w:val="24"/>
        </w:rPr>
        <w:t xml:space="preserve">products with capacity </w:t>
      </w:r>
      <w:r w:rsidR="00995F8E">
        <w:rPr>
          <w:rFonts w:ascii="Arial" w:hAnsi="Arial" w:cs="Arial"/>
          <w:sz w:val="24"/>
          <w:szCs w:val="24"/>
        </w:rPr>
        <w:t xml:space="preserve">and/or transmission </w:t>
      </w:r>
      <w:r w:rsidR="003936A3">
        <w:rPr>
          <w:rFonts w:ascii="Arial" w:hAnsi="Arial" w:cs="Arial"/>
          <w:sz w:val="24"/>
          <w:szCs w:val="24"/>
        </w:rPr>
        <w:t xml:space="preserve">passthrough </w:t>
      </w:r>
      <w:proofErr w:type="spellStart"/>
      <w:r w:rsidR="003936A3">
        <w:rPr>
          <w:rFonts w:ascii="Arial" w:hAnsi="Arial" w:cs="Arial"/>
          <w:sz w:val="24"/>
          <w:szCs w:val="24"/>
        </w:rPr>
        <w:t>compenents</w:t>
      </w:r>
      <w:proofErr w:type="spellEnd"/>
      <w:r w:rsidR="003936A3">
        <w:rPr>
          <w:rFonts w:ascii="Arial" w:hAnsi="Arial" w:cs="Arial"/>
          <w:sz w:val="24"/>
          <w:szCs w:val="24"/>
        </w:rPr>
        <w:t>,</w:t>
      </w:r>
      <w:r w:rsidR="00547E97">
        <w:rPr>
          <w:rFonts w:ascii="Arial" w:hAnsi="Arial" w:cs="Arial"/>
          <w:sz w:val="24"/>
          <w:szCs w:val="24"/>
        </w:rPr>
        <w:t xml:space="preserve"> and </w:t>
      </w:r>
      <w:r w:rsidR="007D1427">
        <w:rPr>
          <w:rFonts w:ascii="Arial" w:hAnsi="Arial" w:cs="Arial"/>
          <w:sz w:val="24"/>
          <w:szCs w:val="24"/>
        </w:rPr>
        <w:t>monthly flat bill rates</w:t>
      </w:r>
      <w:r w:rsidR="00547E97">
        <w:rPr>
          <w:rFonts w:ascii="Arial" w:hAnsi="Arial" w:cs="Arial"/>
          <w:sz w:val="24"/>
          <w:szCs w:val="24"/>
        </w:rPr>
        <w:t xml:space="preserve"> do not fit </w:t>
      </w:r>
      <w:r w:rsidR="00F01C08">
        <w:rPr>
          <w:rFonts w:ascii="Arial" w:hAnsi="Arial" w:cs="Arial"/>
          <w:sz w:val="24"/>
          <w:szCs w:val="24"/>
        </w:rPr>
        <w:t>squar</w:t>
      </w:r>
      <w:r w:rsidR="00712893">
        <w:rPr>
          <w:rFonts w:ascii="Arial" w:hAnsi="Arial" w:cs="Arial"/>
          <w:sz w:val="24"/>
          <w:szCs w:val="24"/>
        </w:rPr>
        <w:t>e</w:t>
      </w:r>
      <w:r w:rsidR="00F01C08">
        <w:rPr>
          <w:rFonts w:ascii="Arial" w:hAnsi="Arial" w:cs="Arial"/>
          <w:sz w:val="24"/>
          <w:szCs w:val="24"/>
        </w:rPr>
        <w:t>ly into any of the categories proposed</w:t>
      </w:r>
      <w:r w:rsidRPr="00F71347">
        <w:rPr>
          <w:rFonts w:ascii="Arial" w:hAnsi="Arial" w:cs="Arial"/>
          <w:sz w:val="24"/>
          <w:szCs w:val="24"/>
        </w:rPr>
        <w:t>. Instead of labels, the Commission should remain focused on sufficiency and compliance with the required disclosures and sales practices to protect consumers.</w:t>
      </w:r>
    </w:p>
    <w:p w14:paraId="21B7326B" w14:textId="1B3AC463" w:rsidR="00BB3140" w:rsidRDefault="0056629D" w:rsidP="00276C02">
      <w:pPr>
        <w:pStyle w:val="Heading2"/>
      </w:pPr>
      <w:bookmarkStart w:id="17" w:name="_Toc85784654"/>
      <w:bookmarkStart w:id="18" w:name="_Toc85784996"/>
      <w:r>
        <w:t>OCC’s</w:t>
      </w:r>
      <w:r w:rsidR="00276C02">
        <w:t xml:space="preserve"> </w:t>
      </w:r>
      <w:r w:rsidR="00723969">
        <w:t>recommendation to prohibit door-to-door energy sales must be rejected.</w:t>
      </w:r>
      <w:bookmarkEnd w:id="17"/>
      <w:bookmarkEnd w:id="18"/>
      <w:r w:rsidR="00276C02">
        <w:t xml:space="preserve"> </w:t>
      </w:r>
    </w:p>
    <w:p w14:paraId="17418807" w14:textId="0DF9FD3A" w:rsidR="00736E80" w:rsidRDefault="006861F8" w:rsidP="00723969">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In its Initial Comments, OCC</w:t>
      </w:r>
      <w:r w:rsidR="00276C02">
        <w:rPr>
          <w:rFonts w:ascii="Arial" w:eastAsia="Times New Roman" w:hAnsi="Arial" w:cs="Arial"/>
          <w:sz w:val="24"/>
          <w:szCs w:val="24"/>
        </w:rPr>
        <w:t xml:space="preserve"> proposes the complete elimination of door-to-door sales across the state of Ohio for all energy suppliers.</w:t>
      </w:r>
      <w:r w:rsidR="00276C02">
        <w:rPr>
          <w:rStyle w:val="FootnoteReference"/>
          <w:rFonts w:ascii="Arial" w:eastAsia="Times New Roman" w:hAnsi="Arial" w:cs="Arial"/>
          <w:sz w:val="24"/>
          <w:szCs w:val="24"/>
        </w:rPr>
        <w:footnoteReference w:id="26"/>
      </w:r>
      <w:r w:rsidR="00276C02">
        <w:rPr>
          <w:rFonts w:ascii="Arial" w:eastAsia="Times New Roman" w:hAnsi="Arial" w:cs="Arial"/>
          <w:sz w:val="24"/>
          <w:szCs w:val="24"/>
        </w:rPr>
        <w:t xml:space="preserve"> </w:t>
      </w:r>
      <w:r w:rsidR="00BC1713">
        <w:rPr>
          <w:rFonts w:ascii="Arial" w:eastAsia="Times New Roman" w:hAnsi="Arial" w:cs="Arial"/>
          <w:sz w:val="24"/>
          <w:szCs w:val="24"/>
        </w:rPr>
        <w:t>In support of this</w:t>
      </w:r>
      <w:r w:rsidR="00276C02">
        <w:rPr>
          <w:rFonts w:ascii="Arial" w:eastAsia="Times New Roman" w:hAnsi="Arial" w:cs="Arial"/>
          <w:sz w:val="24"/>
          <w:szCs w:val="24"/>
        </w:rPr>
        <w:t xml:space="preserve"> position, OCC </w:t>
      </w:r>
      <w:r w:rsidR="00746524">
        <w:rPr>
          <w:rFonts w:ascii="Arial" w:eastAsia="Times New Roman" w:hAnsi="Arial" w:cs="Arial"/>
          <w:sz w:val="24"/>
          <w:szCs w:val="24"/>
        </w:rPr>
        <w:t xml:space="preserve">merely </w:t>
      </w:r>
      <w:r w:rsidR="00276C02">
        <w:rPr>
          <w:rFonts w:ascii="Arial" w:eastAsia="Times New Roman" w:hAnsi="Arial" w:cs="Arial"/>
          <w:sz w:val="24"/>
          <w:szCs w:val="24"/>
        </w:rPr>
        <w:t>presents</w:t>
      </w:r>
      <w:r w:rsidR="00C82756">
        <w:rPr>
          <w:rFonts w:ascii="Arial" w:eastAsia="Times New Roman" w:hAnsi="Arial" w:cs="Arial"/>
          <w:sz w:val="24"/>
          <w:szCs w:val="24"/>
        </w:rPr>
        <w:t xml:space="preserve"> </w:t>
      </w:r>
      <w:r w:rsidR="00276C02">
        <w:rPr>
          <w:rFonts w:ascii="Arial" w:eastAsia="Times New Roman" w:hAnsi="Arial" w:cs="Arial"/>
          <w:sz w:val="24"/>
          <w:szCs w:val="24"/>
        </w:rPr>
        <w:t>anecdotal evidence</w:t>
      </w:r>
      <w:r w:rsidR="00746524">
        <w:rPr>
          <w:rFonts w:ascii="Arial" w:eastAsia="Times New Roman" w:hAnsi="Arial" w:cs="Arial"/>
          <w:sz w:val="24"/>
          <w:szCs w:val="24"/>
        </w:rPr>
        <w:t xml:space="preserve"> and broad, unsupported statements</w:t>
      </w:r>
      <w:r w:rsidR="00276C02">
        <w:rPr>
          <w:rFonts w:ascii="Arial" w:eastAsia="Times New Roman" w:hAnsi="Arial" w:cs="Arial"/>
          <w:sz w:val="24"/>
          <w:szCs w:val="24"/>
        </w:rPr>
        <w:t xml:space="preserve">. </w:t>
      </w:r>
      <w:r w:rsidR="00736E80">
        <w:rPr>
          <w:rFonts w:ascii="Arial" w:eastAsia="Times New Roman" w:hAnsi="Arial" w:cs="Arial"/>
          <w:sz w:val="24"/>
          <w:szCs w:val="24"/>
        </w:rPr>
        <w:t>The Commission must reject this recommendation.</w:t>
      </w:r>
    </w:p>
    <w:p w14:paraId="7CCEBC2B" w14:textId="763BACD2" w:rsidR="005971DA" w:rsidRDefault="000B7B8B" w:rsidP="000D121D">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Notably, OCC has failed to identify the statutory authority that would enable the Commission to take such an extreme action of prohibiting this business acti</w:t>
      </w:r>
      <w:r w:rsidRPr="008D5E05">
        <w:rPr>
          <w:rFonts w:ascii="Arial" w:eastAsia="Times New Roman" w:hAnsi="Arial" w:cs="Arial"/>
          <w:sz w:val="24"/>
          <w:szCs w:val="24"/>
        </w:rPr>
        <w:t xml:space="preserve">vity. </w:t>
      </w:r>
      <w:r w:rsidR="00B1608B">
        <w:rPr>
          <w:rFonts w:ascii="Arial" w:eastAsia="Times New Roman" w:hAnsi="Arial" w:cs="Arial"/>
          <w:sz w:val="24"/>
          <w:szCs w:val="24"/>
        </w:rPr>
        <w:t xml:space="preserve">Banning door-to-door energy sales would </w:t>
      </w:r>
      <w:r w:rsidR="00B1608B" w:rsidRPr="00625B4A">
        <w:rPr>
          <w:rFonts w:ascii="Arial" w:eastAsia="Times New Roman" w:hAnsi="Arial" w:cs="Arial"/>
          <w:sz w:val="24"/>
          <w:szCs w:val="24"/>
        </w:rPr>
        <w:t xml:space="preserve">unfairly restrict and unequally treat the Supplier </w:t>
      </w:r>
      <w:r w:rsidR="00B1608B" w:rsidRPr="00625B4A">
        <w:rPr>
          <w:rFonts w:ascii="Arial" w:eastAsia="Times New Roman" w:hAnsi="Arial" w:cs="Arial"/>
          <w:sz w:val="24"/>
          <w:szCs w:val="24"/>
        </w:rPr>
        <w:lastRenderedPageBreak/>
        <w:t xml:space="preserve">community relative to all other businesses in this state, </w:t>
      </w:r>
      <w:r w:rsidR="00B1608B">
        <w:rPr>
          <w:rFonts w:ascii="Arial" w:eastAsia="Times New Roman" w:hAnsi="Arial" w:cs="Arial"/>
          <w:sz w:val="24"/>
          <w:szCs w:val="24"/>
        </w:rPr>
        <w:t>especially</w:t>
      </w:r>
      <w:r w:rsidR="00B1608B" w:rsidRPr="00625B4A">
        <w:rPr>
          <w:rFonts w:ascii="Arial" w:eastAsia="Times New Roman" w:hAnsi="Arial" w:cs="Arial"/>
          <w:sz w:val="24"/>
          <w:szCs w:val="24"/>
        </w:rPr>
        <w:t xml:space="preserve"> those that also conduct door-to-door activities</w:t>
      </w:r>
      <w:r w:rsidR="00B1608B">
        <w:rPr>
          <w:rFonts w:ascii="Arial" w:eastAsia="Times New Roman" w:hAnsi="Arial" w:cs="Arial"/>
          <w:sz w:val="24"/>
          <w:szCs w:val="24"/>
        </w:rPr>
        <w:t xml:space="preserve">. </w:t>
      </w:r>
      <w:r w:rsidR="0081595A">
        <w:rPr>
          <w:rFonts w:ascii="Arial" w:eastAsia="Times New Roman" w:hAnsi="Arial" w:cs="Arial"/>
          <w:sz w:val="24"/>
          <w:szCs w:val="24"/>
        </w:rPr>
        <w:t>Instead, t</w:t>
      </w:r>
      <w:r w:rsidR="003042C6">
        <w:rPr>
          <w:rFonts w:ascii="Arial" w:eastAsia="Times New Roman" w:hAnsi="Arial" w:cs="Arial"/>
          <w:sz w:val="24"/>
          <w:szCs w:val="24"/>
        </w:rPr>
        <w:t xml:space="preserve">he </w:t>
      </w:r>
      <w:r w:rsidR="005971DA" w:rsidRPr="000D121D">
        <w:rPr>
          <w:rFonts w:ascii="Arial" w:eastAsia="Times New Roman" w:hAnsi="Arial" w:cs="Arial"/>
          <w:sz w:val="24"/>
          <w:szCs w:val="24"/>
        </w:rPr>
        <w:t xml:space="preserve">Commission </w:t>
      </w:r>
      <w:r w:rsidR="00E428D7">
        <w:rPr>
          <w:rFonts w:ascii="Arial" w:eastAsia="Times New Roman" w:hAnsi="Arial" w:cs="Arial"/>
          <w:sz w:val="24"/>
          <w:szCs w:val="24"/>
        </w:rPr>
        <w:t>should continue to</w:t>
      </w:r>
      <w:r w:rsidR="005971DA" w:rsidRPr="000D121D">
        <w:rPr>
          <w:rFonts w:ascii="Arial" w:eastAsia="Times New Roman" w:hAnsi="Arial" w:cs="Arial"/>
          <w:sz w:val="24"/>
          <w:szCs w:val="24"/>
        </w:rPr>
        <w:t xml:space="preserve"> reject attempt</w:t>
      </w:r>
      <w:r w:rsidR="00E428D7">
        <w:rPr>
          <w:rFonts w:ascii="Arial" w:eastAsia="Times New Roman" w:hAnsi="Arial" w:cs="Arial"/>
          <w:sz w:val="24"/>
          <w:szCs w:val="24"/>
        </w:rPr>
        <w:t>s</w:t>
      </w:r>
      <w:r w:rsidR="005971DA" w:rsidRPr="000D121D">
        <w:rPr>
          <w:rFonts w:ascii="Arial" w:eastAsia="Times New Roman" w:hAnsi="Arial" w:cs="Arial"/>
          <w:sz w:val="24"/>
          <w:szCs w:val="24"/>
        </w:rPr>
        <w:t xml:space="preserve"> to ban door-to-door solicitations</w:t>
      </w:r>
      <w:r w:rsidR="00E428D7">
        <w:rPr>
          <w:rFonts w:ascii="Arial" w:eastAsia="Times New Roman" w:hAnsi="Arial" w:cs="Arial"/>
          <w:sz w:val="24"/>
          <w:szCs w:val="24"/>
        </w:rPr>
        <w:t xml:space="preserve"> because </w:t>
      </w:r>
      <w:r w:rsidR="00C717F5">
        <w:rPr>
          <w:rFonts w:ascii="Arial" w:eastAsia="Times New Roman" w:hAnsi="Arial" w:cs="Arial"/>
          <w:sz w:val="24"/>
          <w:szCs w:val="24"/>
        </w:rPr>
        <w:t>“</w:t>
      </w:r>
      <w:r w:rsidR="00C717F5" w:rsidRPr="00C717F5">
        <w:rPr>
          <w:rFonts w:ascii="Arial" w:eastAsia="Times New Roman" w:hAnsi="Arial" w:cs="Arial"/>
          <w:sz w:val="24"/>
          <w:szCs w:val="24"/>
        </w:rPr>
        <w:t>door-to-door solicitation is an acceptable method of sales in Ohio and prohibiting those types of sales may inhibit competition</w:t>
      </w:r>
      <w:r w:rsidR="00E428D7">
        <w:rPr>
          <w:rFonts w:ascii="Arial" w:eastAsia="Times New Roman" w:hAnsi="Arial" w:cs="Arial"/>
          <w:sz w:val="24"/>
          <w:szCs w:val="24"/>
        </w:rPr>
        <w:t>.”</w:t>
      </w:r>
      <w:r w:rsidR="005971DA" w:rsidRPr="000D121D">
        <w:rPr>
          <w:rStyle w:val="FootnoteReference"/>
          <w:rFonts w:ascii="Arial" w:eastAsia="Times New Roman" w:hAnsi="Arial" w:cs="Arial"/>
          <w:sz w:val="24"/>
          <w:szCs w:val="24"/>
        </w:rPr>
        <w:footnoteReference w:id="27"/>
      </w:r>
      <w:r w:rsidR="005971DA">
        <w:rPr>
          <w:rFonts w:ascii="Arial" w:eastAsia="Times New Roman" w:hAnsi="Arial" w:cs="Arial"/>
          <w:sz w:val="24"/>
          <w:szCs w:val="24"/>
        </w:rPr>
        <w:t xml:space="preserve"> </w:t>
      </w:r>
    </w:p>
    <w:p w14:paraId="019F2AF8" w14:textId="06418589" w:rsidR="00276C02" w:rsidRDefault="00276C02" w:rsidP="000D121D">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IGS has a </w:t>
      </w:r>
      <w:proofErr w:type="gramStart"/>
      <w:r>
        <w:rPr>
          <w:rFonts w:ascii="Arial" w:eastAsia="Times New Roman" w:hAnsi="Arial" w:cs="Arial"/>
          <w:sz w:val="24"/>
          <w:szCs w:val="24"/>
        </w:rPr>
        <w:t>long recorded</w:t>
      </w:r>
      <w:proofErr w:type="gramEnd"/>
      <w:r>
        <w:rPr>
          <w:rFonts w:ascii="Arial" w:eastAsia="Times New Roman" w:hAnsi="Arial" w:cs="Arial"/>
          <w:sz w:val="24"/>
          <w:szCs w:val="24"/>
        </w:rPr>
        <w:t xml:space="preserve"> history of supporting </w:t>
      </w:r>
      <w:r w:rsidR="000B3AC7">
        <w:rPr>
          <w:rFonts w:ascii="Arial" w:eastAsia="Times New Roman" w:hAnsi="Arial" w:cs="Arial"/>
          <w:sz w:val="24"/>
          <w:szCs w:val="24"/>
        </w:rPr>
        <w:t>reasonable</w:t>
      </w:r>
      <w:r>
        <w:rPr>
          <w:rFonts w:ascii="Arial" w:eastAsia="Times New Roman" w:hAnsi="Arial" w:cs="Arial"/>
          <w:sz w:val="24"/>
          <w:szCs w:val="24"/>
        </w:rPr>
        <w:t xml:space="preserve"> door-to-door regulations, but banning the entire sales channel is nonsensical.</w:t>
      </w:r>
      <w:r>
        <w:rPr>
          <w:rStyle w:val="FootnoteReference"/>
          <w:rFonts w:ascii="Arial" w:eastAsia="Times New Roman" w:hAnsi="Arial" w:cs="Arial"/>
          <w:sz w:val="24"/>
          <w:szCs w:val="24"/>
        </w:rPr>
        <w:footnoteReference w:id="28"/>
      </w:r>
      <w:r>
        <w:rPr>
          <w:rFonts w:ascii="Arial" w:eastAsia="Times New Roman" w:hAnsi="Arial" w:cs="Arial"/>
          <w:sz w:val="24"/>
          <w:szCs w:val="24"/>
        </w:rPr>
        <w:t xml:space="preserve"> </w:t>
      </w:r>
      <w:r w:rsidRPr="0068091B">
        <w:rPr>
          <w:rFonts w:ascii="Arial" w:eastAsia="Times New Roman" w:hAnsi="Arial" w:cs="Arial"/>
          <w:sz w:val="24"/>
          <w:szCs w:val="24"/>
        </w:rPr>
        <w:t>IGS’s sales teams are called Home Energy Consultants (“HECs”) for a reason – they are available to the customer to consult on their energy questions and needs through a face to face encounter free of distractions and interruptions, creating the best customer experience.</w:t>
      </w:r>
      <w:r>
        <w:rPr>
          <w:rFonts w:ascii="Arial" w:eastAsia="Times New Roman" w:hAnsi="Arial" w:cs="Arial"/>
          <w:sz w:val="24"/>
          <w:szCs w:val="24"/>
        </w:rPr>
        <w:t xml:space="preserve"> IGS will continue to support common sense regulations and safety precautions, but the outright elimination of an entire business channel based solely on a few bad apples is unjustified and should not be adopted. </w:t>
      </w:r>
    </w:p>
    <w:p w14:paraId="69B0632B" w14:textId="5D905534" w:rsidR="00276C02" w:rsidRPr="000D121D" w:rsidRDefault="0051226E" w:rsidP="000D121D">
      <w:pPr>
        <w:spacing w:after="0" w:line="480" w:lineRule="auto"/>
        <w:jc w:val="both"/>
        <w:textAlignment w:val="baseline"/>
        <w:rPr>
          <w:rFonts w:ascii="Arial" w:eastAsia="Times New Roman" w:hAnsi="Arial" w:cs="Arial"/>
          <w:sz w:val="24"/>
          <w:szCs w:val="24"/>
        </w:rPr>
      </w:pPr>
      <w:r>
        <w:rPr>
          <w:rFonts w:ascii="Arial" w:eastAsia="Times New Roman" w:hAnsi="Arial" w:cs="Arial"/>
          <w:sz w:val="24"/>
          <w:szCs w:val="24"/>
        </w:rPr>
        <w:tab/>
      </w:r>
      <w:r w:rsidR="00C41F6B">
        <w:rPr>
          <w:rFonts w:ascii="Arial" w:eastAsia="Times New Roman" w:hAnsi="Arial" w:cs="Arial"/>
          <w:sz w:val="24"/>
          <w:szCs w:val="24"/>
        </w:rPr>
        <w:t>Moreover</w:t>
      </w:r>
      <w:r w:rsidR="00E31DCC">
        <w:rPr>
          <w:rFonts w:ascii="Arial" w:eastAsia="Times New Roman" w:hAnsi="Arial" w:cs="Arial"/>
          <w:sz w:val="24"/>
          <w:szCs w:val="24"/>
        </w:rPr>
        <w:t>,</w:t>
      </w:r>
      <w:r>
        <w:rPr>
          <w:rFonts w:ascii="Arial" w:eastAsia="Times New Roman" w:hAnsi="Arial" w:cs="Arial"/>
          <w:sz w:val="24"/>
          <w:szCs w:val="24"/>
        </w:rPr>
        <w:t xml:space="preserve"> </w:t>
      </w:r>
      <w:r w:rsidR="00E35F06">
        <w:rPr>
          <w:rFonts w:ascii="Arial" w:eastAsia="Times New Roman" w:hAnsi="Arial" w:cs="Arial"/>
          <w:sz w:val="24"/>
          <w:szCs w:val="24"/>
        </w:rPr>
        <w:t xml:space="preserve">the Commission should reject OCC’s </w:t>
      </w:r>
      <w:r w:rsidR="00533124">
        <w:rPr>
          <w:rFonts w:ascii="Arial" w:eastAsia="Times New Roman" w:hAnsi="Arial" w:cs="Arial"/>
          <w:sz w:val="24"/>
          <w:szCs w:val="24"/>
        </w:rPr>
        <w:t xml:space="preserve">improper attempt </w:t>
      </w:r>
      <w:r w:rsidR="001D16D3">
        <w:rPr>
          <w:rFonts w:ascii="Arial" w:eastAsia="Times New Roman" w:hAnsi="Arial" w:cs="Arial"/>
          <w:sz w:val="24"/>
          <w:szCs w:val="24"/>
        </w:rPr>
        <w:t>to seek</w:t>
      </w:r>
      <w:r w:rsidR="00533124">
        <w:rPr>
          <w:rFonts w:ascii="Arial" w:eastAsia="Times New Roman" w:hAnsi="Arial" w:cs="Arial"/>
          <w:sz w:val="24"/>
          <w:szCs w:val="24"/>
        </w:rPr>
        <w:t xml:space="preserve"> rehearing </w:t>
      </w:r>
      <w:r w:rsidR="001D16D3">
        <w:rPr>
          <w:rFonts w:ascii="Arial" w:eastAsia="Times New Roman" w:hAnsi="Arial" w:cs="Arial"/>
          <w:sz w:val="24"/>
          <w:szCs w:val="24"/>
        </w:rPr>
        <w:t xml:space="preserve">on the Commission’s decision </w:t>
      </w:r>
      <w:r w:rsidR="007C01BD">
        <w:rPr>
          <w:rFonts w:ascii="Arial" w:eastAsia="Times New Roman" w:hAnsi="Arial" w:cs="Arial"/>
          <w:sz w:val="24"/>
          <w:szCs w:val="24"/>
        </w:rPr>
        <w:t xml:space="preserve">regarding solicitations </w:t>
      </w:r>
      <w:r w:rsidR="00DF5D99">
        <w:rPr>
          <w:rFonts w:ascii="Arial" w:eastAsia="Times New Roman" w:hAnsi="Arial" w:cs="Arial"/>
          <w:sz w:val="24"/>
          <w:szCs w:val="24"/>
        </w:rPr>
        <w:t xml:space="preserve">during the </w:t>
      </w:r>
      <w:r w:rsidR="0009270D">
        <w:rPr>
          <w:rFonts w:ascii="Arial" w:eastAsia="Times New Roman" w:hAnsi="Arial" w:cs="Arial"/>
          <w:sz w:val="24"/>
          <w:szCs w:val="24"/>
        </w:rPr>
        <w:t>declared state of emergency in Ohio</w:t>
      </w:r>
      <w:r w:rsidR="00C37AC4">
        <w:rPr>
          <w:rFonts w:ascii="Arial" w:eastAsia="Times New Roman" w:hAnsi="Arial" w:cs="Arial"/>
          <w:sz w:val="24"/>
          <w:szCs w:val="24"/>
        </w:rPr>
        <w:t>.</w:t>
      </w:r>
      <w:r w:rsidR="00F3585A">
        <w:rPr>
          <w:rStyle w:val="FootnoteReference"/>
          <w:rFonts w:ascii="Arial" w:eastAsia="Times New Roman" w:hAnsi="Arial" w:cs="Arial"/>
          <w:sz w:val="24"/>
          <w:szCs w:val="24"/>
        </w:rPr>
        <w:footnoteReference w:id="29"/>
      </w:r>
      <w:r w:rsidR="00C37AC4">
        <w:rPr>
          <w:rFonts w:ascii="Arial" w:eastAsia="Times New Roman" w:hAnsi="Arial" w:cs="Arial"/>
          <w:sz w:val="24"/>
          <w:szCs w:val="24"/>
        </w:rPr>
        <w:t xml:space="preserve"> As recognized by OCC, the Commission permitted </w:t>
      </w:r>
      <w:r w:rsidR="000508AA">
        <w:rPr>
          <w:rFonts w:ascii="Arial" w:eastAsia="Times New Roman" w:hAnsi="Arial" w:cs="Arial"/>
          <w:sz w:val="24"/>
          <w:szCs w:val="24"/>
        </w:rPr>
        <w:t xml:space="preserve">in-person marketing activities to </w:t>
      </w:r>
      <w:r w:rsidR="00690001">
        <w:rPr>
          <w:rFonts w:ascii="Arial" w:eastAsia="Times New Roman" w:hAnsi="Arial" w:cs="Arial"/>
          <w:sz w:val="24"/>
          <w:szCs w:val="24"/>
        </w:rPr>
        <w:t>resume</w:t>
      </w:r>
      <w:r w:rsidR="00D0091A">
        <w:rPr>
          <w:rFonts w:ascii="Arial" w:eastAsia="Times New Roman" w:hAnsi="Arial" w:cs="Arial"/>
          <w:sz w:val="24"/>
          <w:szCs w:val="24"/>
        </w:rPr>
        <w:t xml:space="preserve"> over a year ago</w:t>
      </w:r>
      <w:r w:rsidR="00DE4334">
        <w:rPr>
          <w:rFonts w:ascii="Arial" w:eastAsia="Times New Roman" w:hAnsi="Arial" w:cs="Arial"/>
          <w:sz w:val="24"/>
          <w:szCs w:val="24"/>
        </w:rPr>
        <w:t xml:space="preserve">. </w:t>
      </w:r>
      <w:r w:rsidR="003E0A87">
        <w:rPr>
          <w:rFonts w:ascii="Arial" w:eastAsia="Times New Roman" w:hAnsi="Arial" w:cs="Arial"/>
          <w:sz w:val="24"/>
          <w:szCs w:val="24"/>
        </w:rPr>
        <w:t xml:space="preserve">Any concerns regarding that decision should have </w:t>
      </w:r>
      <w:r w:rsidR="00A87B2C">
        <w:rPr>
          <w:rFonts w:ascii="Arial" w:eastAsia="Times New Roman" w:hAnsi="Arial" w:cs="Arial"/>
          <w:sz w:val="24"/>
          <w:szCs w:val="24"/>
        </w:rPr>
        <w:t>been</w:t>
      </w:r>
      <w:r w:rsidR="00187E90">
        <w:rPr>
          <w:rFonts w:ascii="Arial" w:eastAsia="Times New Roman" w:hAnsi="Arial" w:cs="Arial"/>
          <w:sz w:val="24"/>
          <w:szCs w:val="24"/>
        </w:rPr>
        <w:t xml:space="preserve"> (and were)</w:t>
      </w:r>
      <w:r w:rsidR="00A87B2C">
        <w:rPr>
          <w:rFonts w:ascii="Arial" w:eastAsia="Times New Roman" w:hAnsi="Arial" w:cs="Arial"/>
          <w:sz w:val="24"/>
          <w:szCs w:val="24"/>
        </w:rPr>
        <w:t xml:space="preserve"> </w:t>
      </w:r>
      <w:r w:rsidR="000C31D0">
        <w:rPr>
          <w:rFonts w:ascii="Arial" w:eastAsia="Times New Roman" w:hAnsi="Arial" w:cs="Arial"/>
          <w:sz w:val="24"/>
          <w:szCs w:val="24"/>
        </w:rPr>
        <w:t xml:space="preserve">raised on rehearing in that proceeding. </w:t>
      </w:r>
    </w:p>
    <w:p w14:paraId="47E18C5A" w14:textId="35E64494" w:rsidR="00716EDC" w:rsidRDefault="007A1B8C" w:rsidP="000D121D">
      <w:pPr>
        <w:pStyle w:val="Heading2"/>
        <w:jc w:val="both"/>
      </w:pPr>
      <w:bookmarkStart w:id="19" w:name="_Toc85784655"/>
      <w:bookmarkStart w:id="20" w:name="_Toc85784997"/>
      <w:r>
        <w:rPr>
          <w:rFonts w:eastAsia="Times New Roman"/>
        </w:rPr>
        <w:lastRenderedPageBreak/>
        <w:t>The</w:t>
      </w:r>
      <w:r w:rsidR="00905115" w:rsidRPr="008D5E05">
        <w:rPr>
          <w:rFonts w:eastAsia="Times New Roman"/>
        </w:rPr>
        <w:t xml:space="preserve"> Commission should adopt </w:t>
      </w:r>
      <w:r w:rsidR="003C380C" w:rsidRPr="005B68BA">
        <w:rPr>
          <w:rFonts w:eastAsia="Times New Roman"/>
        </w:rPr>
        <w:t xml:space="preserve">rules to adequately protect consumers from </w:t>
      </w:r>
      <w:r w:rsidR="00007CEC" w:rsidRPr="006A2683">
        <w:rPr>
          <w:rFonts w:eastAsia="Times New Roman"/>
        </w:rPr>
        <w:t>third-party</w:t>
      </w:r>
      <w:r w:rsidR="00137F81" w:rsidRPr="006C2C29">
        <w:rPr>
          <w:rFonts w:eastAsia="Times New Roman"/>
        </w:rPr>
        <w:t xml:space="preserve"> sales</w:t>
      </w:r>
      <w:r w:rsidR="00007CEC" w:rsidRPr="0027480B">
        <w:rPr>
          <w:rFonts w:eastAsia="Times New Roman"/>
        </w:rPr>
        <w:t xml:space="preserve"> </w:t>
      </w:r>
      <w:r w:rsidR="00E61C20" w:rsidRPr="009633B6">
        <w:rPr>
          <w:rFonts w:eastAsia="Times New Roman"/>
        </w:rPr>
        <w:t>agents acting on behalf of CRES and CRNGS suppliers.</w:t>
      </w:r>
      <w:bookmarkEnd w:id="19"/>
      <w:bookmarkEnd w:id="20"/>
    </w:p>
    <w:p w14:paraId="732DFE33" w14:textId="587D4AF8" w:rsidR="005834C7" w:rsidRPr="002E16BA" w:rsidRDefault="00895C7E" w:rsidP="002E16BA">
      <w:pPr>
        <w:pStyle w:val="NoSpacing"/>
        <w:spacing w:line="480" w:lineRule="auto"/>
        <w:ind w:firstLine="720"/>
        <w:jc w:val="both"/>
        <w:rPr>
          <w:rFonts w:ascii="Arial" w:hAnsi="Arial" w:cs="Arial"/>
          <w:sz w:val="24"/>
          <w:szCs w:val="24"/>
        </w:rPr>
      </w:pPr>
      <w:r w:rsidRPr="002E16BA">
        <w:rPr>
          <w:rFonts w:ascii="Arial" w:hAnsi="Arial" w:cs="Arial"/>
          <w:sz w:val="24"/>
          <w:szCs w:val="24"/>
        </w:rPr>
        <w:t xml:space="preserve">As an alternative to banning door-to-door energy sales, OCC suggests </w:t>
      </w:r>
      <w:r w:rsidR="0045161F" w:rsidRPr="002E16BA">
        <w:rPr>
          <w:rFonts w:ascii="Arial" w:hAnsi="Arial" w:cs="Arial"/>
          <w:sz w:val="24"/>
          <w:szCs w:val="24"/>
        </w:rPr>
        <w:t xml:space="preserve">a </w:t>
      </w:r>
      <w:r w:rsidR="00B119E2" w:rsidRPr="002E16BA">
        <w:rPr>
          <w:rFonts w:ascii="Arial" w:hAnsi="Arial" w:cs="Arial"/>
          <w:sz w:val="24"/>
          <w:szCs w:val="24"/>
        </w:rPr>
        <w:t>series of provisions</w:t>
      </w:r>
      <w:r w:rsidRPr="002E16BA">
        <w:rPr>
          <w:rFonts w:ascii="Arial" w:hAnsi="Arial" w:cs="Arial"/>
          <w:sz w:val="24"/>
          <w:szCs w:val="24"/>
        </w:rPr>
        <w:t xml:space="preserve"> </w:t>
      </w:r>
      <w:r w:rsidR="00E01C28" w:rsidRPr="002E16BA">
        <w:rPr>
          <w:rFonts w:ascii="Arial" w:hAnsi="Arial" w:cs="Arial"/>
          <w:sz w:val="24"/>
          <w:szCs w:val="24"/>
        </w:rPr>
        <w:t>relating to the use of third-party sales agents acting on behalf of a CRES or CRNGS supplier.</w:t>
      </w:r>
      <w:r w:rsidR="0067582A" w:rsidRPr="002E16BA">
        <w:rPr>
          <w:rStyle w:val="FootnoteReference"/>
          <w:rFonts w:ascii="Arial" w:hAnsi="Arial" w:cs="Arial"/>
          <w:b/>
          <w:bCs/>
          <w:sz w:val="24"/>
          <w:szCs w:val="24"/>
        </w:rPr>
        <w:footnoteReference w:id="30"/>
      </w:r>
      <w:r w:rsidR="00E01C28" w:rsidRPr="002E16BA">
        <w:rPr>
          <w:rFonts w:ascii="Arial" w:hAnsi="Arial" w:cs="Arial"/>
          <w:sz w:val="24"/>
          <w:szCs w:val="24"/>
        </w:rPr>
        <w:t xml:space="preserve"> </w:t>
      </w:r>
      <w:r w:rsidR="00CF3A4E" w:rsidRPr="002E16BA">
        <w:rPr>
          <w:rFonts w:ascii="Arial" w:hAnsi="Arial" w:cs="Arial"/>
          <w:sz w:val="24"/>
          <w:szCs w:val="24"/>
        </w:rPr>
        <w:t xml:space="preserve">In support, </w:t>
      </w:r>
      <w:r w:rsidR="0048619E" w:rsidRPr="002E16BA">
        <w:rPr>
          <w:rFonts w:ascii="Arial" w:hAnsi="Arial" w:cs="Arial"/>
          <w:sz w:val="24"/>
          <w:szCs w:val="24"/>
        </w:rPr>
        <w:t xml:space="preserve">OCC notes that </w:t>
      </w:r>
      <w:r w:rsidR="00D803F7" w:rsidRPr="002E16BA">
        <w:rPr>
          <w:rFonts w:ascii="Arial" w:hAnsi="Arial" w:cs="Arial"/>
          <w:sz w:val="24"/>
          <w:szCs w:val="24"/>
        </w:rPr>
        <w:t xml:space="preserve">many </w:t>
      </w:r>
      <w:r w:rsidR="00C67403" w:rsidRPr="002E16BA">
        <w:rPr>
          <w:rFonts w:ascii="Arial" w:hAnsi="Arial" w:cs="Arial"/>
          <w:sz w:val="24"/>
          <w:szCs w:val="24"/>
        </w:rPr>
        <w:t xml:space="preserve">suppliers </w:t>
      </w:r>
      <w:r w:rsidR="003A1532" w:rsidRPr="002E16BA">
        <w:rPr>
          <w:rFonts w:ascii="Arial" w:hAnsi="Arial" w:cs="Arial"/>
          <w:sz w:val="24"/>
          <w:szCs w:val="24"/>
        </w:rPr>
        <w:t xml:space="preserve">outsource </w:t>
      </w:r>
      <w:r w:rsidR="002B303B" w:rsidRPr="002E16BA">
        <w:rPr>
          <w:rFonts w:ascii="Arial" w:hAnsi="Arial" w:cs="Arial"/>
          <w:sz w:val="24"/>
          <w:szCs w:val="24"/>
        </w:rPr>
        <w:t xml:space="preserve">sales and marketing </w:t>
      </w:r>
      <w:r w:rsidR="00850E3C" w:rsidRPr="002E16BA">
        <w:rPr>
          <w:rFonts w:ascii="Arial" w:hAnsi="Arial" w:cs="Arial"/>
          <w:sz w:val="24"/>
          <w:szCs w:val="24"/>
        </w:rPr>
        <w:t xml:space="preserve">activities </w:t>
      </w:r>
      <w:r w:rsidR="002B303B" w:rsidRPr="002E16BA">
        <w:rPr>
          <w:rFonts w:ascii="Arial" w:hAnsi="Arial" w:cs="Arial"/>
          <w:sz w:val="24"/>
          <w:szCs w:val="24"/>
        </w:rPr>
        <w:t>to third-party vendors</w:t>
      </w:r>
      <w:r w:rsidR="00CD0685" w:rsidRPr="002E16BA">
        <w:rPr>
          <w:rFonts w:ascii="Arial" w:hAnsi="Arial" w:cs="Arial"/>
          <w:sz w:val="24"/>
          <w:szCs w:val="24"/>
        </w:rPr>
        <w:t xml:space="preserve"> </w:t>
      </w:r>
      <w:r w:rsidR="00361DE5" w:rsidRPr="002E16BA">
        <w:rPr>
          <w:rFonts w:ascii="Arial" w:hAnsi="Arial" w:cs="Arial"/>
          <w:sz w:val="24"/>
          <w:szCs w:val="24"/>
        </w:rPr>
        <w:t>and</w:t>
      </w:r>
      <w:r w:rsidR="001A4558" w:rsidRPr="002E16BA">
        <w:rPr>
          <w:rFonts w:ascii="Arial" w:hAnsi="Arial" w:cs="Arial"/>
          <w:sz w:val="24"/>
          <w:szCs w:val="24"/>
        </w:rPr>
        <w:t xml:space="preserve"> the current rules do not adequately address </w:t>
      </w:r>
      <w:r w:rsidR="001C51C4" w:rsidRPr="002E16BA">
        <w:rPr>
          <w:rFonts w:ascii="Arial" w:hAnsi="Arial" w:cs="Arial"/>
          <w:sz w:val="24"/>
          <w:szCs w:val="24"/>
        </w:rPr>
        <w:t>this practice</w:t>
      </w:r>
      <w:r w:rsidR="00DD386C" w:rsidRPr="002E16BA">
        <w:rPr>
          <w:rFonts w:ascii="Arial" w:hAnsi="Arial" w:cs="Arial"/>
          <w:sz w:val="24"/>
          <w:szCs w:val="24"/>
        </w:rPr>
        <w:t xml:space="preserve"> from a consumer protection </w:t>
      </w:r>
      <w:r w:rsidR="00361DE5" w:rsidRPr="002E16BA">
        <w:rPr>
          <w:rFonts w:ascii="Arial" w:hAnsi="Arial" w:cs="Arial"/>
          <w:sz w:val="24"/>
          <w:szCs w:val="24"/>
        </w:rPr>
        <w:t>perspective.</w:t>
      </w:r>
      <w:r w:rsidR="0079009D" w:rsidRPr="002E16BA">
        <w:rPr>
          <w:rFonts w:ascii="Arial" w:hAnsi="Arial" w:cs="Arial"/>
          <w:sz w:val="24"/>
          <w:szCs w:val="24"/>
        </w:rPr>
        <w:t xml:space="preserve"> </w:t>
      </w:r>
      <w:r w:rsidR="007456B6" w:rsidRPr="002E16BA">
        <w:rPr>
          <w:rFonts w:ascii="Arial" w:eastAsia="Times New Roman" w:hAnsi="Arial" w:cs="Arial"/>
          <w:sz w:val="24"/>
          <w:szCs w:val="24"/>
        </w:rPr>
        <w:t xml:space="preserve">IGS </w:t>
      </w:r>
      <w:r w:rsidR="00E8326D" w:rsidRPr="002E16BA">
        <w:rPr>
          <w:rFonts w:ascii="Arial" w:eastAsia="Times New Roman" w:hAnsi="Arial" w:cs="Arial"/>
          <w:sz w:val="24"/>
          <w:szCs w:val="24"/>
        </w:rPr>
        <w:t xml:space="preserve">shares OCC’s concerns </w:t>
      </w:r>
      <w:r w:rsidR="00EF2482" w:rsidRPr="002E16BA">
        <w:rPr>
          <w:rFonts w:ascii="Arial" w:eastAsia="Times New Roman" w:hAnsi="Arial" w:cs="Arial"/>
          <w:sz w:val="24"/>
          <w:szCs w:val="24"/>
        </w:rPr>
        <w:t xml:space="preserve">regarding the </w:t>
      </w:r>
      <w:r w:rsidR="00EF36E1" w:rsidRPr="002E16BA">
        <w:rPr>
          <w:rFonts w:ascii="Arial" w:eastAsia="Times New Roman" w:hAnsi="Arial" w:cs="Arial"/>
          <w:sz w:val="24"/>
          <w:szCs w:val="24"/>
        </w:rPr>
        <w:t xml:space="preserve">use of third-party sales agents and </w:t>
      </w:r>
      <w:r w:rsidR="007456B6" w:rsidRPr="002E16BA">
        <w:rPr>
          <w:rFonts w:ascii="Arial" w:eastAsia="Times New Roman" w:hAnsi="Arial" w:cs="Arial"/>
          <w:sz w:val="24"/>
          <w:szCs w:val="24"/>
        </w:rPr>
        <w:t xml:space="preserve">agrees </w:t>
      </w:r>
      <w:r w:rsidR="00F93873" w:rsidRPr="002E16BA">
        <w:rPr>
          <w:rFonts w:ascii="Arial" w:eastAsia="Times New Roman" w:hAnsi="Arial" w:cs="Arial"/>
          <w:sz w:val="24"/>
          <w:szCs w:val="24"/>
        </w:rPr>
        <w:t xml:space="preserve">that the </w:t>
      </w:r>
      <w:r w:rsidR="00361A58" w:rsidRPr="002E16BA">
        <w:rPr>
          <w:rFonts w:ascii="Arial" w:eastAsia="Times New Roman" w:hAnsi="Arial" w:cs="Arial"/>
          <w:sz w:val="24"/>
          <w:szCs w:val="24"/>
        </w:rPr>
        <w:t xml:space="preserve">rules should be expanded to </w:t>
      </w:r>
      <w:r w:rsidR="00EA2FAB" w:rsidRPr="002E16BA">
        <w:rPr>
          <w:rFonts w:ascii="Arial" w:eastAsia="Times New Roman" w:hAnsi="Arial" w:cs="Arial"/>
          <w:sz w:val="24"/>
          <w:szCs w:val="24"/>
        </w:rPr>
        <w:t xml:space="preserve">ensure customers are </w:t>
      </w:r>
      <w:r w:rsidR="00AA743A" w:rsidRPr="002E16BA">
        <w:rPr>
          <w:rFonts w:ascii="Arial" w:eastAsia="Times New Roman" w:hAnsi="Arial" w:cs="Arial"/>
          <w:sz w:val="24"/>
          <w:szCs w:val="24"/>
        </w:rPr>
        <w:t xml:space="preserve">protected from </w:t>
      </w:r>
      <w:r w:rsidR="0094250E" w:rsidRPr="002E16BA">
        <w:rPr>
          <w:rFonts w:ascii="Arial" w:eastAsia="Times New Roman" w:hAnsi="Arial" w:cs="Arial"/>
          <w:sz w:val="24"/>
          <w:szCs w:val="24"/>
        </w:rPr>
        <w:t>a</w:t>
      </w:r>
      <w:r w:rsidR="00940B3C">
        <w:rPr>
          <w:rFonts w:ascii="Arial" w:eastAsia="Times New Roman" w:hAnsi="Arial" w:cs="Arial"/>
          <w:sz w:val="24"/>
          <w:szCs w:val="24"/>
        </w:rPr>
        <w:t>ll</w:t>
      </w:r>
      <w:r w:rsidR="0094250E" w:rsidRPr="002E16BA">
        <w:rPr>
          <w:rFonts w:ascii="Arial" w:eastAsia="Times New Roman" w:hAnsi="Arial" w:cs="Arial"/>
          <w:sz w:val="24"/>
          <w:szCs w:val="24"/>
        </w:rPr>
        <w:t xml:space="preserve"> deceptive or misleading sales practices. </w:t>
      </w:r>
    </w:p>
    <w:p w14:paraId="06792A06" w14:textId="74BC3444" w:rsidR="00D2178A" w:rsidRDefault="00D2178A" w:rsidP="005834C7">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Initially, </w:t>
      </w:r>
      <w:r w:rsidR="0024163A">
        <w:rPr>
          <w:rFonts w:ascii="Arial" w:eastAsia="Times New Roman" w:hAnsi="Arial" w:cs="Arial"/>
          <w:sz w:val="24"/>
          <w:szCs w:val="24"/>
        </w:rPr>
        <w:t xml:space="preserve">IGS recommends removing the phrase “and independent sales agents” from OCC’s </w:t>
      </w:r>
      <w:r w:rsidR="001A0D1D">
        <w:rPr>
          <w:rFonts w:ascii="Arial" w:eastAsia="Times New Roman" w:hAnsi="Arial" w:cs="Arial"/>
          <w:sz w:val="24"/>
          <w:szCs w:val="24"/>
        </w:rPr>
        <w:t>suggested requirements</w:t>
      </w:r>
      <w:r w:rsidR="00300B60">
        <w:rPr>
          <w:rFonts w:ascii="Arial" w:eastAsia="Times New Roman" w:hAnsi="Arial" w:cs="Arial"/>
          <w:sz w:val="24"/>
          <w:szCs w:val="24"/>
        </w:rPr>
        <w:t xml:space="preserve"> because the meaning of that term is unclear. </w:t>
      </w:r>
      <w:r w:rsidR="00EB0262">
        <w:rPr>
          <w:rFonts w:ascii="Arial" w:eastAsia="Times New Roman" w:hAnsi="Arial" w:cs="Arial"/>
          <w:sz w:val="24"/>
          <w:szCs w:val="24"/>
        </w:rPr>
        <w:t>Either a sales agent is a</w:t>
      </w:r>
      <w:r w:rsidR="00B14412">
        <w:rPr>
          <w:rFonts w:ascii="Arial" w:eastAsia="Times New Roman" w:hAnsi="Arial" w:cs="Arial"/>
          <w:sz w:val="24"/>
          <w:szCs w:val="24"/>
        </w:rPr>
        <w:t xml:space="preserve"> direct</w:t>
      </w:r>
      <w:r w:rsidR="00EB0262">
        <w:rPr>
          <w:rFonts w:ascii="Arial" w:eastAsia="Times New Roman" w:hAnsi="Arial" w:cs="Arial"/>
          <w:sz w:val="24"/>
          <w:szCs w:val="24"/>
        </w:rPr>
        <w:t xml:space="preserve"> employee of the CRES or CRNGS supplier or </w:t>
      </w:r>
      <w:r w:rsidR="00570E62">
        <w:rPr>
          <w:rFonts w:ascii="Arial" w:eastAsia="Times New Roman" w:hAnsi="Arial" w:cs="Arial"/>
          <w:sz w:val="24"/>
          <w:szCs w:val="24"/>
        </w:rPr>
        <w:t>they are</w:t>
      </w:r>
      <w:r w:rsidR="00F5242C">
        <w:rPr>
          <w:rFonts w:ascii="Arial" w:eastAsia="Times New Roman" w:hAnsi="Arial" w:cs="Arial"/>
          <w:sz w:val="24"/>
          <w:szCs w:val="24"/>
        </w:rPr>
        <w:t xml:space="preserve"> not. </w:t>
      </w:r>
      <w:r>
        <w:rPr>
          <w:rFonts w:ascii="Arial" w:eastAsia="Times New Roman" w:hAnsi="Arial" w:cs="Arial"/>
          <w:sz w:val="24"/>
          <w:szCs w:val="24"/>
        </w:rPr>
        <w:t xml:space="preserve">Removal of this undefined class of people will avoid any ambiguity in the rules. </w:t>
      </w:r>
    </w:p>
    <w:p w14:paraId="3E078F7F" w14:textId="626E1544" w:rsidR="00D523F6" w:rsidRDefault="0070575C">
      <w:pPr>
        <w:spacing w:after="0" w:line="480" w:lineRule="auto"/>
        <w:jc w:val="both"/>
        <w:textAlignment w:val="baseline"/>
        <w:rPr>
          <w:rFonts w:ascii="Arial" w:eastAsia="Times New Roman" w:hAnsi="Arial" w:cs="Arial"/>
          <w:sz w:val="24"/>
          <w:szCs w:val="24"/>
        </w:rPr>
      </w:pPr>
      <w:r>
        <w:rPr>
          <w:rFonts w:ascii="Arial" w:eastAsia="Times New Roman" w:hAnsi="Arial" w:cs="Arial"/>
          <w:sz w:val="24"/>
          <w:szCs w:val="24"/>
        </w:rPr>
        <w:tab/>
      </w:r>
      <w:r w:rsidR="00DE1132">
        <w:rPr>
          <w:rFonts w:ascii="Arial" w:eastAsia="Times New Roman" w:hAnsi="Arial" w:cs="Arial"/>
          <w:sz w:val="24"/>
          <w:szCs w:val="24"/>
        </w:rPr>
        <w:t>With regards to OCC’s</w:t>
      </w:r>
      <w:r w:rsidR="00485741">
        <w:rPr>
          <w:rFonts w:ascii="Arial" w:eastAsia="Times New Roman" w:hAnsi="Arial" w:cs="Arial"/>
          <w:sz w:val="24"/>
          <w:szCs w:val="24"/>
        </w:rPr>
        <w:t xml:space="preserve"> </w:t>
      </w:r>
      <w:r w:rsidR="00DD47EC">
        <w:rPr>
          <w:rFonts w:ascii="Arial" w:eastAsia="Times New Roman" w:hAnsi="Arial" w:cs="Arial"/>
          <w:sz w:val="24"/>
          <w:szCs w:val="24"/>
        </w:rPr>
        <w:t>specific proposals</w:t>
      </w:r>
      <w:r w:rsidR="00C4692C">
        <w:rPr>
          <w:rFonts w:ascii="Arial" w:eastAsia="Times New Roman" w:hAnsi="Arial" w:cs="Arial"/>
          <w:sz w:val="24"/>
          <w:szCs w:val="24"/>
        </w:rPr>
        <w:t>,</w:t>
      </w:r>
      <w:r w:rsidR="00D523F6" w:rsidRPr="00D523F6">
        <w:rPr>
          <w:rFonts w:ascii="Arial" w:eastAsia="Times New Roman" w:hAnsi="Arial" w:cs="Arial"/>
          <w:sz w:val="24"/>
          <w:szCs w:val="24"/>
        </w:rPr>
        <w:t xml:space="preserve"> </w:t>
      </w:r>
      <w:r w:rsidR="00D523F6">
        <w:rPr>
          <w:rFonts w:ascii="Arial" w:eastAsia="Times New Roman" w:hAnsi="Arial" w:cs="Arial"/>
          <w:sz w:val="24"/>
          <w:szCs w:val="24"/>
        </w:rPr>
        <w:t>IGS supports establishing a requirement that</w:t>
      </w:r>
      <w:r w:rsidR="00D523F6" w:rsidRPr="00934332">
        <w:rPr>
          <w:rFonts w:ascii="Arial" w:eastAsia="Times New Roman" w:hAnsi="Arial" w:cs="Arial"/>
          <w:sz w:val="24"/>
          <w:szCs w:val="24"/>
        </w:rPr>
        <w:t xml:space="preserve"> </w:t>
      </w:r>
      <w:r w:rsidR="00D523F6" w:rsidRPr="0070575C">
        <w:rPr>
          <w:rFonts w:ascii="Arial" w:eastAsia="Times New Roman" w:hAnsi="Arial" w:cs="Arial"/>
          <w:sz w:val="24"/>
          <w:szCs w:val="24"/>
        </w:rPr>
        <w:t>CRES</w:t>
      </w:r>
      <w:r w:rsidR="00D523F6">
        <w:rPr>
          <w:rFonts w:ascii="Arial" w:eastAsia="Times New Roman" w:hAnsi="Arial" w:cs="Arial"/>
          <w:sz w:val="24"/>
          <w:szCs w:val="24"/>
        </w:rPr>
        <w:t xml:space="preserve"> and CRNGS</w:t>
      </w:r>
      <w:r w:rsidR="00D523F6" w:rsidRPr="0070575C">
        <w:rPr>
          <w:rFonts w:ascii="Arial" w:eastAsia="Times New Roman" w:hAnsi="Arial" w:cs="Arial"/>
          <w:sz w:val="24"/>
          <w:szCs w:val="24"/>
        </w:rPr>
        <w:t xml:space="preserve"> </w:t>
      </w:r>
      <w:r w:rsidR="00D523F6">
        <w:rPr>
          <w:rFonts w:ascii="Arial" w:eastAsia="Times New Roman" w:hAnsi="Arial" w:cs="Arial"/>
          <w:sz w:val="24"/>
          <w:szCs w:val="24"/>
        </w:rPr>
        <w:t xml:space="preserve">suppliers must disclose all third-party sales agents employed on their behalf to the </w:t>
      </w:r>
      <w:r w:rsidR="00D523F6" w:rsidRPr="002F671F">
        <w:rPr>
          <w:rFonts w:ascii="Arial" w:eastAsia="Times New Roman" w:hAnsi="Arial" w:cs="Arial"/>
          <w:sz w:val="24"/>
          <w:szCs w:val="24"/>
        </w:rPr>
        <w:t xml:space="preserve">Commission. This will allow the Commission to better track and enforce the current consumer protection rules </w:t>
      </w:r>
      <w:r w:rsidR="00D523F6">
        <w:rPr>
          <w:rFonts w:ascii="Arial" w:eastAsia="Times New Roman" w:hAnsi="Arial" w:cs="Arial"/>
          <w:sz w:val="24"/>
          <w:szCs w:val="24"/>
        </w:rPr>
        <w:t xml:space="preserve">and more </w:t>
      </w:r>
      <w:r w:rsidR="00D523F6" w:rsidRPr="002F671F">
        <w:rPr>
          <w:rFonts w:ascii="Arial" w:eastAsia="Times New Roman" w:hAnsi="Arial" w:cs="Arial"/>
          <w:sz w:val="24"/>
          <w:szCs w:val="24"/>
        </w:rPr>
        <w:t xml:space="preserve">quickly </w:t>
      </w:r>
      <w:r w:rsidR="00D523F6">
        <w:rPr>
          <w:rFonts w:ascii="Arial" w:eastAsia="Times New Roman" w:hAnsi="Arial" w:cs="Arial"/>
          <w:sz w:val="24"/>
          <w:szCs w:val="24"/>
        </w:rPr>
        <w:t>address</w:t>
      </w:r>
      <w:r w:rsidR="00D523F6" w:rsidRPr="002F671F">
        <w:rPr>
          <w:rFonts w:ascii="Arial" w:eastAsia="Times New Roman" w:hAnsi="Arial" w:cs="Arial"/>
          <w:sz w:val="24"/>
          <w:szCs w:val="24"/>
        </w:rPr>
        <w:t xml:space="preserve"> concerns about these third-party agents</w:t>
      </w:r>
      <w:r w:rsidR="00F04CD2">
        <w:rPr>
          <w:rFonts w:ascii="Arial" w:eastAsia="Times New Roman" w:hAnsi="Arial" w:cs="Arial"/>
          <w:sz w:val="24"/>
          <w:szCs w:val="24"/>
        </w:rPr>
        <w:t xml:space="preserve"> with the appropriate supplier</w:t>
      </w:r>
      <w:r w:rsidR="00D523F6" w:rsidRPr="002F671F">
        <w:rPr>
          <w:rFonts w:ascii="Arial" w:eastAsia="Times New Roman" w:hAnsi="Arial" w:cs="Arial"/>
          <w:sz w:val="24"/>
          <w:szCs w:val="24"/>
        </w:rPr>
        <w:t>. However</w:t>
      </w:r>
      <w:r w:rsidR="00D523F6">
        <w:rPr>
          <w:rFonts w:ascii="Arial" w:eastAsia="Times New Roman" w:hAnsi="Arial" w:cs="Arial"/>
          <w:sz w:val="24"/>
          <w:szCs w:val="24"/>
        </w:rPr>
        <w:t xml:space="preserve">, IGS disagrees with OCC’s recommendation to require this to be disclosed to OCC. It is unclear what purpose this would serve. </w:t>
      </w:r>
    </w:p>
    <w:p w14:paraId="55C8CAD7" w14:textId="602D0D32" w:rsidR="00E171E0" w:rsidRPr="000D121D" w:rsidRDefault="00502C8B" w:rsidP="00114477">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lastRenderedPageBreak/>
        <w:t xml:space="preserve">IGS </w:t>
      </w:r>
      <w:r w:rsidR="00681787">
        <w:rPr>
          <w:rFonts w:ascii="Arial" w:eastAsia="Times New Roman" w:hAnsi="Arial" w:cs="Arial"/>
          <w:sz w:val="24"/>
          <w:szCs w:val="24"/>
        </w:rPr>
        <w:t xml:space="preserve">also </w:t>
      </w:r>
      <w:r w:rsidR="00C4692C">
        <w:rPr>
          <w:rFonts w:ascii="Arial" w:eastAsia="Times New Roman" w:hAnsi="Arial" w:cs="Arial"/>
          <w:sz w:val="24"/>
          <w:szCs w:val="24"/>
        </w:rPr>
        <w:t>agrees with OCC’s</w:t>
      </w:r>
      <w:r>
        <w:rPr>
          <w:rFonts w:ascii="Arial" w:eastAsia="Times New Roman" w:hAnsi="Arial" w:cs="Arial"/>
          <w:sz w:val="24"/>
          <w:szCs w:val="24"/>
        </w:rPr>
        <w:t xml:space="preserve"> recommend</w:t>
      </w:r>
      <w:r w:rsidR="00C4692C">
        <w:rPr>
          <w:rFonts w:ascii="Arial" w:eastAsia="Times New Roman" w:hAnsi="Arial" w:cs="Arial"/>
          <w:sz w:val="24"/>
          <w:szCs w:val="24"/>
        </w:rPr>
        <w:t>ation</w:t>
      </w:r>
      <w:r w:rsidR="00114477">
        <w:rPr>
          <w:rFonts w:ascii="Arial" w:eastAsia="Times New Roman" w:hAnsi="Arial" w:cs="Arial"/>
          <w:sz w:val="24"/>
          <w:szCs w:val="24"/>
        </w:rPr>
        <w:t xml:space="preserve">s </w:t>
      </w:r>
      <w:r w:rsidR="0027704A">
        <w:rPr>
          <w:rFonts w:ascii="Arial" w:eastAsia="Times New Roman" w:hAnsi="Arial" w:cs="Arial"/>
          <w:sz w:val="24"/>
          <w:szCs w:val="24"/>
        </w:rPr>
        <w:t>that would h</w:t>
      </w:r>
      <w:r w:rsidR="00114477">
        <w:rPr>
          <w:rFonts w:ascii="Arial" w:eastAsia="Times New Roman" w:hAnsi="Arial" w:cs="Arial"/>
          <w:sz w:val="24"/>
          <w:szCs w:val="24"/>
        </w:rPr>
        <w:t>old CRES and CRNGS suppliers more accountable for the actions of their third-party sales agents.</w:t>
      </w:r>
      <w:r w:rsidR="00D07EC3">
        <w:rPr>
          <w:rFonts w:ascii="Arial" w:eastAsia="Times New Roman" w:hAnsi="Arial" w:cs="Arial"/>
          <w:sz w:val="24"/>
          <w:szCs w:val="24"/>
        </w:rPr>
        <w:t xml:space="preserve"> </w:t>
      </w:r>
      <w:r w:rsidR="0059313C">
        <w:rPr>
          <w:rFonts w:ascii="Arial" w:eastAsia="Times New Roman" w:hAnsi="Arial" w:cs="Arial"/>
          <w:sz w:val="24"/>
          <w:szCs w:val="24"/>
        </w:rPr>
        <w:t>This is consistent with past Commission practice</w:t>
      </w:r>
      <w:r w:rsidR="00F36053">
        <w:rPr>
          <w:rFonts w:ascii="Arial" w:eastAsia="Times New Roman" w:hAnsi="Arial" w:cs="Arial"/>
          <w:sz w:val="24"/>
          <w:szCs w:val="24"/>
        </w:rPr>
        <w:t xml:space="preserve"> and should be codified into the rules</w:t>
      </w:r>
      <w:r w:rsidR="00391535">
        <w:rPr>
          <w:rFonts w:ascii="Arial" w:eastAsia="Times New Roman" w:hAnsi="Arial" w:cs="Arial"/>
          <w:sz w:val="24"/>
          <w:szCs w:val="24"/>
        </w:rPr>
        <w:t xml:space="preserve"> to make it undoubtedly clear to suppliers</w:t>
      </w:r>
      <w:r w:rsidR="00940B3C">
        <w:rPr>
          <w:rFonts w:ascii="Arial" w:eastAsia="Times New Roman" w:hAnsi="Arial" w:cs="Arial"/>
          <w:sz w:val="24"/>
          <w:szCs w:val="24"/>
        </w:rPr>
        <w:t xml:space="preserve"> that they are responsible for the act</w:t>
      </w:r>
      <w:r w:rsidR="005972B4">
        <w:rPr>
          <w:rFonts w:ascii="Arial" w:eastAsia="Times New Roman" w:hAnsi="Arial" w:cs="Arial"/>
          <w:sz w:val="24"/>
          <w:szCs w:val="24"/>
        </w:rPr>
        <w:t>ions</w:t>
      </w:r>
      <w:r w:rsidR="00940B3C">
        <w:rPr>
          <w:rFonts w:ascii="Arial" w:eastAsia="Times New Roman" w:hAnsi="Arial" w:cs="Arial"/>
          <w:sz w:val="24"/>
          <w:szCs w:val="24"/>
        </w:rPr>
        <w:t xml:space="preserve"> and representations of third-party sales</w:t>
      </w:r>
      <w:r w:rsidR="005972B4">
        <w:rPr>
          <w:rFonts w:ascii="Arial" w:eastAsia="Times New Roman" w:hAnsi="Arial" w:cs="Arial"/>
          <w:sz w:val="24"/>
          <w:szCs w:val="24"/>
        </w:rPr>
        <w:t xml:space="preserve"> agents acting on their behalf</w:t>
      </w:r>
      <w:r w:rsidR="0059313C">
        <w:rPr>
          <w:rFonts w:ascii="Arial" w:eastAsia="Times New Roman" w:hAnsi="Arial" w:cs="Arial"/>
          <w:sz w:val="24"/>
          <w:szCs w:val="24"/>
        </w:rPr>
        <w:t>.</w:t>
      </w:r>
      <w:r w:rsidR="0059313C">
        <w:rPr>
          <w:rStyle w:val="FootnoteReference"/>
          <w:rFonts w:ascii="Arial" w:eastAsia="Times New Roman" w:hAnsi="Arial" w:cs="Arial"/>
          <w:sz w:val="24"/>
          <w:szCs w:val="24"/>
        </w:rPr>
        <w:footnoteReference w:id="31"/>
      </w:r>
      <w:r w:rsidR="0059784F">
        <w:rPr>
          <w:rFonts w:ascii="Arial" w:eastAsia="Times New Roman" w:hAnsi="Arial" w:cs="Arial"/>
          <w:sz w:val="24"/>
          <w:szCs w:val="24"/>
        </w:rPr>
        <w:t xml:space="preserve"> </w:t>
      </w:r>
      <w:r w:rsidR="0065075F">
        <w:rPr>
          <w:rFonts w:ascii="Arial" w:eastAsia="Times New Roman" w:hAnsi="Arial" w:cs="Arial"/>
          <w:sz w:val="24"/>
          <w:szCs w:val="24"/>
        </w:rPr>
        <w:t>It should</w:t>
      </w:r>
      <w:r w:rsidR="0059784F">
        <w:rPr>
          <w:rFonts w:ascii="Arial" w:eastAsia="Times New Roman" w:hAnsi="Arial" w:cs="Arial"/>
          <w:sz w:val="24"/>
          <w:szCs w:val="24"/>
        </w:rPr>
        <w:t xml:space="preserve"> explicit</w:t>
      </w:r>
      <w:r w:rsidR="0065075F">
        <w:rPr>
          <w:rFonts w:ascii="Arial" w:eastAsia="Times New Roman" w:hAnsi="Arial" w:cs="Arial"/>
          <w:sz w:val="24"/>
          <w:szCs w:val="24"/>
        </w:rPr>
        <w:t>ly state</w:t>
      </w:r>
      <w:r w:rsidR="0059784F">
        <w:rPr>
          <w:rFonts w:ascii="Arial" w:eastAsia="Times New Roman" w:hAnsi="Arial" w:cs="Arial"/>
          <w:sz w:val="24"/>
          <w:szCs w:val="24"/>
        </w:rPr>
        <w:t xml:space="preserve"> in the rules</w:t>
      </w:r>
      <w:r>
        <w:rPr>
          <w:rFonts w:ascii="Arial" w:eastAsia="Times New Roman" w:hAnsi="Arial" w:cs="Arial"/>
          <w:sz w:val="24"/>
          <w:szCs w:val="24"/>
        </w:rPr>
        <w:t xml:space="preserve"> that</w:t>
      </w:r>
      <w:r w:rsidR="0059784F">
        <w:rPr>
          <w:rFonts w:ascii="Arial" w:eastAsia="Times New Roman" w:hAnsi="Arial" w:cs="Arial"/>
          <w:sz w:val="24"/>
          <w:szCs w:val="24"/>
        </w:rPr>
        <w:t xml:space="preserve"> a</w:t>
      </w:r>
      <w:r>
        <w:rPr>
          <w:rFonts w:ascii="Arial" w:eastAsia="Times New Roman" w:hAnsi="Arial" w:cs="Arial"/>
          <w:sz w:val="24"/>
          <w:szCs w:val="24"/>
        </w:rPr>
        <w:t xml:space="preserve"> </w:t>
      </w:r>
      <w:r w:rsidR="0070575C" w:rsidRPr="0070575C">
        <w:rPr>
          <w:rFonts w:ascii="Arial" w:eastAsia="Times New Roman" w:hAnsi="Arial" w:cs="Arial"/>
          <w:sz w:val="24"/>
          <w:szCs w:val="24"/>
        </w:rPr>
        <w:t>CRES</w:t>
      </w:r>
      <w:r w:rsidR="0059784F">
        <w:rPr>
          <w:rFonts w:ascii="Arial" w:eastAsia="Times New Roman" w:hAnsi="Arial" w:cs="Arial"/>
          <w:sz w:val="24"/>
          <w:szCs w:val="24"/>
        </w:rPr>
        <w:t xml:space="preserve"> or CRNGS</w:t>
      </w:r>
      <w:r w:rsidR="0070575C" w:rsidRPr="0070575C">
        <w:rPr>
          <w:rFonts w:ascii="Arial" w:eastAsia="Times New Roman" w:hAnsi="Arial" w:cs="Arial"/>
          <w:sz w:val="24"/>
          <w:szCs w:val="24"/>
        </w:rPr>
        <w:t xml:space="preserve"> </w:t>
      </w:r>
      <w:r w:rsidR="0059784F">
        <w:rPr>
          <w:rFonts w:ascii="Arial" w:eastAsia="Times New Roman" w:hAnsi="Arial" w:cs="Arial"/>
          <w:sz w:val="24"/>
          <w:szCs w:val="24"/>
        </w:rPr>
        <w:t>supplier</w:t>
      </w:r>
      <w:r w:rsidR="0070575C" w:rsidRPr="0070575C">
        <w:rPr>
          <w:rFonts w:ascii="Arial" w:eastAsia="Times New Roman" w:hAnsi="Arial" w:cs="Arial"/>
          <w:sz w:val="24"/>
          <w:szCs w:val="24"/>
        </w:rPr>
        <w:t xml:space="preserve"> </w:t>
      </w:r>
      <w:r w:rsidR="00095B6C">
        <w:rPr>
          <w:rFonts w:ascii="Arial" w:eastAsia="Times New Roman" w:hAnsi="Arial" w:cs="Arial"/>
          <w:sz w:val="24"/>
          <w:szCs w:val="24"/>
        </w:rPr>
        <w:t>is</w:t>
      </w:r>
      <w:r w:rsidR="0070575C" w:rsidRPr="0070575C">
        <w:rPr>
          <w:rFonts w:ascii="Arial" w:eastAsia="Times New Roman" w:hAnsi="Arial" w:cs="Arial"/>
          <w:sz w:val="24"/>
          <w:szCs w:val="24"/>
        </w:rPr>
        <w:t xml:space="preserve"> responsible for the acts and omissions of third-party sales agents in soliciting and marketing competitive energy services to consumers. </w:t>
      </w:r>
      <w:r w:rsidR="00E064B7" w:rsidRPr="0070575C">
        <w:rPr>
          <w:rFonts w:ascii="Arial" w:eastAsia="Times New Roman" w:hAnsi="Arial" w:cs="Arial"/>
          <w:sz w:val="24"/>
          <w:szCs w:val="24"/>
        </w:rPr>
        <w:t>CRES</w:t>
      </w:r>
      <w:r w:rsidR="00E064B7">
        <w:rPr>
          <w:rFonts w:ascii="Arial" w:eastAsia="Times New Roman" w:hAnsi="Arial" w:cs="Arial"/>
          <w:sz w:val="24"/>
          <w:szCs w:val="24"/>
        </w:rPr>
        <w:t xml:space="preserve"> and CRNGS</w:t>
      </w:r>
      <w:r w:rsidR="00E064B7" w:rsidRPr="0070575C">
        <w:rPr>
          <w:rFonts w:ascii="Arial" w:eastAsia="Times New Roman" w:hAnsi="Arial" w:cs="Arial"/>
          <w:sz w:val="24"/>
          <w:szCs w:val="24"/>
        </w:rPr>
        <w:t xml:space="preserve"> </w:t>
      </w:r>
      <w:r w:rsidR="00E064B7">
        <w:rPr>
          <w:rFonts w:ascii="Arial" w:eastAsia="Times New Roman" w:hAnsi="Arial" w:cs="Arial"/>
          <w:sz w:val="24"/>
          <w:szCs w:val="24"/>
        </w:rPr>
        <w:t>suppliers</w:t>
      </w:r>
      <w:r w:rsidR="00E064B7" w:rsidRPr="0070575C">
        <w:rPr>
          <w:rFonts w:ascii="Arial" w:eastAsia="Times New Roman" w:hAnsi="Arial" w:cs="Arial"/>
          <w:sz w:val="24"/>
          <w:szCs w:val="24"/>
        </w:rPr>
        <w:t xml:space="preserve"> </w:t>
      </w:r>
      <w:r w:rsidR="00B3381F" w:rsidRPr="000D121D">
        <w:rPr>
          <w:rFonts w:ascii="Arial" w:hAnsi="Arial" w:cs="Arial"/>
          <w:sz w:val="24"/>
          <w:szCs w:val="24"/>
        </w:rPr>
        <w:t xml:space="preserve">should </w:t>
      </w:r>
      <w:r w:rsidR="00E064B7">
        <w:rPr>
          <w:rFonts w:ascii="Arial" w:hAnsi="Arial" w:cs="Arial"/>
          <w:sz w:val="24"/>
          <w:szCs w:val="24"/>
        </w:rPr>
        <w:t xml:space="preserve">also </w:t>
      </w:r>
      <w:r w:rsidR="00B3381F" w:rsidRPr="000D121D">
        <w:rPr>
          <w:rFonts w:ascii="Arial" w:hAnsi="Arial" w:cs="Arial"/>
          <w:sz w:val="24"/>
          <w:szCs w:val="24"/>
        </w:rPr>
        <w:t>be required to</w:t>
      </w:r>
      <w:r w:rsidR="00BE2722" w:rsidRPr="000D121D">
        <w:rPr>
          <w:rFonts w:ascii="Arial" w:hAnsi="Arial" w:cs="Arial"/>
          <w:sz w:val="24"/>
          <w:szCs w:val="24"/>
        </w:rPr>
        <w:t xml:space="preserve"> directly train third-party sales agents regarding proper solicitation and marketing practices and compliance with Ohio law and the Commission’s </w:t>
      </w:r>
      <w:r w:rsidR="00BE2722" w:rsidRPr="002D03DE">
        <w:rPr>
          <w:rFonts w:ascii="Arial" w:hAnsi="Arial" w:cs="Arial"/>
          <w:sz w:val="24"/>
          <w:szCs w:val="24"/>
        </w:rPr>
        <w:t>rules.</w:t>
      </w:r>
      <w:r w:rsidR="00F225D9" w:rsidRPr="002D03DE">
        <w:rPr>
          <w:rFonts w:ascii="Arial" w:hAnsi="Arial" w:cs="Arial"/>
          <w:sz w:val="24"/>
          <w:szCs w:val="24"/>
        </w:rPr>
        <w:t xml:space="preserve"> </w:t>
      </w:r>
      <w:r w:rsidR="00DC4908">
        <w:rPr>
          <w:rFonts w:ascii="Arial" w:eastAsia="Times New Roman" w:hAnsi="Arial" w:cs="Arial"/>
          <w:sz w:val="24"/>
          <w:szCs w:val="24"/>
        </w:rPr>
        <w:t>A</w:t>
      </w:r>
      <w:r w:rsidR="00DC4908" w:rsidRPr="0070575C">
        <w:rPr>
          <w:rFonts w:ascii="Arial" w:eastAsia="Times New Roman" w:hAnsi="Arial" w:cs="Arial"/>
          <w:sz w:val="24"/>
          <w:szCs w:val="24"/>
        </w:rPr>
        <w:t xml:space="preserve"> </w:t>
      </w:r>
      <w:r w:rsidR="00DC4908">
        <w:rPr>
          <w:rFonts w:ascii="Arial" w:eastAsia="Times New Roman" w:hAnsi="Arial" w:cs="Arial"/>
          <w:sz w:val="24"/>
          <w:szCs w:val="24"/>
        </w:rPr>
        <w:t>supplier</w:t>
      </w:r>
      <w:r w:rsidR="00DC4908" w:rsidRPr="0070575C">
        <w:rPr>
          <w:rFonts w:ascii="Arial" w:eastAsia="Times New Roman" w:hAnsi="Arial" w:cs="Arial"/>
          <w:sz w:val="24"/>
          <w:szCs w:val="24"/>
        </w:rPr>
        <w:t xml:space="preserve"> should not be able to avoid responsibility for unfair and deceptive marketing and solicitation practices simply because the sales agent is not a direct employee.</w:t>
      </w:r>
      <w:r w:rsidR="00377503">
        <w:rPr>
          <w:rFonts w:ascii="Arial" w:eastAsia="Times New Roman" w:hAnsi="Arial" w:cs="Arial"/>
          <w:sz w:val="24"/>
          <w:szCs w:val="24"/>
        </w:rPr>
        <w:t xml:space="preserve"> </w:t>
      </w:r>
    </w:p>
    <w:p w14:paraId="4CD3A48C" w14:textId="22F4FCD0" w:rsidR="007351DC" w:rsidRPr="006308A0" w:rsidRDefault="007351DC" w:rsidP="007351DC">
      <w:pPr>
        <w:pStyle w:val="Heading2"/>
      </w:pPr>
      <w:bookmarkStart w:id="21" w:name="_Toc85784656"/>
      <w:bookmarkStart w:id="22" w:name="_Toc85784998"/>
      <w:r w:rsidRPr="006308A0">
        <w:t xml:space="preserve">Arbitrarily limiting the </w:t>
      </w:r>
      <w:proofErr w:type="gramStart"/>
      <w:r w:rsidR="00D70A91" w:rsidRPr="006308A0">
        <w:t>amount</w:t>
      </w:r>
      <w:proofErr w:type="gramEnd"/>
      <w:r w:rsidR="00D70A91" w:rsidRPr="006308A0">
        <w:t xml:space="preserve"> a CRES or CRNGS supplier </w:t>
      </w:r>
      <w:r w:rsidR="00D45F5D" w:rsidRPr="006308A0">
        <w:t xml:space="preserve">may charge </w:t>
      </w:r>
      <w:r w:rsidR="008C2930" w:rsidRPr="006308A0">
        <w:t>as an early termination fee will harm the competitive market.</w:t>
      </w:r>
      <w:bookmarkEnd w:id="21"/>
      <w:bookmarkEnd w:id="22"/>
      <w:r w:rsidR="008C2930" w:rsidRPr="006308A0">
        <w:t xml:space="preserve"> </w:t>
      </w:r>
    </w:p>
    <w:p w14:paraId="4ADA710C" w14:textId="77777777" w:rsidR="00453F8E" w:rsidRDefault="00CB4600" w:rsidP="00453F8E">
      <w:pPr>
        <w:spacing w:after="0" w:line="480" w:lineRule="auto"/>
        <w:ind w:firstLine="720"/>
        <w:jc w:val="both"/>
        <w:rPr>
          <w:rFonts w:ascii="Arial" w:hAnsi="Arial" w:cs="Arial"/>
          <w:sz w:val="24"/>
          <w:szCs w:val="24"/>
        </w:rPr>
      </w:pPr>
      <w:r w:rsidRPr="006308A0">
        <w:rPr>
          <w:rFonts w:ascii="Arial" w:hAnsi="Arial" w:cs="Arial"/>
          <w:sz w:val="24"/>
          <w:szCs w:val="24"/>
        </w:rPr>
        <w:t>OCC proposes an addition to the rules that would cap all residential early termination fees at $25.00 regardless of length, complexity, environmental attributes, or other elements of the contract.</w:t>
      </w:r>
      <w:r w:rsidR="00E123D8" w:rsidRPr="006308A0">
        <w:rPr>
          <w:rStyle w:val="FootnoteReference"/>
          <w:rFonts w:ascii="Arial" w:hAnsi="Arial" w:cs="Arial"/>
          <w:sz w:val="24"/>
          <w:szCs w:val="24"/>
        </w:rPr>
        <w:footnoteReference w:id="32"/>
      </w:r>
      <w:r w:rsidRPr="006308A0">
        <w:rPr>
          <w:rFonts w:ascii="Arial" w:hAnsi="Arial" w:cs="Arial"/>
          <w:sz w:val="24"/>
          <w:szCs w:val="24"/>
        </w:rPr>
        <w:t xml:space="preserve"> </w:t>
      </w:r>
      <w:r w:rsidR="00453F8E">
        <w:rPr>
          <w:rFonts w:ascii="Arial" w:hAnsi="Arial" w:cs="Arial"/>
          <w:sz w:val="24"/>
          <w:szCs w:val="24"/>
        </w:rPr>
        <w:t xml:space="preserve">This should be rejected. </w:t>
      </w:r>
    </w:p>
    <w:p w14:paraId="01FE5EEC" w14:textId="20A512FF" w:rsidR="00ED7779" w:rsidRPr="00E7077D" w:rsidRDefault="00CB4600" w:rsidP="00453F8E">
      <w:pPr>
        <w:spacing w:after="0" w:line="480" w:lineRule="auto"/>
        <w:ind w:firstLine="720"/>
        <w:jc w:val="both"/>
        <w:rPr>
          <w:rFonts w:ascii="Arial" w:hAnsi="Arial" w:cs="Arial"/>
          <w:sz w:val="24"/>
          <w:szCs w:val="24"/>
        </w:rPr>
      </w:pPr>
      <w:r w:rsidRPr="006308A0">
        <w:rPr>
          <w:rFonts w:ascii="Arial" w:hAnsi="Arial" w:cs="Arial"/>
          <w:sz w:val="24"/>
          <w:szCs w:val="24"/>
        </w:rPr>
        <w:t xml:space="preserve">OCC’s proposal to add an arbitrary cap </w:t>
      </w:r>
      <w:r w:rsidR="00CC105F">
        <w:rPr>
          <w:rFonts w:ascii="Arial" w:hAnsi="Arial" w:cs="Arial"/>
          <w:sz w:val="24"/>
          <w:szCs w:val="24"/>
        </w:rPr>
        <w:t xml:space="preserve">on </w:t>
      </w:r>
      <w:r w:rsidRPr="006308A0">
        <w:rPr>
          <w:rFonts w:ascii="Arial" w:hAnsi="Arial" w:cs="Arial"/>
          <w:sz w:val="24"/>
          <w:szCs w:val="24"/>
        </w:rPr>
        <w:t xml:space="preserve">all residential supply contracts could severely limit the ability of CRES and CRNGS suppliers to offer many types of products, </w:t>
      </w:r>
      <w:r w:rsidR="005972B4">
        <w:rPr>
          <w:rFonts w:ascii="Arial" w:hAnsi="Arial" w:cs="Arial"/>
          <w:sz w:val="24"/>
          <w:szCs w:val="24"/>
        </w:rPr>
        <w:t xml:space="preserve">especially </w:t>
      </w:r>
      <w:r w:rsidRPr="006308A0">
        <w:rPr>
          <w:rFonts w:ascii="Arial" w:hAnsi="Arial" w:cs="Arial"/>
          <w:sz w:val="24"/>
          <w:szCs w:val="24"/>
        </w:rPr>
        <w:t>long-term fixed rate products.</w:t>
      </w:r>
      <w:r w:rsidR="001150DD">
        <w:rPr>
          <w:rFonts w:ascii="Arial" w:hAnsi="Arial" w:cs="Arial"/>
          <w:sz w:val="24"/>
          <w:szCs w:val="24"/>
        </w:rPr>
        <w:t xml:space="preserve"> </w:t>
      </w:r>
      <w:r w:rsidR="009E5051">
        <w:rPr>
          <w:rFonts w:ascii="Arial" w:hAnsi="Arial" w:cs="Arial"/>
          <w:sz w:val="24"/>
          <w:szCs w:val="24"/>
        </w:rPr>
        <w:t>For example,</w:t>
      </w:r>
      <w:r w:rsidR="001150DD">
        <w:rPr>
          <w:rFonts w:ascii="Arial" w:hAnsi="Arial" w:cs="Arial"/>
          <w:sz w:val="24"/>
          <w:szCs w:val="24"/>
        </w:rPr>
        <w:t xml:space="preserve"> IGS</w:t>
      </w:r>
      <w:r w:rsidR="009E5051">
        <w:rPr>
          <w:rFonts w:ascii="Arial" w:hAnsi="Arial" w:cs="Arial"/>
          <w:sz w:val="24"/>
          <w:szCs w:val="24"/>
        </w:rPr>
        <w:t xml:space="preserve"> currently</w:t>
      </w:r>
      <w:r w:rsidR="001150DD">
        <w:rPr>
          <w:rFonts w:ascii="Arial" w:hAnsi="Arial" w:cs="Arial"/>
          <w:sz w:val="24"/>
          <w:szCs w:val="24"/>
        </w:rPr>
        <w:t xml:space="preserve"> offers </w:t>
      </w:r>
      <w:r w:rsidR="009E5051">
        <w:rPr>
          <w:rFonts w:ascii="Arial" w:hAnsi="Arial" w:cs="Arial"/>
          <w:sz w:val="24"/>
          <w:szCs w:val="24"/>
        </w:rPr>
        <w:t>fixed rate natural gas products with durations stretching up to 5 years from the date of</w:t>
      </w:r>
      <w:r w:rsidR="00C13524">
        <w:rPr>
          <w:rFonts w:ascii="Arial" w:hAnsi="Arial" w:cs="Arial"/>
          <w:sz w:val="24"/>
          <w:szCs w:val="24"/>
        </w:rPr>
        <w:t xml:space="preserve"> contract</w:t>
      </w:r>
      <w:r w:rsidR="009E5051">
        <w:rPr>
          <w:rFonts w:ascii="Arial" w:hAnsi="Arial" w:cs="Arial"/>
          <w:sz w:val="24"/>
          <w:szCs w:val="24"/>
        </w:rPr>
        <w:t xml:space="preserve"> </w:t>
      </w:r>
      <w:r w:rsidR="009E5051">
        <w:rPr>
          <w:rFonts w:ascii="Arial" w:hAnsi="Arial" w:cs="Arial"/>
          <w:sz w:val="24"/>
          <w:szCs w:val="24"/>
        </w:rPr>
        <w:lastRenderedPageBreak/>
        <w:t>execution.</w:t>
      </w:r>
      <w:r w:rsidRPr="006308A0">
        <w:rPr>
          <w:rFonts w:ascii="Arial" w:hAnsi="Arial" w:cs="Arial"/>
          <w:sz w:val="24"/>
          <w:szCs w:val="24"/>
        </w:rPr>
        <w:t xml:space="preserve"> </w:t>
      </w:r>
      <w:r w:rsidR="00CC105F">
        <w:rPr>
          <w:rFonts w:ascii="Arial" w:hAnsi="Arial" w:cs="Arial"/>
          <w:sz w:val="24"/>
          <w:szCs w:val="24"/>
        </w:rPr>
        <w:t>When IGS enters into a</w:t>
      </w:r>
      <w:r w:rsidR="00D10626">
        <w:rPr>
          <w:rFonts w:ascii="Arial" w:hAnsi="Arial" w:cs="Arial"/>
          <w:sz w:val="24"/>
          <w:szCs w:val="24"/>
        </w:rPr>
        <w:t xml:space="preserve"> f</w:t>
      </w:r>
      <w:r w:rsidR="00B36D00">
        <w:rPr>
          <w:rFonts w:ascii="Arial" w:hAnsi="Arial" w:cs="Arial"/>
          <w:sz w:val="24"/>
          <w:szCs w:val="24"/>
        </w:rPr>
        <w:t>ixed</w:t>
      </w:r>
      <w:r w:rsidR="00CC105F">
        <w:rPr>
          <w:rFonts w:ascii="Arial" w:hAnsi="Arial" w:cs="Arial"/>
          <w:sz w:val="24"/>
          <w:szCs w:val="24"/>
        </w:rPr>
        <w:t xml:space="preserve"> agreement with a customer, it must purchase the </w:t>
      </w:r>
      <w:r w:rsidR="00C42D03">
        <w:rPr>
          <w:rFonts w:ascii="Arial" w:hAnsi="Arial" w:cs="Arial"/>
          <w:sz w:val="24"/>
          <w:szCs w:val="24"/>
        </w:rPr>
        <w:t>electricity or gas</w:t>
      </w:r>
      <w:r w:rsidR="00CC105F">
        <w:rPr>
          <w:rFonts w:ascii="Arial" w:hAnsi="Arial" w:cs="Arial"/>
          <w:sz w:val="24"/>
          <w:szCs w:val="24"/>
        </w:rPr>
        <w:t xml:space="preserve"> </w:t>
      </w:r>
      <w:r w:rsidR="00625684">
        <w:rPr>
          <w:rFonts w:ascii="Arial" w:hAnsi="Arial" w:cs="Arial"/>
          <w:sz w:val="24"/>
          <w:szCs w:val="24"/>
        </w:rPr>
        <w:t xml:space="preserve">required to serve that customer. </w:t>
      </w:r>
      <w:proofErr w:type="gramStart"/>
      <w:r w:rsidR="00625684">
        <w:rPr>
          <w:rFonts w:ascii="Arial" w:hAnsi="Arial" w:cs="Arial"/>
          <w:sz w:val="24"/>
          <w:szCs w:val="24"/>
        </w:rPr>
        <w:t>In order to</w:t>
      </w:r>
      <w:proofErr w:type="gramEnd"/>
      <w:r w:rsidR="00625684">
        <w:rPr>
          <w:rFonts w:ascii="Arial" w:hAnsi="Arial" w:cs="Arial"/>
          <w:sz w:val="24"/>
          <w:szCs w:val="24"/>
        </w:rPr>
        <w:t xml:space="preserve"> provide the customer with the best rate, IGS purchases </w:t>
      </w:r>
      <w:r w:rsidR="00C42D03">
        <w:rPr>
          <w:rFonts w:ascii="Arial" w:hAnsi="Arial" w:cs="Arial"/>
          <w:sz w:val="24"/>
          <w:szCs w:val="24"/>
        </w:rPr>
        <w:t xml:space="preserve">the </w:t>
      </w:r>
      <w:r w:rsidR="00C54D4F">
        <w:rPr>
          <w:rFonts w:ascii="Arial" w:hAnsi="Arial" w:cs="Arial"/>
          <w:sz w:val="24"/>
          <w:szCs w:val="24"/>
        </w:rPr>
        <w:t>necessary supply</w:t>
      </w:r>
      <w:r w:rsidR="000150F6">
        <w:rPr>
          <w:rFonts w:ascii="Arial" w:hAnsi="Arial" w:cs="Arial"/>
          <w:sz w:val="24"/>
          <w:szCs w:val="24"/>
        </w:rPr>
        <w:t xml:space="preserve"> for the customer</w:t>
      </w:r>
      <w:r w:rsidR="00C54D4F">
        <w:rPr>
          <w:rFonts w:ascii="Arial" w:hAnsi="Arial" w:cs="Arial"/>
          <w:sz w:val="24"/>
          <w:szCs w:val="24"/>
        </w:rPr>
        <w:t xml:space="preserve"> </w:t>
      </w:r>
      <w:r w:rsidR="00C42D03">
        <w:rPr>
          <w:rFonts w:ascii="Arial" w:hAnsi="Arial" w:cs="Arial"/>
          <w:sz w:val="24"/>
          <w:szCs w:val="24"/>
        </w:rPr>
        <w:t>well in advance</w:t>
      </w:r>
      <w:r w:rsidR="000150F6">
        <w:rPr>
          <w:rFonts w:ascii="Arial" w:hAnsi="Arial" w:cs="Arial"/>
          <w:sz w:val="24"/>
          <w:szCs w:val="24"/>
        </w:rPr>
        <w:t>,</w:t>
      </w:r>
      <w:r w:rsidR="00A07335">
        <w:rPr>
          <w:rFonts w:ascii="Arial" w:hAnsi="Arial" w:cs="Arial"/>
          <w:sz w:val="24"/>
          <w:szCs w:val="24"/>
        </w:rPr>
        <w:t xml:space="preserve"> </w:t>
      </w:r>
      <w:r w:rsidR="00FD4EA8">
        <w:rPr>
          <w:rFonts w:ascii="Arial" w:hAnsi="Arial" w:cs="Arial"/>
          <w:sz w:val="24"/>
          <w:szCs w:val="24"/>
        </w:rPr>
        <w:t xml:space="preserve">which can </w:t>
      </w:r>
      <w:r w:rsidR="00A07335">
        <w:rPr>
          <w:rFonts w:ascii="Arial" w:hAnsi="Arial" w:cs="Arial"/>
          <w:sz w:val="24"/>
          <w:szCs w:val="24"/>
        </w:rPr>
        <w:t xml:space="preserve">sometimes </w:t>
      </w:r>
      <w:r w:rsidR="00FD4EA8">
        <w:rPr>
          <w:rFonts w:ascii="Arial" w:hAnsi="Arial" w:cs="Arial"/>
          <w:sz w:val="24"/>
          <w:szCs w:val="24"/>
        </w:rPr>
        <w:t xml:space="preserve">be </w:t>
      </w:r>
      <w:r w:rsidR="00A07335">
        <w:rPr>
          <w:rFonts w:ascii="Arial" w:hAnsi="Arial" w:cs="Arial"/>
          <w:sz w:val="24"/>
          <w:szCs w:val="24"/>
        </w:rPr>
        <w:t>years into the future</w:t>
      </w:r>
      <w:r w:rsidR="00FD4EA8">
        <w:rPr>
          <w:rFonts w:ascii="Arial" w:hAnsi="Arial" w:cs="Arial"/>
          <w:sz w:val="24"/>
          <w:szCs w:val="24"/>
        </w:rPr>
        <w:t xml:space="preserve"> </w:t>
      </w:r>
      <w:r w:rsidR="00EC5C06">
        <w:rPr>
          <w:rFonts w:ascii="Arial" w:hAnsi="Arial" w:cs="Arial"/>
          <w:sz w:val="24"/>
          <w:szCs w:val="24"/>
        </w:rPr>
        <w:t>depending on the length of the</w:t>
      </w:r>
      <w:r w:rsidR="00FD4EA8">
        <w:rPr>
          <w:rFonts w:ascii="Arial" w:hAnsi="Arial" w:cs="Arial"/>
          <w:sz w:val="24"/>
          <w:szCs w:val="24"/>
        </w:rPr>
        <w:t xml:space="preserve"> contract.</w:t>
      </w:r>
      <w:r w:rsidR="003F3380">
        <w:rPr>
          <w:rFonts w:ascii="Arial" w:hAnsi="Arial" w:cs="Arial"/>
          <w:sz w:val="24"/>
          <w:szCs w:val="24"/>
        </w:rPr>
        <w:t xml:space="preserve"> </w:t>
      </w:r>
      <w:r w:rsidR="00F3309F">
        <w:rPr>
          <w:rFonts w:ascii="Arial" w:hAnsi="Arial" w:cs="Arial"/>
          <w:sz w:val="24"/>
          <w:szCs w:val="24"/>
        </w:rPr>
        <w:t xml:space="preserve">If IGS was bound by </w:t>
      </w:r>
      <w:r w:rsidR="003F3380">
        <w:rPr>
          <w:rFonts w:ascii="Arial" w:hAnsi="Arial" w:cs="Arial"/>
          <w:sz w:val="24"/>
          <w:szCs w:val="24"/>
        </w:rPr>
        <w:t xml:space="preserve">OCC’s </w:t>
      </w:r>
      <w:r w:rsidR="00AC591E">
        <w:rPr>
          <w:rFonts w:ascii="Arial" w:hAnsi="Arial" w:cs="Arial"/>
          <w:sz w:val="24"/>
          <w:szCs w:val="24"/>
        </w:rPr>
        <w:t>arbitrary limitation</w:t>
      </w:r>
      <w:r w:rsidR="003F3380">
        <w:rPr>
          <w:rFonts w:ascii="Arial" w:hAnsi="Arial" w:cs="Arial"/>
          <w:sz w:val="24"/>
          <w:szCs w:val="24"/>
        </w:rPr>
        <w:t xml:space="preserve"> </w:t>
      </w:r>
      <w:r w:rsidR="00994404">
        <w:rPr>
          <w:rFonts w:ascii="Arial" w:hAnsi="Arial" w:cs="Arial"/>
          <w:sz w:val="24"/>
          <w:szCs w:val="24"/>
        </w:rPr>
        <w:t xml:space="preserve">that </w:t>
      </w:r>
      <w:r w:rsidR="003F3380">
        <w:rPr>
          <w:rFonts w:ascii="Arial" w:hAnsi="Arial" w:cs="Arial"/>
          <w:sz w:val="24"/>
          <w:szCs w:val="24"/>
        </w:rPr>
        <w:t>has no relation to the actual</w:t>
      </w:r>
      <w:r w:rsidR="006C1255">
        <w:rPr>
          <w:rFonts w:ascii="Arial" w:hAnsi="Arial" w:cs="Arial"/>
          <w:sz w:val="24"/>
          <w:szCs w:val="24"/>
        </w:rPr>
        <w:t xml:space="preserve"> economic</w:t>
      </w:r>
      <w:r w:rsidR="003F3380">
        <w:rPr>
          <w:rFonts w:ascii="Arial" w:hAnsi="Arial" w:cs="Arial"/>
          <w:sz w:val="24"/>
          <w:szCs w:val="24"/>
        </w:rPr>
        <w:t xml:space="preserve"> loss incurred by the </w:t>
      </w:r>
      <w:r w:rsidR="00E5150A">
        <w:rPr>
          <w:rFonts w:ascii="Arial" w:hAnsi="Arial" w:cs="Arial"/>
          <w:sz w:val="24"/>
          <w:szCs w:val="24"/>
        </w:rPr>
        <w:t>energy provider when a customer terminates a contract early</w:t>
      </w:r>
      <w:r w:rsidR="00994404">
        <w:rPr>
          <w:rFonts w:ascii="Arial" w:hAnsi="Arial" w:cs="Arial"/>
          <w:sz w:val="24"/>
          <w:szCs w:val="24"/>
        </w:rPr>
        <w:t xml:space="preserve">, </w:t>
      </w:r>
      <w:r w:rsidR="001C2FD9">
        <w:rPr>
          <w:rFonts w:ascii="Arial" w:hAnsi="Arial" w:cs="Arial"/>
          <w:sz w:val="24"/>
          <w:szCs w:val="24"/>
        </w:rPr>
        <w:t>it would</w:t>
      </w:r>
      <w:r w:rsidR="00130234">
        <w:rPr>
          <w:rFonts w:ascii="Arial" w:hAnsi="Arial" w:cs="Arial"/>
          <w:sz w:val="24"/>
          <w:szCs w:val="24"/>
        </w:rPr>
        <w:t xml:space="preserve"> </w:t>
      </w:r>
      <w:r w:rsidR="00D441E8">
        <w:rPr>
          <w:rFonts w:ascii="Arial" w:hAnsi="Arial" w:cs="Arial"/>
          <w:sz w:val="24"/>
          <w:szCs w:val="24"/>
        </w:rPr>
        <w:t>inhibit IGS’s</w:t>
      </w:r>
      <w:r w:rsidR="00130234">
        <w:rPr>
          <w:rFonts w:ascii="Arial" w:hAnsi="Arial" w:cs="Arial"/>
          <w:sz w:val="24"/>
          <w:szCs w:val="24"/>
        </w:rPr>
        <w:t xml:space="preserve"> ability </w:t>
      </w:r>
      <w:r w:rsidR="00D441E8">
        <w:rPr>
          <w:rFonts w:ascii="Arial" w:hAnsi="Arial" w:cs="Arial"/>
          <w:sz w:val="24"/>
          <w:szCs w:val="24"/>
        </w:rPr>
        <w:t xml:space="preserve">to offer </w:t>
      </w:r>
      <w:r w:rsidR="00F81BC0">
        <w:rPr>
          <w:rFonts w:ascii="Arial" w:hAnsi="Arial" w:cs="Arial"/>
          <w:sz w:val="24"/>
          <w:szCs w:val="24"/>
        </w:rPr>
        <w:t>products with such long-term certainty</w:t>
      </w:r>
      <w:r w:rsidR="00E5150A">
        <w:rPr>
          <w:rFonts w:ascii="Arial" w:hAnsi="Arial" w:cs="Arial"/>
          <w:sz w:val="24"/>
          <w:szCs w:val="24"/>
        </w:rPr>
        <w:t>.</w:t>
      </w:r>
      <w:r w:rsidR="00625684">
        <w:rPr>
          <w:rFonts w:ascii="Arial" w:hAnsi="Arial" w:cs="Arial"/>
          <w:sz w:val="24"/>
          <w:szCs w:val="24"/>
        </w:rPr>
        <w:t xml:space="preserve"> </w:t>
      </w:r>
      <w:r w:rsidRPr="006308A0">
        <w:rPr>
          <w:rFonts w:ascii="Arial" w:hAnsi="Arial" w:cs="Arial"/>
          <w:sz w:val="24"/>
          <w:szCs w:val="24"/>
        </w:rPr>
        <w:t xml:space="preserve">The Commission should decline to add a $25.00 early termination fee cap to the rules and continue to allow CRES and CRNGS suppliers to offer numerous products to consumers across Ohio. </w:t>
      </w:r>
    </w:p>
    <w:p w14:paraId="4273AA8B" w14:textId="0BBEE57D" w:rsidR="00933B12" w:rsidRDefault="00BF1332" w:rsidP="00D11301">
      <w:pPr>
        <w:pStyle w:val="Heading2"/>
      </w:pPr>
      <w:bookmarkStart w:id="23" w:name="_Toc85784657"/>
      <w:bookmarkStart w:id="24" w:name="_Toc85784999"/>
      <w:r>
        <w:t>The Commission should reject the</w:t>
      </w:r>
      <w:r w:rsidR="00E40E1A">
        <w:t xml:space="preserve"> unnecessary and</w:t>
      </w:r>
      <w:r>
        <w:t xml:space="preserve"> unreasonable limitations </w:t>
      </w:r>
      <w:r w:rsidR="00010852">
        <w:t xml:space="preserve">to variable rates </w:t>
      </w:r>
      <w:r w:rsidR="00E13056">
        <w:t>proposed</w:t>
      </w:r>
      <w:r w:rsidR="00010852">
        <w:t xml:space="preserve"> by OCC.</w:t>
      </w:r>
      <w:bookmarkEnd w:id="23"/>
      <w:bookmarkEnd w:id="24"/>
      <w:r w:rsidR="00DA50F9" w:rsidRPr="00D11301">
        <w:t xml:space="preserve"> </w:t>
      </w:r>
    </w:p>
    <w:p w14:paraId="48E41437" w14:textId="655E2E2F" w:rsidR="006C2C29" w:rsidRPr="000D121D" w:rsidRDefault="004D7956" w:rsidP="000D121D">
      <w:pPr>
        <w:spacing w:after="0" w:line="480" w:lineRule="auto"/>
        <w:ind w:firstLine="720"/>
        <w:jc w:val="both"/>
      </w:pPr>
      <w:r>
        <w:rPr>
          <w:rFonts w:ascii="Arial" w:hAnsi="Arial" w:cs="Arial"/>
          <w:sz w:val="24"/>
          <w:szCs w:val="24"/>
        </w:rPr>
        <w:t xml:space="preserve">In its Initial Comments, </w:t>
      </w:r>
      <w:r w:rsidR="00950F27" w:rsidRPr="000D121D">
        <w:rPr>
          <w:rFonts w:ascii="Arial" w:hAnsi="Arial" w:cs="Arial"/>
          <w:sz w:val="24"/>
          <w:szCs w:val="24"/>
        </w:rPr>
        <w:t xml:space="preserve">OCC </w:t>
      </w:r>
      <w:r w:rsidR="009A16FE" w:rsidRPr="000D121D">
        <w:rPr>
          <w:rFonts w:ascii="Arial" w:hAnsi="Arial" w:cs="Arial"/>
          <w:sz w:val="24"/>
          <w:szCs w:val="24"/>
        </w:rPr>
        <w:t>also propose</w:t>
      </w:r>
      <w:r w:rsidR="00E40E1A" w:rsidRPr="000D121D">
        <w:rPr>
          <w:rFonts w:ascii="Arial" w:hAnsi="Arial" w:cs="Arial"/>
          <w:sz w:val="24"/>
          <w:szCs w:val="24"/>
        </w:rPr>
        <w:t>s</w:t>
      </w:r>
      <w:r w:rsidR="009A16FE" w:rsidRPr="000D121D">
        <w:rPr>
          <w:rFonts w:ascii="Arial" w:hAnsi="Arial" w:cs="Arial"/>
          <w:sz w:val="24"/>
          <w:szCs w:val="24"/>
        </w:rPr>
        <w:t xml:space="preserve"> </w:t>
      </w:r>
      <w:r w:rsidR="009D7DE9" w:rsidRPr="000D121D">
        <w:rPr>
          <w:rFonts w:ascii="Arial" w:hAnsi="Arial" w:cs="Arial"/>
          <w:sz w:val="24"/>
          <w:szCs w:val="24"/>
        </w:rPr>
        <w:t xml:space="preserve">to place a </w:t>
      </w:r>
      <w:r w:rsidR="00A62D78" w:rsidRPr="000D121D">
        <w:rPr>
          <w:rFonts w:ascii="Arial" w:hAnsi="Arial" w:cs="Arial"/>
          <w:sz w:val="24"/>
          <w:szCs w:val="24"/>
        </w:rPr>
        <w:t>series of unnecessary</w:t>
      </w:r>
      <w:r w:rsidR="00CC0DAD" w:rsidRPr="000D121D">
        <w:rPr>
          <w:rFonts w:ascii="Arial" w:hAnsi="Arial" w:cs="Arial"/>
          <w:sz w:val="24"/>
          <w:szCs w:val="24"/>
        </w:rPr>
        <w:t xml:space="preserve"> and unreasonable</w:t>
      </w:r>
      <w:r w:rsidR="00271DA0" w:rsidRPr="000D121D">
        <w:rPr>
          <w:rFonts w:ascii="Arial" w:hAnsi="Arial" w:cs="Arial"/>
          <w:sz w:val="24"/>
          <w:szCs w:val="24"/>
        </w:rPr>
        <w:t xml:space="preserve"> limitations </w:t>
      </w:r>
      <w:r w:rsidR="009D7DE9" w:rsidRPr="000D121D">
        <w:rPr>
          <w:rFonts w:ascii="Arial" w:hAnsi="Arial" w:cs="Arial"/>
          <w:sz w:val="24"/>
          <w:szCs w:val="24"/>
        </w:rPr>
        <w:t xml:space="preserve">on a CRES or CRNGS supplier’s ability to offer variable rates. </w:t>
      </w:r>
      <w:r w:rsidR="00967AAF" w:rsidRPr="000D121D">
        <w:rPr>
          <w:rFonts w:ascii="Arial" w:hAnsi="Arial" w:cs="Arial"/>
          <w:sz w:val="24"/>
          <w:szCs w:val="24"/>
        </w:rPr>
        <w:t>The Commission should reject</w:t>
      </w:r>
      <w:r w:rsidR="006F1CEC">
        <w:rPr>
          <w:rFonts w:ascii="Arial" w:hAnsi="Arial" w:cs="Arial"/>
          <w:sz w:val="24"/>
          <w:szCs w:val="24"/>
        </w:rPr>
        <w:t xml:space="preserve"> </w:t>
      </w:r>
      <w:proofErr w:type="gramStart"/>
      <w:r w:rsidR="006F1CEC">
        <w:rPr>
          <w:rFonts w:ascii="Arial" w:hAnsi="Arial" w:cs="Arial"/>
          <w:sz w:val="24"/>
          <w:szCs w:val="24"/>
        </w:rPr>
        <w:t>all of</w:t>
      </w:r>
      <w:proofErr w:type="gramEnd"/>
      <w:r w:rsidR="00967AAF" w:rsidRPr="000D121D">
        <w:rPr>
          <w:rFonts w:ascii="Arial" w:hAnsi="Arial" w:cs="Arial"/>
          <w:sz w:val="24"/>
          <w:szCs w:val="24"/>
        </w:rPr>
        <w:t xml:space="preserve"> thes</w:t>
      </w:r>
      <w:r w:rsidR="006F1CEC">
        <w:rPr>
          <w:rFonts w:ascii="Arial" w:hAnsi="Arial" w:cs="Arial"/>
          <w:sz w:val="24"/>
          <w:szCs w:val="24"/>
        </w:rPr>
        <w:t>e</w:t>
      </w:r>
      <w:r w:rsidR="00967AAF" w:rsidRPr="000D121D">
        <w:rPr>
          <w:rFonts w:ascii="Arial" w:hAnsi="Arial" w:cs="Arial"/>
          <w:sz w:val="24"/>
          <w:szCs w:val="24"/>
        </w:rPr>
        <w:t xml:space="preserve"> </w:t>
      </w:r>
      <w:r w:rsidR="00247C81" w:rsidRPr="000D121D">
        <w:rPr>
          <w:rFonts w:ascii="Arial" w:hAnsi="Arial" w:cs="Arial"/>
          <w:sz w:val="24"/>
          <w:szCs w:val="24"/>
        </w:rPr>
        <w:t>provisions</w:t>
      </w:r>
      <w:r w:rsidR="006F1CEC">
        <w:rPr>
          <w:rFonts w:ascii="Arial" w:hAnsi="Arial" w:cs="Arial"/>
          <w:sz w:val="24"/>
          <w:szCs w:val="24"/>
        </w:rPr>
        <w:t>.</w:t>
      </w:r>
    </w:p>
    <w:p w14:paraId="10C5D0ED" w14:textId="2853B225" w:rsidR="00244A6C" w:rsidRPr="00D11301" w:rsidRDefault="00244A6C" w:rsidP="00D11301">
      <w:pPr>
        <w:pStyle w:val="Heading3"/>
      </w:pPr>
      <w:bookmarkStart w:id="25" w:name="_Toc85784658"/>
      <w:bookmarkStart w:id="26" w:name="_Toc85785000"/>
      <w:r w:rsidRPr="00D11301">
        <w:t xml:space="preserve">The </w:t>
      </w:r>
      <w:r w:rsidR="00E7348C">
        <w:t xml:space="preserve">current rules adequately </w:t>
      </w:r>
      <w:r w:rsidR="00AE15E6">
        <w:t>address variable rate offerings.</w:t>
      </w:r>
      <w:bookmarkEnd w:id="25"/>
      <w:bookmarkEnd w:id="26"/>
      <w:r w:rsidR="00AE15E6">
        <w:t xml:space="preserve"> </w:t>
      </w:r>
    </w:p>
    <w:p w14:paraId="2B7835B0" w14:textId="5EAD4DCA" w:rsidR="00703FB1" w:rsidRDefault="005C7FCF" w:rsidP="00703FB1">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OCC </w:t>
      </w:r>
      <w:r w:rsidR="002862D0" w:rsidRPr="002862D0">
        <w:rPr>
          <w:rFonts w:ascii="Arial" w:eastAsia="Times New Roman" w:hAnsi="Arial" w:cs="Arial"/>
          <w:sz w:val="24"/>
          <w:szCs w:val="24"/>
        </w:rPr>
        <w:t xml:space="preserve">proposes the complete elimination of variable rate contracts </w:t>
      </w:r>
      <w:r w:rsidR="004D7956">
        <w:rPr>
          <w:rFonts w:ascii="Arial" w:eastAsia="Times New Roman" w:hAnsi="Arial" w:cs="Arial"/>
          <w:sz w:val="24"/>
          <w:szCs w:val="24"/>
        </w:rPr>
        <w:t xml:space="preserve">in the retail market, or in the alternative, </w:t>
      </w:r>
      <w:r w:rsidR="00253C12">
        <w:rPr>
          <w:rFonts w:ascii="Arial" w:eastAsia="Times New Roman" w:hAnsi="Arial" w:cs="Arial"/>
          <w:sz w:val="24"/>
          <w:szCs w:val="24"/>
        </w:rPr>
        <w:t xml:space="preserve">require variable rates be solely tied to </w:t>
      </w:r>
      <w:r w:rsidR="00874DE6" w:rsidRPr="00874DE6">
        <w:rPr>
          <w:rFonts w:ascii="Arial" w:eastAsia="Times New Roman" w:hAnsi="Arial" w:cs="Arial"/>
          <w:sz w:val="24"/>
          <w:szCs w:val="24"/>
        </w:rPr>
        <w:t>publicly available indices or data</w:t>
      </w:r>
      <w:r w:rsidR="00877586" w:rsidRPr="00874DE6">
        <w:rPr>
          <w:rFonts w:ascii="Arial" w:eastAsia="Times New Roman" w:hAnsi="Arial" w:cs="Arial"/>
          <w:sz w:val="24"/>
          <w:szCs w:val="24"/>
        </w:rPr>
        <w:t>.</w:t>
      </w:r>
      <w:r w:rsidR="002862D0" w:rsidRPr="00874DE6">
        <w:rPr>
          <w:rStyle w:val="FootnoteReference"/>
          <w:rFonts w:ascii="Arial" w:eastAsia="Times New Roman" w:hAnsi="Arial" w:cs="Arial"/>
          <w:sz w:val="24"/>
          <w:szCs w:val="24"/>
        </w:rPr>
        <w:footnoteReference w:id="33"/>
      </w:r>
      <w:r w:rsidR="002862D0" w:rsidRPr="00874DE6">
        <w:rPr>
          <w:rFonts w:ascii="Arial" w:eastAsia="Times New Roman" w:hAnsi="Arial" w:cs="Arial"/>
          <w:sz w:val="24"/>
          <w:szCs w:val="24"/>
        </w:rPr>
        <w:t xml:space="preserve"> OCC fails</w:t>
      </w:r>
      <w:r w:rsidR="002862D0" w:rsidRPr="002862D0">
        <w:rPr>
          <w:rFonts w:ascii="Arial" w:eastAsia="Times New Roman" w:hAnsi="Arial" w:cs="Arial"/>
          <w:sz w:val="24"/>
          <w:szCs w:val="24"/>
        </w:rPr>
        <w:t xml:space="preserve"> to present any evidence or reasoning as to w</w:t>
      </w:r>
      <w:r w:rsidR="00726B9B">
        <w:rPr>
          <w:rFonts w:ascii="Arial" w:eastAsia="Times New Roman" w:hAnsi="Arial" w:cs="Arial"/>
          <w:sz w:val="24"/>
          <w:szCs w:val="24"/>
        </w:rPr>
        <w:t>hy</w:t>
      </w:r>
      <w:r w:rsidR="002862D0" w:rsidRPr="002862D0">
        <w:rPr>
          <w:rFonts w:ascii="Arial" w:eastAsia="Times New Roman" w:hAnsi="Arial" w:cs="Arial"/>
          <w:sz w:val="24"/>
          <w:szCs w:val="24"/>
        </w:rPr>
        <w:t xml:space="preserve"> all variable rates should be eliminated other than accusing</w:t>
      </w:r>
      <w:r w:rsidR="005B22A3">
        <w:rPr>
          <w:rFonts w:ascii="Arial" w:eastAsia="Times New Roman" w:hAnsi="Arial" w:cs="Arial"/>
          <w:sz w:val="24"/>
          <w:szCs w:val="24"/>
        </w:rPr>
        <w:t xml:space="preserve"> </w:t>
      </w:r>
      <w:r w:rsidR="00132385">
        <w:rPr>
          <w:rFonts w:ascii="Arial" w:eastAsia="Times New Roman" w:hAnsi="Arial" w:cs="Arial"/>
          <w:sz w:val="24"/>
          <w:szCs w:val="24"/>
        </w:rPr>
        <w:t>energy providers</w:t>
      </w:r>
      <w:r w:rsidR="002862D0" w:rsidRPr="002862D0">
        <w:rPr>
          <w:rFonts w:ascii="Arial" w:eastAsia="Times New Roman" w:hAnsi="Arial" w:cs="Arial"/>
          <w:sz w:val="24"/>
          <w:szCs w:val="24"/>
        </w:rPr>
        <w:t xml:space="preserve"> of price gouging. The Commission should </w:t>
      </w:r>
      <w:r w:rsidR="005A1E8B">
        <w:rPr>
          <w:rFonts w:ascii="Arial" w:eastAsia="Times New Roman" w:hAnsi="Arial" w:cs="Arial"/>
          <w:sz w:val="24"/>
          <w:szCs w:val="24"/>
        </w:rPr>
        <w:t>reject</w:t>
      </w:r>
      <w:r w:rsidR="002862D0" w:rsidRPr="002862D0">
        <w:rPr>
          <w:rFonts w:ascii="Arial" w:eastAsia="Times New Roman" w:hAnsi="Arial" w:cs="Arial"/>
          <w:sz w:val="24"/>
          <w:szCs w:val="24"/>
        </w:rPr>
        <w:t xml:space="preserve"> </w:t>
      </w:r>
      <w:r w:rsidR="00703FB1">
        <w:rPr>
          <w:rFonts w:ascii="Arial" w:eastAsia="Times New Roman" w:hAnsi="Arial" w:cs="Arial"/>
          <w:sz w:val="24"/>
          <w:szCs w:val="24"/>
        </w:rPr>
        <w:t>these changes.</w:t>
      </w:r>
      <w:r w:rsidR="002862D0" w:rsidRPr="002862D0">
        <w:rPr>
          <w:rFonts w:ascii="Arial" w:eastAsia="Times New Roman" w:hAnsi="Arial" w:cs="Arial"/>
          <w:sz w:val="24"/>
          <w:szCs w:val="24"/>
        </w:rPr>
        <w:t xml:space="preserve"> </w:t>
      </w:r>
    </w:p>
    <w:p w14:paraId="78E2B5B4" w14:textId="7CE023C9" w:rsidR="00401FC5" w:rsidRDefault="009E60E1" w:rsidP="00401FC5">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There is no evidence</w:t>
      </w:r>
      <w:r w:rsidR="002862D0" w:rsidRPr="002862D0">
        <w:rPr>
          <w:rFonts w:ascii="Arial" w:eastAsia="Times New Roman" w:hAnsi="Arial" w:cs="Arial"/>
          <w:sz w:val="24"/>
          <w:szCs w:val="24"/>
        </w:rPr>
        <w:t xml:space="preserve"> </w:t>
      </w:r>
      <w:r>
        <w:rPr>
          <w:rFonts w:ascii="Arial" w:eastAsia="Times New Roman" w:hAnsi="Arial" w:cs="Arial"/>
          <w:sz w:val="24"/>
          <w:szCs w:val="24"/>
        </w:rPr>
        <w:t>to</w:t>
      </w:r>
      <w:r w:rsidR="002862D0" w:rsidRPr="002862D0">
        <w:rPr>
          <w:rFonts w:ascii="Arial" w:eastAsia="Times New Roman" w:hAnsi="Arial" w:cs="Arial"/>
          <w:sz w:val="24"/>
          <w:szCs w:val="24"/>
        </w:rPr>
        <w:t xml:space="preserve"> support the position that all variable rates are on their face bad for consumers across Ohio. </w:t>
      </w:r>
      <w:r w:rsidR="00401FC5">
        <w:rPr>
          <w:rFonts w:ascii="Arial" w:eastAsia="Times New Roman" w:hAnsi="Arial" w:cs="Arial"/>
          <w:sz w:val="24"/>
          <w:szCs w:val="24"/>
        </w:rPr>
        <w:t xml:space="preserve">In fact, </w:t>
      </w:r>
      <w:r w:rsidR="002C2AB6" w:rsidRPr="002862D0">
        <w:rPr>
          <w:rFonts w:ascii="Arial" w:eastAsia="Times New Roman" w:hAnsi="Arial" w:cs="Arial"/>
          <w:sz w:val="24"/>
          <w:szCs w:val="24"/>
        </w:rPr>
        <w:t xml:space="preserve">the utility standard offer is itself a variable price that changes throughout the year based </w:t>
      </w:r>
      <w:r w:rsidR="006C1255">
        <w:rPr>
          <w:rFonts w:ascii="Arial" w:eastAsia="Times New Roman" w:hAnsi="Arial" w:cs="Arial"/>
          <w:sz w:val="24"/>
          <w:szCs w:val="24"/>
        </w:rPr>
        <w:t>up</w:t>
      </w:r>
      <w:r w:rsidR="002C2AB6" w:rsidRPr="002862D0">
        <w:rPr>
          <w:rFonts w:ascii="Arial" w:eastAsia="Times New Roman" w:hAnsi="Arial" w:cs="Arial"/>
          <w:sz w:val="24"/>
          <w:szCs w:val="24"/>
        </w:rPr>
        <w:t xml:space="preserve">on multiple factors. </w:t>
      </w:r>
      <w:r w:rsidR="002C2AB6">
        <w:rPr>
          <w:rFonts w:ascii="Arial" w:eastAsia="Times New Roman" w:hAnsi="Arial" w:cs="Arial"/>
          <w:sz w:val="24"/>
          <w:szCs w:val="24"/>
        </w:rPr>
        <w:t xml:space="preserve">The </w:t>
      </w:r>
      <w:r w:rsidR="00401FC5">
        <w:rPr>
          <w:rFonts w:ascii="Arial" w:eastAsia="Times New Roman" w:hAnsi="Arial" w:cs="Arial"/>
          <w:sz w:val="24"/>
          <w:szCs w:val="24"/>
        </w:rPr>
        <w:t xml:space="preserve">standard offer for </w:t>
      </w:r>
      <w:r w:rsidR="00401FC5">
        <w:rPr>
          <w:rFonts w:ascii="Arial" w:eastAsia="Times New Roman" w:hAnsi="Arial" w:cs="Arial"/>
          <w:sz w:val="24"/>
          <w:szCs w:val="24"/>
        </w:rPr>
        <w:lastRenderedPageBreak/>
        <w:t>natural gas changes e</w:t>
      </w:r>
      <w:r w:rsidR="004E5B0D">
        <w:rPr>
          <w:rFonts w:ascii="Arial" w:eastAsia="Times New Roman" w:hAnsi="Arial" w:cs="Arial"/>
          <w:sz w:val="24"/>
          <w:szCs w:val="24"/>
        </w:rPr>
        <w:t>very</w:t>
      </w:r>
      <w:r w:rsidR="00401FC5">
        <w:rPr>
          <w:rFonts w:ascii="Arial" w:eastAsia="Times New Roman" w:hAnsi="Arial" w:cs="Arial"/>
          <w:sz w:val="24"/>
          <w:szCs w:val="24"/>
        </w:rPr>
        <w:t xml:space="preserve"> month, </w:t>
      </w:r>
      <w:r w:rsidR="004E5B0D">
        <w:rPr>
          <w:rFonts w:ascii="Arial" w:eastAsia="Times New Roman" w:hAnsi="Arial" w:cs="Arial"/>
          <w:sz w:val="24"/>
          <w:szCs w:val="24"/>
        </w:rPr>
        <w:t>while</w:t>
      </w:r>
      <w:r w:rsidR="00401FC5">
        <w:rPr>
          <w:rFonts w:ascii="Arial" w:eastAsia="Times New Roman" w:hAnsi="Arial" w:cs="Arial"/>
          <w:sz w:val="24"/>
          <w:szCs w:val="24"/>
        </w:rPr>
        <w:t xml:space="preserve"> the standard offer for electricity changes at least five times per year for </w:t>
      </w:r>
      <w:proofErr w:type="gramStart"/>
      <w:r w:rsidR="00401FC5">
        <w:rPr>
          <w:rFonts w:ascii="Arial" w:eastAsia="Times New Roman" w:hAnsi="Arial" w:cs="Arial"/>
          <w:sz w:val="24"/>
          <w:szCs w:val="24"/>
        </w:rPr>
        <w:t>t</w:t>
      </w:r>
      <w:r w:rsidR="0059554C">
        <w:rPr>
          <w:rFonts w:ascii="Arial" w:eastAsia="Times New Roman" w:hAnsi="Arial" w:cs="Arial"/>
          <w:sz w:val="24"/>
          <w:szCs w:val="24"/>
        </w:rPr>
        <w:t>he majority of</w:t>
      </w:r>
      <w:proofErr w:type="gramEnd"/>
      <w:r w:rsidR="0059554C">
        <w:rPr>
          <w:rFonts w:ascii="Arial" w:eastAsia="Times New Roman" w:hAnsi="Arial" w:cs="Arial"/>
          <w:sz w:val="24"/>
          <w:szCs w:val="24"/>
        </w:rPr>
        <w:t xml:space="preserve"> customers.</w:t>
      </w:r>
      <w:r w:rsidR="0059554C">
        <w:rPr>
          <w:rStyle w:val="FootnoteReference"/>
          <w:rFonts w:ascii="Arial" w:eastAsia="Times New Roman" w:hAnsi="Arial" w:cs="Arial"/>
          <w:sz w:val="24"/>
          <w:szCs w:val="24"/>
        </w:rPr>
        <w:footnoteReference w:id="34"/>
      </w:r>
      <w:r w:rsidR="004E5B0D">
        <w:rPr>
          <w:rFonts w:ascii="Arial" w:eastAsia="Times New Roman" w:hAnsi="Arial" w:cs="Arial"/>
          <w:sz w:val="24"/>
          <w:szCs w:val="24"/>
        </w:rPr>
        <w:t xml:space="preserve"> It would unfair</w:t>
      </w:r>
      <w:r w:rsidR="00666BA9">
        <w:rPr>
          <w:rFonts w:ascii="Arial" w:eastAsia="Times New Roman" w:hAnsi="Arial" w:cs="Arial"/>
          <w:sz w:val="24"/>
          <w:szCs w:val="24"/>
        </w:rPr>
        <w:t xml:space="preserve">, </w:t>
      </w:r>
      <w:r w:rsidR="004E5B0D">
        <w:rPr>
          <w:rFonts w:ascii="Arial" w:eastAsia="Times New Roman" w:hAnsi="Arial" w:cs="Arial"/>
          <w:sz w:val="24"/>
          <w:szCs w:val="24"/>
        </w:rPr>
        <w:t>unreasonable</w:t>
      </w:r>
      <w:r w:rsidR="00666BA9">
        <w:rPr>
          <w:rFonts w:ascii="Arial" w:eastAsia="Times New Roman" w:hAnsi="Arial" w:cs="Arial"/>
          <w:sz w:val="24"/>
          <w:szCs w:val="24"/>
        </w:rPr>
        <w:t>, and discriminatory</w:t>
      </w:r>
      <w:r w:rsidR="004E5B0D">
        <w:rPr>
          <w:rFonts w:ascii="Arial" w:eastAsia="Times New Roman" w:hAnsi="Arial" w:cs="Arial"/>
          <w:sz w:val="24"/>
          <w:szCs w:val="24"/>
        </w:rPr>
        <w:t xml:space="preserve"> for </w:t>
      </w:r>
      <w:r w:rsidR="00666BA9">
        <w:rPr>
          <w:rFonts w:ascii="Arial" w:eastAsia="Times New Roman" w:hAnsi="Arial" w:cs="Arial"/>
          <w:sz w:val="24"/>
          <w:szCs w:val="24"/>
        </w:rPr>
        <w:t>the Commission to allow the utilities to offer variable rates</w:t>
      </w:r>
      <w:r w:rsidR="00A42192">
        <w:rPr>
          <w:rFonts w:ascii="Arial" w:eastAsia="Times New Roman" w:hAnsi="Arial" w:cs="Arial"/>
          <w:sz w:val="24"/>
          <w:szCs w:val="24"/>
        </w:rPr>
        <w:t xml:space="preserve"> yet</w:t>
      </w:r>
      <w:r w:rsidR="00666BA9">
        <w:rPr>
          <w:rFonts w:ascii="Arial" w:eastAsia="Times New Roman" w:hAnsi="Arial" w:cs="Arial"/>
          <w:sz w:val="24"/>
          <w:szCs w:val="24"/>
        </w:rPr>
        <w:t xml:space="preserve"> prohibi</w:t>
      </w:r>
      <w:r w:rsidR="00A42192">
        <w:rPr>
          <w:rFonts w:ascii="Arial" w:eastAsia="Times New Roman" w:hAnsi="Arial" w:cs="Arial"/>
          <w:sz w:val="24"/>
          <w:szCs w:val="24"/>
        </w:rPr>
        <w:t>t energy providers to do the same.</w:t>
      </w:r>
    </w:p>
    <w:p w14:paraId="27405BD9" w14:textId="601576B7" w:rsidR="00A11BC5" w:rsidRDefault="002862D0" w:rsidP="00DC2E61">
      <w:pPr>
        <w:spacing w:after="0" w:line="480" w:lineRule="auto"/>
        <w:ind w:firstLine="720"/>
        <w:jc w:val="both"/>
        <w:textAlignment w:val="baseline"/>
        <w:rPr>
          <w:rFonts w:ascii="Arial" w:eastAsia="Times New Roman" w:hAnsi="Arial" w:cs="Arial"/>
          <w:sz w:val="24"/>
          <w:szCs w:val="24"/>
        </w:rPr>
      </w:pPr>
      <w:r w:rsidRPr="002862D0">
        <w:rPr>
          <w:rFonts w:ascii="Arial" w:eastAsia="Times New Roman" w:hAnsi="Arial" w:cs="Arial"/>
          <w:sz w:val="24"/>
          <w:szCs w:val="24"/>
        </w:rPr>
        <w:t>Variable rate</w:t>
      </w:r>
      <w:r w:rsidR="00510589">
        <w:rPr>
          <w:rFonts w:ascii="Arial" w:eastAsia="Times New Roman" w:hAnsi="Arial" w:cs="Arial"/>
          <w:sz w:val="24"/>
          <w:szCs w:val="24"/>
        </w:rPr>
        <w:t xml:space="preserve"> offerings </w:t>
      </w:r>
      <w:r w:rsidR="00FB4564">
        <w:rPr>
          <w:rFonts w:ascii="Arial" w:eastAsia="Times New Roman" w:hAnsi="Arial" w:cs="Arial"/>
          <w:sz w:val="24"/>
          <w:szCs w:val="24"/>
        </w:rPr>
        <w:t>can be a</w:t>
      </w:r>
      <w:r w:rsidR="00E463C3">
        <w:rPr>
          <w:rFonts w:ascii="Arial" w:eastAsia="Times New Roman" w:hAnsi="Arial" w:cs="Arial"/>
          <w:sz w:val="24"/>
          <w:szCs w:val="24"/>
        </w:rPr>
        <w:t>n attractive offer to customers</w:t>
      </w:r>
      <w:r w:rsidR="00FB4564">
        <w:rPr>
          <w:rFonts w:ascii="Arial" w:eastAsia="Times New Roman" w:hAnsi="Arial" w:cs="Arial"/>
          <w:sz w:val="24"/>
          <w:szCs w:val="24"/>
        </w:rPr>
        <w:t xml:space="preserve"> </w:t>
      </w:r>
      <w:r w:rsidRPr="002862D0">
        <w:rPr>
          <w:rFonts w:ascii="Arial" w:eastAsia="Times New Roman" w:hAnsi="Arial" w:cs="Arial"/>
          <w:sz w:val="24"/>
          <w:szCs w:val="24"/>
        </w:rPr>
        <w:t xml:space="preserve">and removing that option is not justified or needed because of the guardrails already in place within the rules and cited to by OCC in </w:t>
      </w:r>
      <w:r w:rsidR="00040883">
        <w:rPr>
          <w:rFonts w:ascii="Arial" w:eastAsia="Times New Roman" w:hAnsi="Arial" w:cs="Arial"/>
          <w:sz w:val="24"/>
          <w:szCs w:val="24"/>
        </w:rPr>
        <w:t>its</w:t>
      </w:r>
      <w:r w:rsidRPr="002862D0">
        <w:rPr>
          <w:rFonts w:ascii="Arial" w:eastAsia="Times New Roman" w:hAnsi="Arial" w:cs="Arial"/>
          <w:sz w:val="24"/>
          <w:szCs w:val="24"/>
        </w:rPr>
        <w:t xml:space="preserve"> </w:t>
      </w:r>
      <w:r w:rsidR="00040883">
        <w:rPr>
          <w:rFonts w:ascii="Arial" w:eastAsia="Times New Roman" w:hAnsi="Arial" w:cs="Arial"/>
          <w:sz w:val="24"/>
          <w:szCs w:val="24"/>
        </w:rPr>
        <w:t>c</w:t>
      </w:r>
      <w:r w:rsidRPr="002862D0">
        <w:rPr>
          <w:rFonts w:ascii="Arial" w:eastAsia="Times New Roman" w:hAnsi="Arial" w:cs="Arial"/>
          <w:sz w:val="24"/>
          <w:szCs w:val="24"/>
        </w:rPr>
        <w:t>omments.</w:t>
      </w:r>
      <w:r>
        <w:rPr>
          <w:rStyle w:val="FootnoteReference"/>
          <w:rFonts w:ascii="Arial" w:eastAsia="Times New Roman" w:hAnsi="Arial" w:cs="Arial"/>
          <w:sz w:val="24"/>
          <w:szCs w:val="24"/>
        </w:rPr>
        <w:footnoteReference w:id="35"/>
      </w:r>
      <w:r w:rsidRPr="002862D0">
        <w:rPr>
          <w:rFonts w:ascii="Arial" w:eastAsia="Times New Roman" w:hAnsi="Arial" w:cs="Arial"/>
          <w:sz w:val="24"/>
          <w:szCs w:val="24"/>
        </w:rPr>
        <w:t xml:space="preserve"> </w:t>
      </w:r>
      <w:r w:rsidR="00A15306">
        <w:rPr>
          <w:rFonts w:ascii="Arial" w:eastAsia="Times New Roman" w:hAnsi="Arial" w:cs="Arial"/>
          <w:sz w:val="24"/>
          <w:szCs w:val="24"/>
        </w:rPr>
        <w:t xml:space="preserve">Suppliers are required to </w:t>
      </w:r>
      <w:r w:rsidR="00730441">
        <w:rPr>
          <w:rFonts w:ascii="Arial" w:eastAsia="Times New Roman" w:hAnsi="Arial" w:cs="Arial"/>
          <w:sz w:val="24"/>
          <w:szCs w:val="24"/>
        </w:rPr>
        <w:t xml:space="preserve">provide </w:t>
      </w:r>
      <w:r w:rsidR="0076158B">
        <w:rPr>
          <w:rFonts w:ascii="Arial" w:eastAsia="Times New Roman" w:hAnsi="Arial" w:cs="Arial"/>
          <w:sz w:val="24"/>
          <w:szCs w:val="24"/>
        </w:rPr>
        <w:t>“</w:t>
      </w:r>
      <w:r w:rsidR="00730441" w:rsidRPr="00730441">
        <w:rPr>
          <w:rFonts w:ascii="Arial" w:eastAsia="Times New Roman" w:hAnsi="Arial" w:cs="Arial"/>
          <w:sz w:val="24"/>
          <w:szCs w:val="24"/>
        </w:rPr>
        <w:t>a clear and understandable explanation of the factors that will cause the price to vary</w:t>
      </w:r>
      <w:r w:rsidR="0076158B">
        <w:rPr>
          <w:rFonts w:ascii="Arial" w:eastAsia="Times New Roman" w:hAnsi="Arial" w:cs="Arial"/>
          <w:sz w:val="24"/>
          <w:szCs w:val="24"/>
        </w:rPr>
        <w:t xml:space="preserve">” </w:t>
      </w:r>
      <w:r w:rsidR="00730441">
        <w:rPr>
          <w:rFonts w:ascii="Arial" w:eastAsia="Times New Roman" w:hAnsi="Arial" w:cs="Arial"/>
          <w:sz w:val="24"/>
          <w:szCs w:val="24"/>
        </w:rPr>
        <w:t>w</w:t>
      </w:r>
      <w:r w:rsidR="002821E5">
        <w:rPr>
          <w:rFonts w:ascii="Arial" w:eastAsia="Times New Roman" w:hAnsi="Arial" w:cs="Arial"/>
          <w:sz w:val="24"/>
          <w:szCs w:val="24"/>
        </w:rPr>
        <w:t xml:space="preserve">hen advertising a </w:t>
      </w:r>
      <w:r w:rsidR="00730441">
        <w:rPr>
          <w:rFonts w:ascii="Arial" w:eastAsia="Times New Roman" w:hAnsi="Arial" w:cs="Arial"/>
          <w:sz w:val="24"/>
          <w:szCs w:val="24"/>
        </w:rPr>
        <w:t>variable rate offering</w:t>
      </w:r>
      <w:r w:rsidR="00E107A3">
        <w:rPr>
          <w:rFonts w:ascii="Arial" w:eastAsia="Times New Roman" w:hAnsi="Arial" w:cs="Arial"/>
          <w:sz w:val="24"/>
          <w:szCs w:val="24"/>
        </w:rPr>
        <w:t>.</w:t>
      </w:r>
      <w:r w:rsidR="00E107A3">
        <w:rPr>
          <w:rStyle w:val="FootnoteReference"/>
          <w:rFonts w:ascii="Arial" w:eastAsia="Times New Roman" w:hAnsi="Arial" w:cs="Arial"/>
          <w:sz w:val="24"/>
          <w:szCs w:val="24"/>
        </w:rPr>
        <w:footnoteReference w:id="36"/>
      </w:r>
      <w:r w:rsidR="0045779A">
        <w:rPr>
          <w:rFonts w:ascii="Arial" w:eastAsia="Times New Roman" w:hAnsi="Arial" w:cs="Arial"/>
          <w:sz w:val="24"/>
          <w:szCs w:val="24"/>
        </w:rPr>
        <w:t xml:space="preserve"> </w:t>
      </w:r>
      <w:r w:rsidR="003F0510">
        <w:rPr>
          <w:rFonts w:ascii="Arial" w:eastAsia="Times New Roman" w:hAnsi="Arial" w:cs="Arial"/>
          <w:sz w:val="24"/>
          <w:szCs w:val="24"/>
        </w:rPr>
        <w:t xml:space="preserve">Additionally, </w:t>
      </w:r>
      <w:r w:rsidR="005C4A47">
        <w:rPr>
          <w:rFonts w:ascii="Arial" w:eastAsia="Times New Roman" w:hAnsi="Arial" w:cs="Arial"/>
          <w:sz w:val="24"/>
          <w:szCs w:val="24"/>
        </w:rPr>
        <w:t xml:space="preserve">in contracts with variable rates, Suppliers are required to provide either a </w:t>
      </w:r>
      <w:r w:rsidR="00F92D3C" w:rsidRPr="00F92D3C">
        <w:rPr>
          <w:rFonts w:ascii="Arial" w:eastAsia="Times New Roman" w:hAnsi="Arial" w:cs="Arial"/>
          <w:sz w:val="24"/>
          <w:szCs w:val="24"/>
        </w:rPr>
        <w:t>formula, based on publicly available indices or data that will</w:t>
      </w:r>
      <w:r w:rsidR="00F92D3C">
        <w:rPr>
          <w:rFonts w:ascii="Arial" w:eastAsia="Times New Roman" w:hAnsi="Arial" w:cs="Arial"/>
          <w:sz w:val="24"/>
          <w:szCs w:val="24"/>
        </w:rPr>
        <w:t xml:space="preserve"> be</w:t>
      </w:r>
      <w:r w:rsidR="00F92D3C" w:rsidRPr="00F92D3C">
        <w:rPr>
          <w:rFonts w:ascii="Arial" w:eastAsia="Times New Roman" w:hAnsi="Arial" w:cs="Arial"/>
          <w:sz w:val="24"/>
          <w:szCs w:val="24"/>
        </w:rPr>
        <w:t xml:space="preserve"> use</w:t>
      </w:r>
      <w:r w:rsidR="00F92D3C">
        <w:rPr>
          <w:rFonts w:ascii="Arial" w:eastAsia="Times New Roman" w:hAnsi="Arial" w:cs="Arial"/>
          <w:sz w:val="24"/>
          <w:szCs w:val="24"/>
        </w:rPr>
        <w:t>d</w:t>
      </w:r>
      <w:r w:rsidR="00F92D3C" w:rsidRPr="00F92D3C">
        <w:rPr>
          <w:rFonts w:ascii="Arial" w:eastAsia="Times New Roman" w:hAnsi="Arial" w:cs="Arial"/>
          <w:sz w:val="24"/>
          <w:szCs w:val="24"/>
        </w:rPr>
        <w:t xml:space="preserve"> to determine the rate that will be charged</w:t>
      </w:r>
      <w:r w:rsidR="00CA3F8A">
        <w:rPr>
          <w:rFonts w:ascii="Arial" w:eastAsia="Times New Roman" w:hAnsi="Arial" w:cs="Arial"/>
          <w:sz w:val="24"/>
          <w:szCs w:val="24"/>
        </w:rPr>
        <w:t>, or</w:t>
      </w:r>
      <w:r w:rsidR="00654B2F">
        <w:rPr>
          <w:rFonts w:ascii="Arial" w:eastAsia="Times New Roman" w:hAnsi="Arial" w:cs="Arial"/>
          <w:sz w:val="24"/>
          <w:szCs w:val="24"/>
        </w:rPr>
        <w:t xml:space="preserve"> for contracts that do not include an early termination fee,</w:t>
      </w:r>
      <w:r w:rsidR="00CA3F8A">
        <w:rPr>
          <w:rFonts w:ascii="Arial" w:eastAsia="Times New Roman" w:hAnsi="Arial" w:cs="Arial"/>
          <w:sz w:val="24"/>
          <w:szCs w:val="24"/>
        </w:rPr>
        <w:t xml:space="preserve"> a</w:t>
      </w:r>
      <w:r w:rsidR="00654B2F">
        <w:rPr>
          <w:rFonts w:ascii="Arial" w:eastAsia="Times New Roman" w:hAnsi="Arial" w:cs="Arial"/>
          <w:sz w:val="24"/>
          <w:szCs w:val="24"/>
        </w:rPr>
        <w:t xml:space="preserve"> </w:t>
      </w:r>
      <w:r w:rsidR="00CA3F8A" w:rsidRPr="00CA3F8A">
        <w:rPr>
          <w:rFonts w:ascii="Arial" w:eastAsia="Times New Roman" w:hAnsi="Arial" w:cs="Arial"/>
          <w:sz w:val="24"/>
          <w:szCs w:val="24"/>
        </w:rPr>
        <w:t>clear and understandable explanation of the factors that will cause the price to vary including any related indices and how often the price can change</w:t>
      </w:r>
      <w:r w:rsidR="005C5BE5">
        <w:rPr>
          <w:rFonts w:ascii="Arial" w:eastAsia="Times New Roman" w:hAnsi="Arial" w:cs="Arial"/>
          <w:sz w:val="24"/>
          <w:szCs w:val="24"/>
        </w:rPr>
        <w:t>.</w:t>
      </w:r>
      <w:r w:rsidR="005C5BE5">
        <w:rPr>
          <w:rStyle w:val="FootnoteReference"/>
          <w:rFonts w:ascii="Arial" w:eastAsia="Times New Roman" w:hAnsi="Arial" w:cs="Arial"/>
          <w:sz w:val="24"/>
          <w:szCs w:val="24"/>
        </w:rPr>
        <w:footnoteReference w:id="37"/>
      </w:r>
      <w:r w:rsidR="001B3327">
        <w:rPr>
          <w:rFonts w:ascii="Arial" w:eastAsia="Times New Roman" w:hAnsi="Arial" w:cs="Arial"/>
          <w:sz w:val="24"/>
          <w:szCs w:val="24"/>
        </w:rPr>
        <w:t xml:space="preserve"> </w:t>
      </w:r>
      <w:r w:rsidR="00EE3E1E">
        <w:rPr>
          <w:rFonts w:ascii="Arial" w:eastAsia="Times New Roman" w:hAnsi="Arial" w:cs="Arial"/>
          <w:sz w:val="24"/>
          <w:szCs w:val="24"/>
        </w:rPr>
        <w:t>The Commission has previously found the current rules “provides customers with sufficient information to evaluate offers.”</w:t>
      </w:r>
      <w:r w:rsidR="00EE3E1E">
        <w:rPr>
          <w:rStyle w:val="FootnoteReference"/>
          <w:rFonts w:ascii="Arial" w:eastAsia="Times New Roman" w:hAnsi="Arial" w:cs="Arial"/>
          <w:sz w:val="24"/>
          <w:szCs w:val="24"/>
        </w:rPr>
        <w:footnoteReference w:id="38"/>
      </w:r>
      <w:r w:rsidR="00EE3E1E">
        <w:rPr>
          <w:rFonts w:ascii="Arial" w:eastAsia="Times New Roman" w:hAnsi="Arial" w:cs="Arial"/>
          <w:sz w:val="24"/>
          <w:szCs w:val="24"/>
        </w:rPr>
        <w:t xml:space="preserve"> </w:t>
      </w:r>
      <w:r w:rsidR="00A11BC5">
        <w:rPr>
          <w:rFonts w:ascii="Arial" w:eastAsia="Times New Roman" w:hAnsi="Arial" w:cs="Arial"/>
          <w:sz w:val="24"/>
          <w:szCs w:val="24"/>
        </w:rPr>
        <w:t xml:space="preserve">Simply </w:t>
      </w:r>
      <w:r w:rsidR="00802058">
        <w:rPr>
          <w:rFonts w:ascii="Arial" w:eastAsia="Times New Roman" w:hAnsi="Arial" w:cs="Arial"/>
          <w:sz w:val="24"/>
          <w:szCs w:val="24"/>
        </w:rPr>
        <w:t>presenting one</w:t>
      </w:r>
      <w:r w:rsidR="00A11BC5">
        <w:rPr>
          <w:rFonts w:ascii="Arial" w:eastAsia="Times New Roman" w:hAnsi="Arial" w:cs="Arial"/>
          <w:sz w:val="24"/>
          <w:szCs w:val="24"/>
        </w:rPr>
        <w:t xml:space="preserve"> example of </w:t>
      </w:r>
      <w:r w:rsidR="00BB4420">
        <w:rPr>
          <w:rFonts w:ascii="Arial" w:eastAsia="Times New Roman" w:hAnsi="Arial" w:cs="Arial"/>
          <w:sz w:val="24"/>
          <w:szCs w:val="24"/>
        </w:rPr>
        <w:t>a provision</w:t>
      </w:r>
      <w:r w:rsidR="00DC2E61">
        <w:rPr>
          <w:rFonts w:ascii="Arial" w:eastAsia="Times New Roman" w:hAnsi="Arial" w:cs="Arial"/>
          <w:sz w:val="24"/>
          <w:szCs w:val="24"/>
        </w:rPr>
        <w:t xml:space="preserve"> purported to be</w:t>
      </w:r>
      <w:r w:rsidR="00BB4420">
        <w:rPr>
          <w:rFonts w:ascii="Arial" w:eastAsia="Times New Roman" w:hAnsi="Arial" w:cs="Arial"/>
          <w:sz w:val="24"/>
          <w:szCs w:val="24"/>
        </w:rPr>
        <w:t xml:space="preserve"> in a variable rate </w:t>
      </w:r>
      <w:r w:rsidR="00A11BC5">
        <w:rPr>
          <w:rFonts w:ascii="Arial" w:eastAsia="Times New Roman" w:hAnsi="Arial" w:cs="Arial"/>
          <w:sz w:val="24"/>
          <w:szCs w:val="24"/>
        </w:rPr>
        <w:t xml:space="preserve">contract </w:t>
      </w:r>
      <w:r w:rsidR="00246342">
        <w:rPr>
          <w:rFonts w:ascii="Arial" w:eastAsia="Times New Roman" w:hAnsi="Arial" w:cs="Arial"/>
          <w:sz w:val="24"/>
          <w:szCs w:val="24"/>
        </w:rPr>
        <w:t xml:space="preserve">without </w:t>
      </w:r>
      <w:r w:rsidR="00BB4420">
        <w:rPr>
          <w:rFonts w:ascii="Arial" w:eastAsia="Times New Roman" w:hAnsi="Arial" w:cs="Arial"/>
          <w:sz w:val="24"/>
          <w:szCs w:val="24"/>
        </w:rPr>
        <w:t xml:space="preserve">any context or </w:t>
      </w:r>
      <w:r w:rsidR="00246342">
        <w:rPr>
          <w:rFonts w:ascii="Arial" w:eastAsia="Times New Roman" w:hAnsi="Arial" w:cs="Arial"/>
          <w:sz w:val="24"/>
          <w:szCs w:val="24"/>
        </w:rPr>
        <w:t>the rest of the agreement</w:t>
      </w:r>
      <w:r w:rsidR="00E272AC">
        <w:rPr>
          <w:rFonts w:ascii="Arial" w:eastAsia="Times New Roman" w:hAnsi="Arial" w:cs="Arial"/>
          <w:sz w:val="24"/>
          <w:szCs w:val="24"/>
        </w:rPr>
        <w:t xml:space="preserve"> is not sufficient justification </w:t>
      </w:r>
      <w:r w:rsidR="00A42399">
        <w:rPr>
          <w:rFonts w:ascii="Arial" w:eastAsia="Times New Roman" w:hAnsi="Arial" w:cs="Arial"/>
          <w:sz w:val="24"/>
          <w:szCs w:val="24"/>
        </w:rPr>
        <w:t xml:space="preserve">to </w:t>
      </w:r>
      <w:r w:rsidR="00964660">
        <w:rPr>
          <w:rFonts w:ascii="Arial" w:eastAsia="Times New Roman" w:hAnsi="Arial" w:cs="Arial"/>
          <w:sz w:val="24"/>
          <w:szCs w:val="24"/>
        </w:rPr>
        <w:t xml:space="preserve">now </w:t>
      </w:r>
      <w:r w:rsidR="00A42399">
        <w:rPr>
          <w:rFonts w:ascii="Arial" w:eastAsia="Times New Roman" w:hAnsi="Arial" w:cs="Arial"/>
          <w:sz w:val="24"/>
          <w:szCs w:val="24"/>
        </w:rPr>
        <w:t>find the current rules insufficient.</w:t>
      </w:r>
      <w:r w:rsidR="00246342">
        <w:rPr>
          <w:rFonts w:ascii="Arial" w:eastAsia="Times New Roman" w:hAnsi="Arial" w:cs="Arial"/>
          <w:sz w:val="24"/>
          <w:szCs w:val="24"/>
        </w:rPr>
        <w:t xml:space="preserve"> </w:t>
      </w:r>
      <w:r w:rsidR="001573A2">
        <w:rPr>
          <w:rFonts w:ascii="Arial" w:eastAsia="Times New Roman" w:hAnsi="Arial" w:cs="Arial"/>
          <w:sz w:val="24"/>
          <w:szCs w:val="24"/>
        </w:rPr>
        <w:t xml:space="preserve">This is </w:t>
      </w:r>
      <w:r w:rsidR="00DA1D00">
        <w:rPr>
          <w:rFonts w:ascii="Arial" w:eastAsia="Times New Roman" w:hAnsi="Arial" w:cs="Arial"/>
          <w:sz w:val="24"/>
          <w:szCs w:val="24"/>
        </w:rPr>
        <w:t xml:space="preserve">a compliance issue </w:t>
      </w:r>
      <w:r w:rsidR="001573A2">
        <w:rPr>
          <w:rFonts w:ascii="Arial" w:eastAsia="Times New Roman" w:hAnsi="Arial" w:cs="Arial"/>
          <w:sz w:val="24"/>
          <w:szCs w:val="24"/>
        </w:rPr>
        <w:t xml:space="preserve">better addressed </w:t>
      </w:r>
      <w:r w:rsidR="005F5733">
        <w:rPr>
          <w:rFonts w:ascii="Arial" w:eastAsia="Times New Roman" w:hAnsi="Arial" w:cs="Arial"/>
          <w:sz w:val="24"/>
          <w:szCs w:val="24"/>
        </w:rPr>
        <w:t xml:space="preserve">through </w:t>
      </w:r>
      <w:r w:rsidR="00087F51">
        <w:rPr>
          <w:rFonts w:ascii="Arial" w:eastAsia="Times New Roman" w:hAnsi="Arial" w:cs="Arial"/>
          <w:sz w:val="24"/>
          <w:szCs w:val="24"/>
        </w:rPr>
        <w:t xml:space="preserve">other means. </w:t>
      </w:r>
      <w:r w:rsidR="006A6371">
        <w:rPr>
          <w:rFonts w:ascii="Arial" w:eastAsia="Times New Roman" w:hAnsi="Arial" w:cs="Arial"/>
          <w:sz w:val="24"/>
          <w:szCs w:val="24"/>
        </w:rPr>
        <w:t>Th</w:t>
      </w:r>
      <w:r w:rsidR="00964660">
        <w:rPr>
          <w:rFonts w:ascii="Arial" w:eastAsia="Times New Roman" w:hAnsi="Arial" w:cs="Arial"/>
          <w:sz w:val="24"/>
          <w:szCs w:val="24"/>
        </w:rPr>
        <w:t>us, the</w:t>
      </w:r>
      <w:r w:rsidR="006A6371">
        <w:rPr>
          <w:rFonts w:ascii="Arial" w:eastAsia="Times New Roman" w:hAnsi="Arial" w:cs="Arial"/>
          <w:sz w:val="24"/>
          <w:szCs w:val="24"/>
        </w:rPr>
        <w:t xml:space="preserve"> Commission should</w:t>
      </w:r>
      <w:r w:rsidR="000E2AEB">
        <w:rPr>
          <w:rFonts w:ascii="Arial" w:eastAsia="Times New Roman" w:hAnsi="Arial" w:cs="Arial"/>
          <w:sz w:val="24"/>
          <w:szCs w:val="24"/>
        </w:rPr>
        <w:t xml:space="preserve"> </w:t>
      </w:r>
      <w:r w:rsidR="000E2AEB">
        <w:rPr>
          <w:rFonts w:ascii="Arial" w:eastAsia="Times New Roman" w:hAnsi="Arial" w:cs="Arial"/>
          <w:sz w:val="24"/>
          <w:szCs w:val="24"/>
        </w:rPr>
        <w:lastRenderedPageBreak/>
        <w:t xml:space="preserve">continue to reject attempts to </w:t>
      </w:r>
      <w:r w:rsidR="006A6371">
        <w:rPr>
          <w:rFonts w:ascii="Arial" w:eastAsia="Times New Roman" w:hAnsi="Arial" w:cs="Arial"/>
          <w:sz w:val="24"/>
          <w:szCs w:val="24"/>
        </w:rPr>
        <w:t>alter the safeguards currently in place</w:t>
      </w:r>
      <w:r w:rsidR="00BF5854">
        <w:rPr>
          <w:rFonts w:ascii="Arial" w:eastAsia="Times New Roman" w:hAnsi="Arial" w:cs="Arial"/>
          <w:sz w:val="24"/>
          <w:szCs w:val="24"/>
        </w:rPr>
        <w:t xml:space="preserve"> within the rules</w:t>
      </w:r>
      <w:r w:rsidR="006A6371">
        <w:rPr>
          <w:rFonts w:ascii="Arial" w:eastAsia="Times New Roman" w:hAnsi="Arial" w:cs="Arial"/>
          <w:sz w:val="24"/>
          <w:szCs w:val="24"/>
        </w:rPr>
        <w:t xml:space="preserve"> </w:t>
      </w:r>
      <w:r w:rsidR="00A16E56">
        <w:rPr>
          <w:rFonts w:ascii="Arial" w:eastAsia="Times New Roman" w:hAnsi="Arial" w:cs="Arial"/>
          <w:sz w:val="24"/>
          <w:szCs w:val="24"/>
        </w:rPr>
        <w:t xml:space="preserve">for customers who choose a variable rate plan from their </w:t>
      </w:r>
      <w:r w:rsidR="00A51086">
        <w:rPr>
          <w:rFonts w:ascii="Arial" w:eastAsia="Times New Roman" w:hAnsi="Arial" w:cs="Arial"/>
          <w:sz w:val="24"/>
          <w:szCs w:val="24"/>
        </w:rPr>
        <w:t>energy</w:t>
      </w:r>
      <w:r w:rsidR="00A16E56">
        <w:rPr>
          <w:rFonts w:ascii="Arial" w:eastAsia="Times New Roman" w:hAnsi="Arial" w:cs="Arial"/>
          <w:sz w:val="24"/>
          <w:szCs w:val="24"/>
        </w:rPr>
        <w:t xml:space="preserve"> </w:t>
      </w:r>
      <w:r w:rsidR="006F1E7F">
        <w:rPr>
          <w:rFonts w:ascii="Arial" w:eastAsia="Times New Roman" w:hAnsi="Arial" w:cs="Arial"/>
          <w:sz w:val="24"/>
          <w:szCs w:val="24"/>
        </w:rPr>
        <w:t>provider</w:t>
      </w:r>
      <w:r w:rsidR="00A16E56">
        <w:rPr>
          <w:rFonts w:ascii="Arial" w:eastAsia="Times New Roman" w:hAnsi="Arial" w:cs="Arial"/>
          <w:sz w:val="24"/>
          <w:szCs w:val="24"/>
        </w:rPr>
        <w:t>.</w:t>
      </w:r>
    </w:p>
    <w:p w14:paraId="3ECE463B" w14:textId="419CFDAD" w:rsidR="00BF5854" w:rsidRPr="00BF5854" w:rsidRDefault="00A916EF" w:rsidP="0038539C">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Further, OCC’s </w:t>
      </w:r>
      <w:r w:rsidR="004622A6">
        <w:rPr>
          <w:rFonts w:ascii="Arial" w:eastAsia="Times New Roman" w:hAnsi="Arial" w:cs="Arial"/>
          <w:sz w:val="24"/>
          <w:szCs w:val="24"/>
        </w:rPr>
        <w:t xml:space="preserve">proposal to </w:t>
      </w:r>
      <w:r w:rsidR="00BF5854">
        <w:rPr>
          <w:rFonts w:ascii="Arial" w:eastAsia="Times New Roman" w:hAnsi="Arial" w:cs="Arial"/>
          <w:sz w:val="24"/>
          <w:szCs w:val="24"/>
        </w:rPr>
        <w:t>require</w:t>
      </w:r>
      <w:r w:rsidR="004622A6">
        <w:rPr>
          <w:rFonts w:ascii="Arial" w:eastAsia="Times New Roman" w:hAnsi="Arial" w:cs="Arial"/>
          <w:sz w:val="24"/>
          <w:szCs w:val="24"/>
        </w:rPr>
        <w:t xml:space="preserve"> </w:t>
      </w:r>
      <w:r w:rsidR="00964660">
        <w:rPr>
          <w:rFonts w:ascii="Arial" w:eastAsia="Times New Roman" w:hAnsi="Arial" w:cs="Arial"/>
          <w:sz w:val="24"/>
          <w:szCs w:val="24"/>
        </w:rPr>
        <w:t>s</w:t>
      </w:r>
      <w:r w:rsidR="004622A6">
        <w:rPr>
          <w:rFonts w:ascii="Arial" w:eastAsia="Times New Roman" w:hAnsi="Arial" w:cs="Arial"/>
          <w:sz w:val="24"/>
          <w:szCs w:val="24"/>
        </w:rPr>
        <w:t xml:space="preserve">uppliers </w:t>
      </w:r>
      <w:r w:rsidR="00BF5854">
        <w:rPr>
          <w:rFonts w:ascii="Arial" w:eastAsia="Times New Roman" w:hAnsi="Arial" w:cs="Arial"/>
          <w:sz w:val="24"/>
          <w:szCs w:val="24"/>
        </w:rPr>
        <w:t xml:space="preserve">to </w:t>
      </w:r>
      <w:r w:rsidR="00E90BE2">
        <w:rPr>
          <w:rFonts w:ascii="Arial" w:eastAsia="Times New Roman" w:hAnsi="Arial" w:cs="Arial"/>
          <w:sz w:val="24"/>
          <w:szCs w:val="24"/>
        </w:rPr>
        <w:t>p</w:t>
      </w:r>
      <w:r w:rsidR="00BF4A21">
        <w:rPr>
          <w:rFonts w:ascii="Arial" w:eastAsia="Times New Roman" w:hAnsi="Arial" w:cs="Arial"/>
          <w:sz w:val="24"/>
          <w:szCs w:val="24"/>
        </w:rPr>
        <w:t>rovid</w:t>
      </w:r>
      <w:r w:rsidR="00B46AB8">
        <w:rPr>
          <w:rFonts w:ascii="Arial" w:eastAsia="Times New Roman" w:hAnsi="Arial" w:cs="Arial"/>
          <w:sz w:val="24"/>
          <w:szCs w:val="24"/>
        </w:rPr>
        <w:t>e</w:t>
      </w:r>
      <w:r w:rsidR="00BF4A21">
        <w:rPr>
          <w:rFonts w:ascii="Arial" w:eastAsia="Times New Roman" w:hAnsi="Arial" w:cs="Arial"/>
          <w:sz w:val="24"/>
          <w:szCs w:val="24"/>
        </w:rPr>
        <w:t xml:space="preserve"> each variable rate plan</w:t>
      </w:r>
      <w:r w:rsidR="001101E9">
        <w:rPr>
          <w:rFonts w:ascii="Arial" w:eastAsia="Times New Roman" w:hAnsi="Arial" w:cs="Arial"/>
          <w:sz w:val="24"/>
          <w:szCs w:val="24"/>
        </w:rPr>
        <w:t xml:space="preserve"> customer</w:t>
      </w:r>
      <w:r w:rsidR="00964660">
        <w:rPr>
          <w:rFonts w:ascii="Arial" w:eastAsia="Times New Roman" w:hAnsi="Arial" w:cs="Arial"/>
          <w:sz w:val="24"/>
          <w:szCs w:val="24"/>
        </w:rPr>
        <w:t xml:space="preserve"> with</w:t>
      </w:r>
      <w:r w:rsidR="00BF4A21">
        <w:rPr>
          <w:rFonts w:ascii="Arial" w:eastAsia="Times New Roman" w:hAnsi="Arial" w:cs="Arial"/>
          <w:sz w:val="24"/>
          <w:szCs w:val="24"/>
        </w:rPr>
        <w:t xml:space="preserve"> notice </w:t>
      </w:r>
      <w:r w:rsidR="005361B6">
        <w:rPr>
          <w:rFonts w:ascii="Arial" w:eastAsia="Times New Roman" w:hAnsi="Arial" w:cs="Arial"/>
          <w:sz w:val="24"/>
          <w:szCs w:val="24"/>
        </w:rPr>
        <w:t xml:space="preserve">of </w:t>
      </w:r>
      <w:r w:rsidR="00FC24FA">
        <w:rPr>
          <w:rFonts w:ascii="Arial" w:eastAsia="Times New Roman" w:hAnsi="Arial" w:cs="Arial"/>
          <w:sz w:val="24"/>
          <w:szCs w:val="24"/>
        </w:rPr>
        <w:t xml:space="preserve">their exact variable </w:t>
      </w:r>
      <w:r w:rsidR="00BF4A21">
        <w:rPr>
          <w:rFonts w:ascii="Arial" w:eastAsia="Times New Roman" w:hAnsi="Arial" w:cs="Arial"/>
          <w:sz w:val="24"/>
          <w:szCs w:val="24"/>
        </w:rPr>
        <w:t xml:space="preserve">price </w:t>
      </w:r>
      <w:r w:rsidR="00D25420">
        <w:rPr>
          <w:rFonts w:ascii="Arial" w:eastAsia="Times New Roman" w:hAnsi="Arial" w:cs="Arial"/>
          <w:sz w:val="24"/>
          <w:szCs w:val="24"/>
        </w:rPr>
        <w:t>far eno</w:t>
      </w:r>
      <w:r w:rsidR="00C450C6">
        <w:rPr>
          <w:rFonts w:ascii="Arial" w:eastAsia="Times New Roman" w:hAnsi="Arial" w:cs="Arial"/>
          <w:sz w:val="24"/>
          <w:szCs w:val="24"/>
        </w:rPr>
        <w:t>ugh in advance for that customer to</w:t>
      </w:r>
      <w:r w:rsidR="00B84BFA">
        <w:rPr>
          <w:rFonts w:ascii="Arial" w:eastAsia="Times New Roman" w:hAnsi="Arial" w:cs="Arial"/>
          <w:sz w:val="24"/>
          <w:szCs w:val="24"/>
        </w:rPr>
        <w:t xml:space="preserve"> make a</w:t>
      </w:r>
      <w:r w:rsidR="00C450C6">
        <w:rPr>
          <w:rFonts w:ascii="Arial" w:eastAsia="Times New Roman" w:hAnsi="Arial" w:cs="Arial"/>
          <w:sz w:val="24"/>
          <w:szCs w:val="24"/>
        </w:rPr>
        <w:t xml:space="preserve"> switch to a different offer </w:t>
      </w:r>
      <w:r w:rsidR="00B46AB8">
        <w:rPr>
          <w:rFonts w:ascii="Arial" w:eastAsia="Times New Roman" w:hAnsi="Arial" w:cs="Arial"/>
          <w:sz w:val="24"/>
          <w:szCs w:val="24"/>
        </w:rPr>
        <w:t xml:space="preserve">is impractical </w:t>
      </w:r>
      <w:r w:rsidR="00C163DA">
        <w:rPr>
          <w:rFonts w:ascii="Arial" w:eastAsia="Times New Roman" w:hAnsi="Arial" w:cs="Arial"/>
          <w:sz w:val="24"/>
          <w:szCs w:val="24"/>
        </w:rPr>
        <w:t xml:space="preserve">given how the </w:t>
      </w:r>
      <w:r w:rsidR="00763ACF">
        <w:rPr>
          <w:rFonts w:ascii="Arial" w:eastAsia="Times New Roman" w:hAnsi="Arial" w:cs="Arial"/>
          <w:sz w:val="24"/>
          <w:szCs w:val="24"/>
        </w:rPr>
        <w:t xml:space="preserve">energy </w:t>
      </w:r>
      <w:r w:rsidR="00C163DA">
        <w:rPr>
          <w:rFonts w:ascii="Arial" w:eastAsia="Times New Roman" w:hAnsi="Arial" w:cs="Arial"/>
          <w:sz w:val="24"/>
          <w:szCs w:val="24"/>
        </w:rPr>
        <w:t>market</w:t>
      </w:r>
      <w:r w:rsidR="00763ACF">
        <w:rPr>
          <w:rFonts w:ascii="Arial" w:eastAsia="Times New Roman" w:hAnsi="Arial" w:cs="Arial"/>
          <w:sz w:val="24"/>
          <w:szCs w:val="24"/>
        </w:rPr>
        <w:t>s</w:t>
      </w:r>
      <w:r w:rsidR="00C163DA">
        <w:rPr>
          <w:rFonts w:ascii="Arial" w:eastAsia="Times New Roman" w:hAnsi="Arial" w:cs="Arial"/>
          <w:sz w:val="24"/>
          <w:szCs w:val="24"/>
        </w:rPr>
        <w:t xml:space="preserve"> operate</w:t>
      </w:r>
      <w:r w:rsidR="003776D7">
        <w:rPr>
          <w:rFonts w:ascii="Arial" w:eastAsia="Times New Roman" w:hAnsi="Arial" w:cs="Arial"/>
          <w:sz w:val="24"/>
          <w:szCs w:val="24"/>
        </w:rPr>
        <w:t>.</w:t>
      </w:r>
      <w:r w:rsidR="00E90BE2">
        <w:rPr>
          <w:rStyle w:val="FootnoteReference"/>
          <w:rFonts w:ascii="Arial" w:eastAsia="Times New Roman" w:hAnsi="Arial" w:cs="Arial"/>
          <w:sz w:val="24"/>
          <w:szCs w:val="24"/>
        </w:rPr>
        <w:footnoteReference w:id="39"/>
      </w:r>
      <w:r w:rsidR="00E90BE2">
        <w:rPr>
          <w:rFonts w:ascii="Arial" w:eastAsia="Times New Roman" w:hAnsi="Arial" w:cs="Arial"/>
          <w:sz w:val="24"/>
          <w:szCs w:val="24"/>
        </w:rPr>
        <w:t xml:space="preserve"> </w:t>
      </w:r>
      <w:r w:rsidR="003776D7">
        <w:rPr>
          <w:rFonts w:ascii="Arial" w:eastAsia="Times New Roman" w:hAnsi="Arial" w:cs="Arial"/>
          <w:sz w:val="24"/>
          <w:szCs w:val="24"/>
        </w:rPr>
        <w:t xml:space="preserve"> </w:t>
      </w:r>
      <w:r w:rsidR="004D6E75">
        <w:rPr>
          <w:rFonts w:ascii="Arial" w:eastAsia="Times New Roman" w:hAnsi="Arial" w:cs="Arial"/>
          <w:sz w:val="24"/>
          <w:szCs w:val="24"/>
        </w:rPr>
        <w:t>Many variable rates are based on</w:t>
      </w:r>
      <w:r w:rsidR="00C163DA">
        <w:rPr>
          <w:rFonts w:ascii="Arial" w:eastAsia="Times New Roman" w:hAnsi="Arial" w:cs="Arial"/>
          <w:sz w:val="24"/>
          <w:szCs w:val="24"/>
        </w:rPr>
        <w:t xml:space="preserve"> energy</w:t>
      </w:r>
      <w:r w:rsidR="004D6E75">
        <w:rPr>
          <w:rFonts w:ascii="Arial" w:eastAsia="Times New Roman" w:hAnsi="Arial" w:cs="Arial"/>
          <w:sz w:val="24"/>
          <w:szCs w:val="24"/>
        </w:rPr>
        <w:t xml:space="preserve"> market prices</w:t>
      </w:r>
      <w:r w:rsidR="00E15CB5">
        <w:rPr>
          <w:rFonts w:ascii="Arial" w:eastAsia="Times New Roman" w:hAnsi="Arial" w:cs="Arial"/>
          <w:sz w:val="24"/>
          <w:szCs w:val="24"/>
        </w:rPr>
        <w:t xml:space="preserve"> that occur</w:t>
      </w:r>
      <w:r w:rsidR="004D6E75">
        <w:rPr>
          <w:rFonts w:ascii="Arial" w:eastAsia="Times New Roman" w:hAnsi="Arial" w:cs="Arial"/>
          <w:sz w:val="24"/>
          <w:szCs w:val="24"/>
        </w:rPr>
        <w:t xml:space="preserve"> </w:t>
      </w:r>
      <w:r w:rsidR="00A427B5">
        <w:rPr>
          <w:rFonts w:ascii="Arial" w:eastAsia="Times New Roman" w:hAnsi="Arial" w:cs="Arial"/>
          <w:sz w:val="24"/>
          <w:szCs w:val="24"/>
        </w:rPr>
        <w:t xml:space="preserve">during the billing period </w:t>
      </w:r>
      <w:r w:rsidR="005F7CFF">
        <w:rPr>
          <w:rFonts w:ascii="Arial" w:eastAsia="Times New Roman" w:hAnsi="Arial" w:cs="Arial"/>
          <w:sz w:val="24"/>
          <w:szCs w:val="24"/>
        </w:rPr>
        <w:t xml:space="preserve">and thus impossible to determine prior to the customer usage. </w:t>
      </w:r>
      <w:r w:rsidR="008A41DB">
        <w:rPr>
          <w:rFonts w:ascii="Arial" w:eastAsia="Times New Roman" w:hAnsi="Arial" w:cs="Arial"/>
          <w:sz w:val="24"/>
          <w:szCs w:val="24"/>
        </w:rPr>
        <w:t>On one hand,</w:t>
      </w:r>
      <w:r w:rsidR="002A08F8">
        <w:rPr>
          <w:rFonts w:ascii="Arial" w:eastAsia="Times New Roman" w:hAnsi="Arial" w:cs="Arial"/>
          <w:sz w:val="24"/>
          <w:szCs w:val="24"/>
        </w:rPr>
        <w:t xml:space="preserve"> OCC </w:t>
      </w:r>
      <w:r w:rsidR="00BE1EA7">
        <w:rPr>
          <w:rFonts w:ascii="Arial" w:eastAsia="Times New Roman" w:hAnsi="Arial" w:cs="Arial"/>
          <w:sz w:val="24"/>
          <w:szCs w:val="24"/>
        </w:rPr>
        <w:t xml:space="preserve">would like </w:t>
      </w:r>
      <w:r w:rsidR="008A41DB">
        <w:rPr>
          <w:rFonts w:ascii="Arial" w:eastAsia="Times New Roman" w:hAnsi="Arial" w:cs="Arial"/>
          <w:sz w:val="24"/>
          <w:szCs w:val="24"/>
        </w:rPr>
        <w:t xml:space="preserve">variable rates to be expressly tied to </w:t>
      </w:r>
      <w:r w:rsidR="007B6C4F">
        <w:rPr>
          <w:rFonts w:ascii="Arial" w:eastAsia="Times New Roman" w:hAnsi="Arial" w:cs="Arial"/>
          <w:sz w:val="24"/>
          <w:szCs w:val="24"/>
        </w:rPr>
        <w:t xml:space="preserve">publicly available indices, but on the other hand, OCC would like variable rates </w:t>
      </w:r>
      <w:r w:rsidR="003974E6">
        <w:rPr>
          <w:rFonts w:ascii="Arial" w:eastAsia="Times New Roman" w:hAnsi="Arial" w:cs="Arial"/>
          <w:sz w:val="24"/>
          <w:szCs w:val="24"/>
        </w:rPr>
        <w:t>established</w:t>
      </w:r>
      <w:r w:rsidR="006C36CC">
        <w:rPr>
          <w:rFonts w:ascii="Arial" w:eastAsia="Times New Roman" w:hAnsi="Arial" w:cs="Arial"/>
          <w:sz w:val="24"/>
          <w:szCs w:val="24"/>
        </w:rPr>
        <w:t xml:space="preserve"> and shared</w:t>
      </w:r>
      <w:r w:rsidR="003974E6">
        <w:rPr>
          <w:rFonts w:ascii="Arial" w:eastAsia="Times New Roman" w:hAnsi="Arial" w:cs="Arial"/>
          <w:sz w:val="24"/>
          <w:szCs w:val="24"/>
        </w:rPr>
        <w:t xml:space="preserve"> </w:t>
      </w:r>
      <w:r w:rsidR="00273B8F">
        <w:rPr>
          <w:rFonts w:ascii="Arial" w:eastAsia="Times New Roman" w:hAnsi="Arial" w:cs="Arial"/>
          <w:sz w:val="24"/>
          <w:szCs w:val="24"/>
        </w:rPr>
        <w:t xml:space="preserve">weeks before the indices </w:t>
      </w:r>
      <w:r w:rsidR="0021563F">
        <w:rPr>
          <w:rFonts w:ascii="Arial" w:eastAsia="Times New Roman" w:hAnsi="Arial" w:cs="Arial"/>
          <w:sz w:val="24"/>
          <w:szCs w:val="24"/>
        </w:rPr>
        <w:t>are relevant</w:t>
      </w:r>
      <w:r w:rsidR="006059B4">
        <w:rPr>
          <w:rFonts w:ascii="Arial" w:eastAsia="Times New Roman" w:hAnsi="Arial" w:cs="Arial"/>
          <w:sz w:val="24"/>
          <w:szCs w:val="24"/>
        </w:rPr>
        <w:t xml:space="preserve">. </w:t>
      </w:r>
      <w:r w:rsidR="00E15CB5">
        <w:rPr>
          <w:rFonts w:ascii="Arial" w:eastAsia="Times New Roman" w:hAnsi="Arial" w:cs="Arial"/>
          <w:sz w:val="24"/>
          <w:szCs w:val="24"/>
        </w:rPr>
        <w:t xml:space="preserve">The Commission should </w:t>
      </w:r>
      <w:r w:rsidR="00577B60">
        <w:rPr>
          <w:rFonts w:ascii="Arial" w:eastAsia="Times New Roman" w:hAnsi="Arial" w:cs="Arial"/>
          <w:sz w:val="24"/>
          <w:szCs w:val="24"/>
        </w:rPr>
        <w:t xml:space="preserve">maintain the current rule language and not impose new </w:t>
      </w:r>
      <w:r w:rsidR="00CA00A9">
        <w:rPr>
          <w:rFonts w:ascii="Arial" w:eastAsia="Times New Roman" w:hAnsi="Arial" w:cs="Arial"/>
          <w:sz w:val="24"/>
          <w:szCs w:val="24"/>
        </w:rPr>
        <w:t xml:space="preserve">impractical requirements across the market. </w:t>
      </w:r>
    </w:p>
    <w:p w14:paraId="476B62C7" w14:textId="2EA8D6DF" w:rsidR="00DD522F" w:rsidRDefault="009E18BC" w:rsidP="00D11301">
      <w:pPr>
        <w:pStyle w:val="Heading3"/>
      </w:pPr>
      <w:bookmarkStart w:id="27" w:name="_Toc85784659"/>
      <w:bookmarkStart w:id="28" w:name="_Toc85785001"/>
      <w:r>
        <w:t xml:space="preserve">Setting a </w:t>
      </w:r>
      <w:r w:rsidR="0078605F">
        <w:t>c</w:t>
      </w:r>
      <w:r w:rsidR="00E47433">
        <w:t>ap</w:t>
      </w:r>
      <w:r>
        <w:t xml:space="preserve"> on the rates </w:t>
      </w:r>
      <w:r w:rsidR="009B7D34">
        <w:t xml:space="preserve">permitted to be </w:t>
      </w:r>
      <w:r>
        <w:t xml:space="preserve">charged by </w:t>
      </w:r>
      <w:r w:rsidR="00964660">
        <w:t>energy providers</w:t>
      </w:r>
      <w:r w:rsidR="00E47433">
        <w:t xml:space="preserve"> is </w:t>
      </w:r>
      <w:r w:rsidR="008A7AE8">
        <w:t>unlawful</w:t>
      </w:r>
      <w:r w:rsidR="001E246F">
        <w:t>, unreasonable,</w:t>
      </w:r>
      <w:r w:rsidR="008A7AE8">
        <w:t xml:space="preserve"> </w:t>
      </w:r>
      <w:r w:rsidR="00E47433">
        <w:t>and impractical</w:t>
      </w:r>
      <w:r w:rsidR="00306446">
        <w:t>.</w:t>
      </w:r>
      <w:bookmarkEnd w:id="27"/>
      <w:bookmarkEnd w:id="28"/>
      <w:r w:rsidR="00306446">
        <w:t xml:space="preserve"> </w:t>
      </w:r>
    </w:p>
    <w:p w14:paraId="0FA26F54" w14:textId="3475207A" w:rsidR="006E6CB1" w:rsidRDefault="006E6CB1" w:rsidP="009F283E">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OCC </w:t>
      </w:r>
      <w:r w:rsidR="00EA0F14">
        <w:rPr>
          <w:rFonts w:ascii="Arial" w:eastAsia="Times New Roman" w:hAnsi="Arial" w:cs="Arial"/>
          <w:sz w:val="24"/>
          <w:szCs w:val="24"/>
        </w:rPr>
        <w:t xml:space="preserve">also </w:t>
      </w:r>
      <w:r>
        <w:rPr>
          <w:rFonts w:ascii="Arial" w:eastAsia="Times New Roman" w:hAnsi="Arial" w:cs="Arial"/>
          <w:sz w:val="24"/>
          <w:szCs w:val="24"/>
        </w:rPr>
        <w:t>asserts that</w:t>
      </w:r>
      <w:r w:rsidR="008A7AE8">
        <w:rPr>
          <w:rFonts w:ascii="Arial" w:eastAsia="Times New Roman" w:hAnsi="Arial" w:cs="Arial"/>
          <w:sz w:val="24"/>
          <w:szCs w:val="24"/>
        </w:rPr>
        <w:t xml:space="preserve"> the Commission</w:t>
      </w:r>
      <w:r w:rsidR="00193DA7">
        <w:rPr>
          <w:rFonts w:ascii="Arial" w:eastAsia="Times New Roman" w:hAnsi="Arial" w:cs="Arial"/>
          <w:sz w:val="24"/>
          <w:szCs w:val="24"/>
        </w:rPr>
        <w:t xml:space="preserve"> should establish</w:t>
      </w:r>
      <w:r>
        <w:rPr>
          <w:rFonts w:ascii="Arial" w:eastAsia="Times New Roman" w:hAnsi="Arial" w:cs="Arial"/>
          <w:sz w:val="24"/>
          <w:szCs w:val="24"/>
        </w:rPr>
        <w:t xml:space="preserve"> a price cap</w:t>
      </w:r>
      <w:r w:rsidR="00193DA7">
        <w:rPr>
          <w:rFonts w:ascii="Arial" w:eastAsia="Times New Roman" w:hAnsi="Arial" w:cs="Arial"/>
          <w:sz w:val="24"/>
          <w:szCs w:val="24"/>
        </w:rPr>
        <w:t xml:space="preserve"> </w:t>
      </w:r>
      <w:r w:rsidR="00DD5024">
        <w:rPr>
          <w:rFonts w:ascii="Arial" w:eastAsia="Times New Roman" w:hAnsi="Arial" w:cs="Arial"/>
          <w:sz w:val="24"/>
          <w:szCs w:val="24"/>
        </w:rPr>
        <w:t>prohibiting</w:t>
      </w:r>
      <w:r w:rsidR="00BB76A9">
        <w:rPr>
          <w:rFonts w:ascii="Arial" w:eastAsia="Times New Roman" w:hAnsi="Arial" w:cs="Arial"/>
          <w:sz w:val="24"/>
          <w:szCs w:val="24"/>
        </w:rPr>
        <w:t xml:space="preserve"> energy </w:t>
      </w:r>
      <w:r w:rsidR="00DD1CCE">
        <w:rPr>
          <w:rFonts w:ascii="Arial" w:eastAsia="Times New Roman" w:hAnsi="Arial" w:cs="Arial"/>
          <w:sz w:val="24"/>
          <w:szCs w:val="24"/>
        </w:rPr>
        <w:t xml:space="preserve">providers </w:t>
      </w:r>
      <w:r w:rsidR="00AF4396">
        <w:rPr>
          <w:rFonts w:ascii="Arial" w:eastAsia="Times New Roman" w:hAnsi="Arial" w:cs="Arial"/>
          <w:sz w:val="24"/>
          <w:szCs w:val="24"/>
        </w:rPr>
        <w:t xml:space="preserve">from charging </w:t>
      </w:r>
      <w:r w:rsidR="008C6A25">
        <w:rPr>
          <w:rFonts w:ascii="Arial" w:eastAsia="Times New Roman" w:hAnsi="Arial" w:cs="Arial"/>
          <w:sz w:val="24"/>
          <w:szCs w:val="24"/>
        </w:rPr>
        <w:t xml:space="preserve">customers </w:t>
      </w:r>
      <w:r w:rsidR="00C14FCF">
        <w:rPr>
          <w:rFonts w:ascii="Arial" w:eastAsia="Times New Roman" w:hAnsi="Arial" w:cs="Arial"/>
          <w:sz w:val="24"/>
          <w:szCs w:val="24"/>
        </w:rPr>
        <w:t>a</w:t>
      </w:r>
      <w:r w:rsidR="007C3C06">
        <w:rPr>
          <w:rFonts w:ascii="Arial" w:eastAsia="Times New Roman" w:hAnsi="Arial" w:cs="Arial"/>
          <w:sz w:val="24"/>
          <w:szCs w:val="24"/>
        </w:rPr>
        <w:t xml:space="preserve"> </w:t>
      </w:r>
      <w:r w:rsidR="00CD2315">
        <w:rPr>
          <w:rFonts w:ascii="Arial" w:eastAsia="Times New Roman" w:hAnsi="Arial" w:cs="Arial"/>
          <w:sz w:val="24"/>
          <w:szCs w:val="24"/>
        </w:rPr>
        <w:t>variable rate</w:t>
      </w:r>
      <w:r w:rsidR="00A95DA5">
        <w:rPr>
          <w:rFonts w:ascii="Arial" w:eastAsia="Times New Roman" w:hAnsi="Arial" w:cs="Arial"/>
          <w:sz w:val="24"/>
          <w:szCs w:val="24"/>
        </w:rPr>
        <w:t xml:space="preserve"> </w:t>
      </w:r>
      <w:r w:rsidR="00C14FCF">
        <w:rPr>
          <w:rFonts w:ascii="Arial" w:eastAsia="Times New Roman" w:hAnsi="Arial" w:cs="Arial"/>
          <w:sz w:val="24"/>
          <w:szCs w:val="24"/>
        </w:rPr>
        <w:t>that is</w:t>
      </w:r>
      <w:r w:rsidR="0044238A">
        <w:rPr>
          <w:rFonts w:ascii="Arial" w:eastAsia="Times New Roman" w:hAnsi="Arial" w:cs="Arial"/>
          <w:sz w:val="24"/>
          <w:szCs w:val="24"/>
        </w:rPr>
        <w:t xml:space="preserve"> </w:t>
      </w:r>
      <w:r w:rsidR="008478DB">
        <w:rPr>
          <w:rFonts w:ascii="Arial" w:eastAsia="Times New Roman" w:hAnsi="Arial" w:cs="Arial"/>
          <w:sz w:val="24"/>
          <w:szCs w:val="24"/>
        </w:rPr>
        <w:t>equal to</w:t>
      </w:r>
      <w:r w:rsidR="00247068">
        <w:rPr>
          <w:rFonts w:ascii="Arial" w:eastAsia="Times New Roman" w:hAnsi="Arial" w:cs="Arial"/>
          <w:sz w:val="24"/>
          <w:szCs w:val="24"/>
        </w:rPr>
        <w:t xml:space="preserve"> </w:t>
      </w:r>
      <w:r w:rsidR="009F283E" w:rsidRPr="009F283E">
        <w:rPr>
          <w:rFonts w:ascii="Arial" w:eastAsia="Times New Roman" w:hAnsi="Arial" w:cs="Arial"/>
          <w:sz w:val="24"/>
          <w:szCs w:val="24"/>
        </w:rPr>
        <w:t>2.25 times the utility’s standard</w:t>
      </w:r>
      <w:r w:rsidR="009F283E">
        <w:rPr>
          <w:rFonts w:ascii="Arial" w:eastAsia="Times New Roman" w:hAnsi="Arial" w:cs="Arial"/>
          <w:sz w:val="24"/>
          <w:szCs w:val="24"/>
        </w:rPr>
        <w:t xml:space="preserve"> </w:t>
      </w:r>
      <w:r w:rsidR="009F283E" w:rsidRPr="009F283E">
        <w:rPr>
          <w:rFonts w:ascii="Arial" w:eastAsia="Times New Roman" w:hAnsi="Arial" w:cs="Arial"/>
          <w:sz w:val="24"/>
          <w:szCs w:val="24"/>
        </w:rPr>
        <w:t>offer</w:t>
      </w:r>
      <w:r w:rsidR="009F283E">
        <w:rPr>
          <w:rFonts w:ascii="Arial" w:eastAsia="Times New Roman" w:hAnsi="Arial" w:cs="Arial"/>
          <w:sz w:val="24"/>
          <w:szCs w:val="24"/>
        </w:rPr>
        <w:t>.</w:t>
      </w:r>
      <w:r w:rsidR="009F283E">
        <w:rPr>
          <w:rStyle w:val="FootnoteReference"/>
          <w:rFonts w:ascii="Arial" w:eastAsia="Times New Roman" w:hAnsi="Arial" w:cs="Arial"/>
          <w:sz w:val="24"/>
          <w:szCs w:val="24"/>
        </w:rPr>
        <w:footnoteReference w:id="40"/>
      </w:r>
      <w:r w:rsidR="00BA4415">
        <w:rPr>
          <w:rFonts w:ascii="Arial" w:eastAsia="Times New Roman" w:hAnsi="Arial" w:cs="Arial"/>
          <w:sz w:val="24"/>
          <w:szCs w:val="24"/>
        </w:rPr>
        <w:t xml:space="preserve"> OCC does not provide </w:t>
      </w:r>
      <w:r w:rsidR="00CD033C">
        <w:rPr>
          <w:rFonts w:ascii="Arial" w:eastAsia="Times New Roman" w:hAnsi="Arial" w:cs="Arial"/>
          <w:sz w:val="24"/>
          <w:szCs w:val="24"/>
        </w:rPr>
        <w:t xml:space="preserve">any </w:t>
      </w:r>
      <w:r w:rsidR="00BA4415">
        <w:rPr>
          <w:rFonts w:ascii="Arial" w:eastAsia="Times New Roman" w:hAnsi="Arial" w:cs="Arial"/>
          <w:sz w:val="24"/>
          <w:szCs w:val="24"/>
        </w:rPr>
        <w:t>reasoning or justification b</w:t>
      </w:r>
      <w:r w:rsidR="00D5365B">
        <w:rPr>
          <w:rFonts w:ascii="Arial" w:eastAsia="Times New Roman" w:hAnsi="Arial" w:cs="Arial"/>
          <w:sz w:val="24"/>
          <w:szCs w:val="24"/>
        </w:rPr>
        <w:t>ehind the proposed 2.25 times price cap</w:t>
      </w:r>
      <w:r w:rsidR="007E1332">
        <w:rPr>
          <w:rFonts w:ascii="Arial" w:eastAsia="Times New Roman" w:hAnsi="Arial" w:cs="Arial"/>
          <w:sz w:val="24"/>
          <w:szCs w:val="24"/>
        </w:rPr>
        <w:t xml:space="preserve">. </w:t>
      </w:r>
      <w:r w:rsidR="00361DE1">
        <w:rPr>
          <w:rFonts w:ascii="Arial" w:eastAsia="Times New Roman" w:hAnsi="Arial" w:cs="Arial"/>
          <w:sz w:val="24"/>
          <w:szCs w:val="24"/>
        </w:rPr>
        <w:t xml:space="preserve">The Commission must reject this </w:t>
      </w:r>
      <w:r w:rsidR="001F5126">
        <w:rPr>
          <w:rFonts w:ascii="Arial" w:eastAsia="Times New Roman" w:hAnsi="Arial" w:cs="Arial"/>
          <w:sz w:val="24"/>
          <w:szCs w:val="24"/>
        </w:rPr>
        <w:t>limitation as unlawful</w:t>
      </w:r>
      <w:r w:rsidR="00736027">
        <w:rPr>
          <w:rFonts w:ascii="Arial" w:eastAsia="Times New Roman" w:hAnsi="Arial" w:cs="Arial"/>
          <w:sz w:val="24"/>
          <w:szCs w:val="24"/>
        </w:rPr>
        <w:t>, unreasonable,</w:t>
      </w:r>
      <w:r w:rsidR="001F5126">
        <w:rPr>
          <w:rFonts w:ascii="Arial" w:eastAsia="Times New Roman" w:hAnsi="Arial" w:cs="Arial"/>
          <w:sz w:val="24"/>
          <w:szCs w:val="24"/>
        </w:rPr>
        <w:t xml:space="preserve"> and impractical.</w:t>
      </w:r>
    </w:p>
    <w:p w14:paraId="751CC822" w14:textId="21A7DDBE" w:rsidR="00AF12BB" w:rsidRDefault="00AF12BB" w:rsidP="00E24AE9">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First, the Commission lacks ratemaking authority over the rates charged by CRES and CRNGS suppliers for competitive retail energy service. As the Supreme Court of Ohio has repeatedly held, t</w:t>
      </w:r>
      <w:r w:rsidRPr="008603A2">
        <w:rPr>
          <w:rFonts w:ascii="Arial" w:eastAsia="Times New Roman" w:hAnsi="Arial" w:cs="Arial"/>
          <w:sz w:val="24"/>
          <w:szCs w:val="24"/>
        </w:rPr>
        <w:t xml:space="preserve">he Commission "is a creature of the General Assembly and may exercise no jurisdiction beyond that conferred by statute." </w:t>
      </w:r>
      <w:r w:rsidRPr="00BA4B6C">
        <w:rPr>
          <w:rFonts w:ascii="Arial" w:eastAsia="Times New Roman" w:hAnsi="Arial" w:cs="Arial"/>
          <w:i/>
          <w:iCs/>
          <w:sz w:val="24"/>
          <w:szCs w:val="24"/>
        </w:rPr>
        <w:t xml:space="preserve">Penn Central Transportation </w:t>
      </w:r>
      <w:r w:rsidRPr="00BA4B6C">
        <w:rPr>
          <w:rFonts w:ascii="Arial" w:eastAsia="Times New Roman" w:hAnsi="Arial" w:cs="Arial"/>
          <w:i/>
          <w:iCs/>
          <w:sz w:val="24"/>
          <w:szCs w:val="24"/>
        </w:rPr>
        <w:lastRenderedPageBreak/>
        <w:t xml:space="preserve">Co. v. Pub. Util. </w:t>
      </w:r>
      <w:r w:rsidRPr="0021141E">
        <w:rPr>
          <w:rFonts w:ascii="Arial" w:eastAsia="Times New Roman" w:hAnsi="Arial" w:cs="Arial"/>
          <w:i/>
          <w:iCs/>
          <w:sz w:val="24"/>
          <w:szCs w:val="24"/>
        </w:rPr>
        <w:t>Comm</w:t>
      </w:r>
      <w:r w:rsidRPr="0021141E">
        <w:rPr>
          <w:rFonts w:ascii="Arial" w:eastAsia="Times New Roman" w:hAnsi="Arial" w:cs="Arial"/>
          <w:sz w:val="24"/>
          <w:szCs w:val="24"/>
        </w:rPr>
        <w:t>., 35 Ohio St.2d 97, 298 N.E.2d 97 (1973).</w:t>
      </w:r>
      <w:r w:rsidR="001B6E6E">
        <w:rPr>
          <w:rFonts w:ascii="Arial" w:eastAsia="Times New Roman" w:hAnsi="Arial" w:cs="Arial"/>
          <w:sz w:val="24"/>
          <w:szCs w:val="24"/>
        </w:rPr>
        <w:t xml:space="preserve"> </w:t>
      </w:r>
      <w:r>
        <w:rPr>
          <w:rFonts w:ascii="Arial" w:eastAsia="Times New Roman" w:hAnsi="Arial" w:cs="Arial"/>
          <w:sz w:val="24"/>
          <w:szCs w:val="24"/>
        </w:rPr>
        <w:t xml:space="preserve">Nothing in the Ohio Revised Code provides the Commission with jurisdiction to set the rates charged by competitive energy providers. In fact, </w:t>
      </w:r>
      <w:r w:rsidRPr="0021141E">
        <w:rPr>
          <w:rFonts w:ascii="Arial" w:eastAsia="Times New Roman" w:hAnsi="Arial" w:cs="Arial"/>
          <w:sz w:val="24"/>
          <w:szCs w:val="24"/>
        </w:rPr>
        <w:t>R.C. 4928.05(A)(1) explicitly states that a competitive retail electric service shall not be subject to supervision and regulation by the Commission under R.C. Chapter 4909</w:t>
      </w:r>
      <w:r>
        <w:rPr>
          <w:rFonts w:ascii="Arial" w:eastAsia="Times New Roman" w:hAnsi="Arial" w:cs="Arial"/>
          <w:sz w:val="24"/>
          <w:szCs w:val="24"/>
        </w:rPr>
        <w:t>, which houses</w:t>
      </w:r>
      <w:r w:rsidRPr="0021141E">
        <w:rPr>
          <w:rFonts w:ascii="Arial" w:eastAsia="Times New Roman" w:hAnsi="Arial" w:cs="Arial"/>
          <w:sz w:val="24"/>
          <w:szCs w:val="24"/>
        </w:rPr>
        <w:t xml:space="preserve"> the ratemaking statute.</w:t>
      </w:r>
      <w:r>
        <w:rPr>
          <w:rFonts w:ascii="Arial" w:eastAsia="Times New Roman" w:hAnsi="Arial" w:cs="Arial"/>
          <w:sz w:val="24"/>
          <w:szCs w:val="24"/>
        </w:rPr>
        <w:t xml:space="preserve"> Thus, OCC’s proposal must be </w:t>
      </w:r>
      <w:r w:rsidR="00495A29">
        <w:rPr>
          <w:rFonts w:ascii="Arial" w:eastAsia="Times New Roman" w:hAnsi="Arial" w:cs="Arial"/>
          <w:sz w:val="24"/>
          <w:szCs w:val="24"/>
        </w:rPr>
        <w:t xml:space="preserve">rejected as unlawful. </w:t>
      </w:r>
    </w:p>
    <w:p w14:paraId="2793519E" w14:textId="276E5F26" w:rsidR="004A5863" w:rsidRPr="00E2782C" w:rsidRDefault="00212412" w:rsidP="00E24AE9">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The </w:t>
      </w:r>
      <w:r w:rsidR="004A5863">
        <w:rPr>
          <w:rFonts w:ascii="Arial" w:eastAsia="Times New Roman" w:hAnsi="Arial" w:cs="Arial"/>
          <w:sz w:val="24"/>
          <w:szCs w:val="24"/>
        </w:rPr>
        <w:t xml:space="preserve">Commission should also disregard this proposal because it </w:t>
      </w:r>
      <w:r w:rsidR="00BD75D8">
        <w:rPr>
          <w:rFonts w:ascii="Arial" w:eastAsia="Times New Roman" w:hAnsi="Arial" w:cs="Arial"/>
          <w:sz w:val="24"/>
          <w:szCs w:val="24"/>
        </w:rPr>
        <w:t>unreasonably</w:t>
      </w:r>
      <w:r w:rsidR="004A5863">
        <w:rPr>
          <w:rFonts w:ascii="Arial" w:eastAsia="Times New Roman" w:hAnsi="Arial" w:cs="Arial"/>
          <w:sz w:val="24"/>
          <w:szCs w:val="24"/>
        </w:rPr>
        <w:t xml:space="preserve"> </w:t>
      </w:r>
      <w:r w:rsidR="003F0D7B">
        <w:rPr>
          <w:rFonts w:ascii="Arial" w:eastAsia="Times New Roman" w:hAnsi="Arial" w:cs="Arial"/>
          <w:sz w:val="24"/>
          <w:szCs w:val="24"/>
        </w:rPr>
        <w:t>elevate</w:t>
      </w:r>
      <w:r w:rsidR="007C65A3">
        <w:rPr>
          <w:rFonts w:ascii="Arial" w:eastAsia="Times New Roman" w:hAnsi="Arial" w:cs="Arial"/>
          <w:sz w:val="24"/>
          <w:szCs w:val="24"/>
        </w:rPr>
        <w:t>s</w:t>
      </w:r>
      <w:r w:rsidR="003F0D7B">
        <w:rPr>
          <w:rFonts w:ascii="Arial" w:eastAsia="Times New Roman" w:hAnsi="Arial" w:cs="Arial"/>
          <w:sz w:val="24"/>
          <w:szCs w:val="24"/>
        </w:rPr>
        <w:t xml:space="preserve"> the utility</w:t>
      </w:r>
      <w:r w:rsidR="00EE68B1">
        <w:rPr>
          <w:rFonts w:ascii="Arial" w:eastAsia="Times New Roman" w:hAnsi="Arial" w:cs="Arial"/>
          <w:sz w:val="24"/>
          <w:szCs w:val="24"/>
        </w:rPr>
        <w:t>’s standard offer</w:t>
      </w:r>
      <w:r w:rsidR="005F5C0A">
        <w:rPr>
          <w:rFonts w:ascii="Arial" w:eastAsia="Times New Roman" w:hAnsi="Arial" w:cs="Arial"/>
          <w:sz w:val="24"/>
          <w:szCs w:val="24"/>
        </w:rPr>
        <w:t xml:space="preserve"> beyond its intended purpose. </w:t>
      </w:r>
      <w:r w:rsidR="00B86691">
        <w:rPr>
          <w:rFonts w:ascii="Arial" w:eastAsia="Times New Roman" w:hAnsi="Arial" w:cs="Arial"/>
          <w:sz w:val="24"/>
          <w:szCs w:val="24"/>
        </w:rPr>
        <w:t>S</w:t>
      </w:r>
      <w:r w:rsidR="004D0C21">
        <w:rPr>
          <w:rFonts w:ascii="Arial" w:eastAsia="Times New Roman" w:hAnsi="Arial" w:cs="Arial"/>
          <w:sz w:val="24"/>
          <w:szCs w:val="24"/>
        </w:rPr>
        <w:t xml:space="preserve">etting a cap within the rules tied to the utility’s standard offer would show preference toward a single product in a vast </w:t>
      </w:r>
      <w:r w:rsidR="004D0C21" w:rsidRPr="00E24AE9">
        <w:rPr>
          <w:rFonts w:ascii="Arial" w:eastAsia="Times New Roman" w:hAnsi="Arial" w:cs="Arial"/>
          <w:sz w:val="24"/>
          <w:szCs w:val="24"/>
        </w:rPr>
        <w:t>marketplace.</w:t>
      </w:r>
      <w:r w:rsidR="00E24AE9" w:rsidRPr="00E24AE9">
        <w:rPr>
          <w:rFonts w:ascii="Arial" w:eastAsia="Times New Roman" w:hAnsi="Arial" w:cs="Arial"/>
          <w:sz w:val="24"/>
          <w:szCs w:val="24"/>
        </w:rPr>
        <w:t xml:space="preserve"> </w:t>
      </w:r>
      <w:r w:rsidR="00482F96">
        <w:rPr>
          <w:rFonts w:ascii="Arial" w:eastAsia="Times New Roman" w:hAnsi="Arial" w:cs="Arial"/>
          <w:sz w:val="24"/>
          <w:szCs w:val="24"/>
        </w:rPr>
        <w:t>In addition,</w:t>
      </w:r>
      <w:r w:rsidRPr="00E24AE9">
        <w:rPr>
          <w:rFonts w:ascii="Arial" w:eastAsia="Times New Roman" w:hAnsi="Arial" w:cs="Arial"/>
          <w:sz w:val="24"/>
          <w:szCs w:val="24"/>
        </w:rPr>
        <w:t xml:space="preserve"> i</w:t>
      </w:r>
      <w:r w:rsidR="00C77BFA" w:rsidRPr="00E24AE9">
        <w:rPr>
          <w:rFonts w:ascii="Arial" w:eastAsia="Times New Roman" w:hAnsi="Arial" w:cs="Arial"/>
          <w:sz w:val="24"/>
          <w:szCs w:val="24"/>
        </w:rPr>
        <w:t>mposing a price cap</w:t>
      </w:r>
      <w:r w:rsidR="00D40AF3" w:rsidRPr="00E24AE9">
        <w:rPr>
          <w:rFonts w:ascii="Arial" w:eastAsia="Times New Roman" w:hAnsi="Arial" w:cs="Arial"/>
          <w:sz w:val="24"/>
          <w:szCs w:val="24"/>
        </w:rPr>
        <w:t xml:space="preserve"> based on the variable </w:t>
      </w:r>
      <w:r w:rsidR="00EE68B1" w:rsidRPr="00E24AE9">
        <w:rPr>
          <w:rFonts w:ascii="Arial" w:eastAsia="Times New Roman" w:hAnsi="Arial" w:cs="Arial"/>
          <w:sz w:val="24"/>
          <w:szCs w:val="24"/>
        </w:rPr>
        <w:t xml:space="preserve">utility’s standard offer </w:t>
      </w:r>
      <w:r w:rsidR="00D40AF3" w:rsidRPr="00E24AE9">
        <w:rPr>
          <w:rFonts w:ascii="Arial" w:eastAsia="Times New Roman" w:hAnsi="Arial" w:cs="Arial"/>
          <w:sz w:val="24"/>
          <w:szCs w:val="24"/>
        </w:rPr>
        <w:t>price would introduc</w:t>
      </w:r>
      <w:r w:rsidR="004F787B" w:rsidRPr="00E24AE9">
        <w:rPr>
          <w:rFonts w:ascii="Arial" w:eastAsia="Times New Roman" w:hAnsi="Arial" w:cs="Arial"/>
          <w:sz w:val="24"/>
          <w:szCs w:val="24"/>
        </w:rPr>
        <w:t xml:space="preserve">e new layers of complexity </w:t>
      </w:r>
      <w:r w:rsidR="00415BBF" w:rsidRPr="00E24AE9">
        <w:rPr>
          <w:rFonts w:ascii="Arial" w:eastAsia="Times New Roman" w:hAnsi="Arial" w:cs="Arial"/>
          <w:sz w:val="24"/>
          <w:szCs w:val="24"/>
        </w:rPr>
        <w:t xml:space="preserve">without any justification. </w:t>
      </w:r>
      <w:r w:rsidR="00003F8E" w:rsidRPr="00E24AE9">
        <w:rPr>
          <w:rFonts w:ascii="Arial" w:eastAsia="Times New Roman" w:hAnsi="Arial" w:cs="Arial"/>
          <w:sz w:val="24"/>
          <w:szCs w:val="24"/>
        </w:rPr>
        <w:t xml:space="preserve">As prescribed in the current rules, each supplier must disclose the formula to </w:t>
      </w:r>
      <w:r w:rsidR="00AE09F5" w:rsidRPr="00E24AE9">
        <w:rPr>
          <w:rFonts w:ascii="Arial" w:eastAsia="Times New Roman" w:hAnsi="Arial" w:cs="Arial"/>
          <w:sz w:val="24"/>
          <w:szCs w:val="24"/>
        </w:rPr>
        <w:t>equate the variable rate offering.</w:t>
      </w:r>
      <w:r w:rsidR="00AE09F5" w:rsidRPr="00E24AE9">
        <w:rPr>
          <w:rStyle w:val="FootnoteReference"/>
          <w:rFonts w:ascii="Arial" w:eastAsia="Times New Roman" w:hAnsi="Arial" w:cs="Arial"/>
          <w:sz w:val="24"/>
          <w:szCs w:val="24"/>
        </w:rPr>
        <w:footnoteReference w:id="41"/>
      </w:r>
      <w:r w:rsidR="00AE09F5" w:rsidRPr="00E24AE9">
        <w:rPr>
          <w:rFonts w:ascii="Arial" w:eastAsia="Times New Roman" w:hAnsi="Arial" w:cs="Arial"/>
          <w:sz w:val="24"/>
          <w:szCs w:val="24"/>
        </w:rPr>
        <w:t xml:space="preserve"> </w:t>
      </w:r>
      <w:r w:rsidR="00C72FAD" w:rsidRPr="00E24AE9">
        <w:rPr>
          <w:rFonts w:ascii="Arial" w:eastAsia="Times New Roman" w:hAnsi="Arial" w:cs="Arial"/>
          <w:sz w:val="24"/>
          <w:szCs w:val="24"/>
        </w:rPr>
        <w:t xml:space="preserve">Adding in additional layers </w:t>
      </w:r>
      <w:r w:rsidR="00BF63EA" w:rsidRPr="00E24AE9">
        <w:rPr>
          <w:rFonts w:ascii="Arial" w:eastAsia="Times New Roman" w:hAnsi="Arial" w:cs="Arial"/>
          <w:sz w:val="24"/>
          <w:szCs w:val="24"/>
        </w:rPr>
        <w:t xml:space="preserve">and consumer protection without </w:t>
      </w:r>
      <w:r w:rsidR="00BF63EA" w:rsidRPr="00E2782C">
        <w:rPr>
          <w:rFonts w:ascii="Arial" w:eastAsia="Times New Roman" w:hAnsi="Arial" w:cs="Arial"/>
          <w:sz w:val="24"/>
          <w:szCs w:val="24"/>
        </w:rPr>
        <w:t xml:space="preserve">justification is unwarranted. </w:t>
      </w:r>
    </w:p>
    <w:p w14:paraId="7D456C64" w14:textId="5AE4567F" w:rsidR="00CA00A9" w:rsidRPr="00E2782C" w:rsidRDefault="005B0134" w:rsidP="00D11301">
      <w:pPr>
        <w:pStyle w:val="Heading2"/>
      </w:pPr>
      <w:bookmarkStart w:id="29" w:name="_Toc85784660"/>
      <w:bookmarkStart w:id="30" w:name="_Toc85785002"/>
      <w:r w:rsidRPr="00E2782C">
        <w:t xml:space="preserve">The Commission should continue to reject </w:t>
      </w:r>
      <w:r w:rsidR="009C7020" w:rsidRPr="00E2782C">
        <w:t xml:space="preserve">shadow billing </w:t>
      </w:r>
      <w:r w:rsidR="00970111" w:rsidRPr="00E2782C">
        <w:t xml:space="preserve">proposals </w:t>
      </w:r>
      <w:r w:rsidR="00886DF9" w:rsidRPr="00E2782C">
        <w:t>as unnecessary</w:t>
      </w:r>
      <w:r w:rsidR="00814621">
        <w:t xml:space="preserve"> and misleading.</w:t>
      </w:r>
      <w:bookmarkEnd w:id="29"/>
      <w:bookmarkEnd w:id="30"/>
    </w:p>
    <w:p w14:paraId="6852D6E3" w14:textId="7B413FA8" w:rsidR="002C1B07" w:rsidRPr="004A385F" w:rsidRDefault="002C1B07" w:rsidP="002C1B07">
      <w:pPr>
        <w:spacing w:after="0" w:line="480" w:lineRule="auto"/>
        <w:ind w:firstLine="720"/>
        <w:jc w:val="both"/>
        <w:textAlignment w:val="baseline"/>
        <w:rPr>
          <w:rFonts w:ascii="Arial" w:eastAsia="Times New Roman" w:hAnsi="Arial" w:cs="Arial"/>
          <w:sz w:val="24"/>
          <w:szCs w:val="24"/>
        </w:rPr>
      </w:pPr>
      <w:r w:rsidRPr="004A385F">
        <w:rPr>
          <w:rFonts w:ascii="Arial" w:eastAsia="Times New Roman" w:hAnsi="Arial" w:cs="Arial"/>
          <w:sz w:val="24"/>
          <w:szCs w:val="24"/>
        </w:rPr>
        <w:t xml:space="preserve">OCC proposes, without offering any </w:t>
      </w:r>
      <w:r w:rsidR="002D323C">
        <w:rPr>
          <w:rFonts w:ascii="Arial" w:eastAsia="Times New Roman" w:hAnsi="Arial" w:cs="Arial"/>
          <w:sz w:val="24"/>
          <w:szCs w:val="24"/>
        </w:rPr>
        <w:t>proposed</w:t>
      </w:r>
      <w:r w:rsidRPr="004A385F">
        <w:rPr>
          <w:rFonts w:ascii="Arial" w:eastAsia="Times New Roman" w:hAnsi="Arial" w:cs="Arial"/>
          <w:sz w:val="24"/>
          <w:szCs w:val="24"/>
        </w:rPr>
        <w:t xml:space="preserve"> language, a requirement that the</w:t>
      </w:r>
      <w:r>
        <w:rPr>
          <w:rFonts w:ascii="Arial" w:eastAsia="Times New Roman" w:hAnsi="Arial" w:cs="Arial"/>
          <w:sz w:val="24"/>
          <w:szCs w:val="24"/>
        </w:rPr>
        <w:t xml:space="preserve"> utilities</w:t>
      </w:r>
      <w:r w:rsidRPr="004A385F">
        <w:rPr>
          <w:rFonts w:ascii="Arial" w:eastAsia="Times New Roman" w:hAnsi="Arial" w:cs="Arial"/>
          <w:sz w:val="24"/>
          <w:szCs w:val="24"/>
        </w:rPr>
        <w:t xml:space="preserve"> record “shadow-billing data” to compare the difference between utility rate offers for both electricity and natural gas and the rates charged by </w:t>
      </w:r>
      <w:r>
        <w:rPr>
          <w:rFonts w:ascii="Arial" w:eastAsia="Times New Roman" w:hAnsi="Arial" w:cs="Arial"/>
          <w:sz w:val="24"/>
          <w:szCs w:val="24"/>
        </w:rPr>
        <w:t>CRES and CRN</w:t>
      </w:r>
      <w:r w:rsidR="00EF70F9">
        <w:rPr>
          <w:rFonts w:ascii="Arial" w:eastAsia="Times New Roman" w:hAnsi="Arial" w:cs="Arial"/>
          <w:sz w:val="24"/>
          <w:szCs w:val="24"/>
        </w:rPr>
        <w:t>GS</w:t>
      </w:r>
      <w:r>
        <w:rPr>
          <w:rFonts w:ascii="Arial" w:eastAsia="Times New Roman" w:hAnsi="Arial" w:cs="Arial"/>
          <w:sz w:val="24"/>
          <w:szCs w:val="24"/>
        </w:rPr>
        <w:t xml:space="preserve"> s</w:t>
      </w:r>
      <w:r w:rsidRPr="004A385F">
        <w:rPr>
          <w:rFonts w:ascii="Arial" w:eastAsia="Times New Roman" w:hAnsi="Arial" w:cs="Arial"/>
          <w:sz w:val="24"/>
          <w:szCs w:val="24"/>
        </w:rPr>
        <w:t>uppliers.</w:t>
      </w:r>
      <w:r>
        <w:rPr>
          <w:rStyle w:val="FootnoteReference"/>
          <w:rFonts w:ascii="Arial" w:eastAsia="Times New Roman" w:hAnsi="Arial" w:cs="Arial"/>
          <w:sz w:val="24"/>
          <w:szCs w:val="24"/>
        </w:rPr>
        <w:footnoteReference w:id="42"/>
      </w:r>
      <w:r w:rsidRPr="004A385F">
        <w:rPr>
          <w:rFonts w:ascii="Arial" w:eastAsia="Times New Roman" w:hAnsi="Arial" w:cs="Arial"/>
          <w:sz w:val="24"/>
          <w:szCs w:val="24"/>
        </w:rPr>
        <w:t xml:space="preserve"> </w:t>
      </w:r>
      <w:r w:rsidR="00EC3F07">
        <w:rPr>
          <w:rFonts w:ascii="Arial" w:eastAsia="Times New Roman" w:hAnsi="Arial" w:cs="Arial"/>
          <w:sz w:val="24"/>
          <w:szCs w:val="24"/>
        </w:rPr>
        <w:t xml:space="preserve">The Commission should continue to reject </w:t>
      </w:r>
      <w:r w:rsidR="00CA1921">
        <w:rPr>
          <w:rFonts w:ascii="Arial" w:eastAsia="Times New Roman" w:hAnsi="Arial" w:cs="Arial"/>
          <w:sz w:val="24"/>
          <w:szCs w:val="24"/>
        </w:rPr>
        <w:t>OCC’s calls for shadow billing.</w:t>
      </w:r>
    </w:p>
    <w:p w14:paraId="54F75C64" w14:textId="01EF9257" w:rsidR="00AB288A" w:rsidRDefault="00AB288A" w:rsidP="00AB288A">
      <w:pPr>
        <w:spacing w:after="0" w:line="480" w:lineRule="auto"/>
        <w:ind w:firstLine="720"/>
        <w:jc w:val="both"/>
        <w:textAlignment w:val="baseline"/>
        <w:rPr>
          <w:rFonts w:ascii="Arial" w:eastAsia="Times New Roman" w:hAnsi="Arial" w:cs="Arial"/>
          <w:sz w:val="24"/>
          <w:szCs w:val="24"/>
        </w:rPr>
      </w:pPr>
      <w:r w:rsidRPr="004A385F">
        <w:rPr>
          <w:rFonts w:ascii="Arial" w:eastAsia="Times New Roman" w:hAnsi="Arial" w:cs="Arial"/>
          <w:sz w:val="24"/>
          <w:szCs w:val="24"/>
        </w:rPr>
        <w:t xml:space="preserve">Adoption of shadow billing would </w:t>
      </w:r>
      <w:r w:rsidR="002D323C">
        <w:rPr>
          <w:rFonts w:ascii="Arial" w:eastAsia="Times New Roman" w:hAnsi="Arial" w:cs="Arial"/>
          <w:sz w:val="24"/>
          <w:szCs w:val="24"/>
        </w:rPr>
        <w:t xml:space="preserve">only </w:t>
      </w:r>
      <w:r w:rsidRPr="004A385F">
        <w:rPr>
          <w:rFonts w:ascii="Arial" w:eastAsia="Times New Roman" w:hAnsi="Arial" w:cs="Arial"/>
          <w:sz w:val="24"/>
          <w:szCs w:val="24"/>
        </w:rPr>
        <w:t xml:space="preserve">further </w:t>
      </w:r>
      <w:r w:rsidR="002D323C">
        <w:rPr>
          <w:rFonts w:ascii="Arial" w:eastAsia="Times New Roman" w:hAnsi="Arial" w:cs="Arial"/>
          <w:sz w:val="24"/>
          <w:szCs w:val="24"/>
        </w:rPr>
        <w:t xml:space="preserve">the mistaken </w:t>
      </w:r>
      <w:r w:rsidRPr="004A385F">
        <w:rPr>
          <w:rFonts w:ascii="Arial" w:eastAsia="Times New Roman" w:hAnsi="Arial" w:cs="Arial"/>
          <w:sz w:val="24"/>
          <w:szCs w:val="24"/>
        </w:rPr>
        <w:t xml:space="preserve">belief that the only benefit customers receive from competition is </w:t>
      </w:r>
      <w:r w:rsidR="00C9242E">
        <w:rPr>
          <w:rFonts w:ascii="Arial" w:eastAsia="Times New Roman" w:hAnsi="Arial" w:cs="Arial"/>
          <w:sz w:val="24"/>
          <w:szCs w:val="24"/>
        </w:rPr>
        <w:t xml:space="preserve">determined based upon </w:t>
      </w:r>
      <w:r w:rsidR="007A330E">
        <w:rPr>
          <w:rFonts w:ascii="Arial" w:eastAsia="Times New Roman" w:hAnsi="Arial" w:cs="Arial"/>
          <w:sz w:val="24"/>
          <w:szCs w:val="24"/>
        </w:rPr>
        <w:t xml:space="preserve">the price a </w:t>
      </w:r>
      <w:r w:rsidR="007A330E">
        <w:rPr>
          <w:rFonts w:ascii="Arial" w:eastAsia="Times New Roman" w:hAnsi="Arial" w:cs="Arial"/>
          <w:sz w:val="24"/>
          <w:szCs w:val="24"/>
        </w:rPr>
        <w:lastRenderedPageBreak/>
        <w:t>customer pays</w:t>
      </w:r>
      <w:r w:rsidRPr="004A385F">
        <w:rPr>
          <w:rFonts w:ascii="Arial" w:eastAsia="Times New Roman" w:hAnsi="Arial" w:cs="Arial"/>
          <w:sz w:val="24"/>
          <w:szCs w:val="24"/>
        </w:rPr>
        <w:t>. This narrow view of energy choice is inconsistent with the state policy</w:t>
      </w:r>
      <w:r>
        <w:rPr>
          <w:rFonts w:ascii="Arial" w:eastAsia="Times New Roman" w:hAnsi="Arial" w:cs="Arial"/>
          <w:sz w:val="24"/>
          <w:szCs w:val="24"/>
        </w:rPr>
        <w:t xml:space="preserve"> for both the electric and natural gas markets</w:t>
      </w:r>
      <w:r w:rsidRPr="004A385F">
        <w:rPr>
          <w:rFonts w:ascii="Arial" w:eastAsia="Times New Roman" w:hAnsi="Arial" w:cs="Arial"/>
          <w:sz w:val="24"/>
          <w:szCs w:val="24"/>
        </w:rPr>
        <w:t xml:space="preserve"> provided in R.C. 4928.02</w:t>
      </w:r>
      <w:r>
        <w:rPr>
          <w:rFonts w:ascii="Arial" w:eastAsia="Times New Roman" w:hAnsi="Arial" w:cs="Arial"/>
          <w:sz w:val="24"/>
          <w:szCs w:val="24"/>
        </w:rPr>
        <w:t xml:space="preserve"> and R.C. 4929.0</w:t>
      </w:r>
      <w:r w:rsidR="002D323C">
        <w:rPr>
          <w:rFonts w:ascii="Arial" w:eastAsia="Times New Roman" w:hAnsi="Arial" w:cs="Arial"/>
          <w:sz w:val="24"/>
          <w:szCs w:val="24"/>
        </w:rPr>
        <w:t>2</w:t>
      </w:r>
      <w:r w:rsidRPr="004A385F">
        <w:rPr>
          <w:rFonts w:ascii="Arial" w:eastAsia="Times New Roman" w:hAnsi="Arial" w:cs="Arial"/>
          <w:sz w:val="24"/>
          <w:szCs w:val="24"/>
        </w:rPr>
        <w:t>. The General Assembly clearly envisioned a more dynamic retail</w:t>
      </w:r>
      <w:r>
        <w:rPr>
          <w:rFonts w:ascii="Arial" w:eastAsia="Times New Roman" w:hAnsi="Arial" w:cs="Arial"/>
          <w:sz w:val="24"/>
          <w:szCs w:val="24"/>
        </w:rPr>
        <w:t xml:space="preserve"> energy</w:t>
      </w:r>
      <w:r w:rsidRPr="004A385F">
        <w:rPr>
          <w:rFonts w:ascii="Arial" w:eastAsia="Times New Roman" w:hAnsi="Arial" w:cs="Arial"/>
          <w:sz w:val="24"/>
          <w:szCs w:val="24"/>
        </w:rPr>
        <w:t xml:space="preserve"> market when requiring the Commission to ensure diversity of suppliers and encourage innovation and market access for cost-effective supply- and demand-side retail e</w:t>
      </w:r>
      <w:r w:rsidR="009944C8">
        <w:rPr>
          <w:rFonts w:ascii="Arial" w:eastAsia="Times New Roman" w:hAnsi="Arial" w:cs="Arial"/>
          <w:sz w:val="24"/>
          <w:szCs w:val="24"/>
        </w:rPr>
        <w:t>nergy</w:t>
      </w:r>
      <w:r w:rsidRPr="004A385F">
        <w:rPr>
          <w:rFonts w:ascii="Arial" w:eastAsia="Times New Roman" w:hAnsi="Arial" w:cs="Arial"/>
          <w:sz w:val="24"/>
          <w:szCs w:val="24"/>
        </w:rPr>
        <w:t xml:space="preserve"> service.</w:t>
      </w:r>
      <w:r>
        <w:rPr>
          <w:rStyle w:val="FootnoteReference"/>
          <w:rFonts w:ascii="Arial" w:eastAsia="Times New Roman" w:hAnsi="Arial" w:cs="Arial"/>
          <w:sz w:val="24"/>
          <w:szCs w:val="24"/>
        </w:rPr>
        <w:footnoteReference w:id="43"/>
      </w:r>
      <w:r w:rsidRPr="004A385F">
        <w:rPr>
          <w:rFonts w:ascii="Arial" w:eastAsia="Times New Roman" w:hAnsi="Arial" w:cs="Arial"/>
          <w:sz w:val="24"/>
          <w:szCs w:val="24"/>
        </w:rPr>
        <w:t xml:space="preserve"> Reducing the benefits of the retail e</w:t>
      </w:r>
      <w:r>
        <w:rPr>
          <w:rFonts w:ascii="Arial" w:eastAsia="Times New Roman" w:hAnsi="Arial" w:cs="Arial"/>
          <w:sz w:val="24"/>
          <w:szCs w:val="24"/>
        </w:rPr>
        <w:t>nergy</w:t>
      </w:r>
      <w:r w:rsidRPr="004A385F">
        <w:rPr>
          <w:rFonts w:ascii="Arial" w:eastAsia="Times New Roman" w:hAnsi="Arial" w:cs="Arial"/>
          <w:sz w:val="24"/>
          <w:szCs w:val="24"/>
        </w:rPr>
        <w:t xml:space="preserve"> market to a simple price comparison</w:t>
      </w:r>
      <w:r>
        <w:rPr>
          <w:rFonts w:ascii="Arial" w:eastAsia="Times New Roman" w:hAnsi="Arial" w:cs="Arial"/>
          <w:sz w:val="24"/>
          <w:szCs w:val="24"/>
        </w:rPr>
        <w:t xml:space="preserve"> of a single product</w:t>
      </w:r>
      <w:r w:rsidRPr="004A385F">
        <w:rPr>
          <w:rFonts w:ascii="Arial" w:eastAsia="Times New Roman" w:hAnsi="Arial" w:cs="Arial"/>
          <w:sz w:val="24"/>
          <w:szCs w:val="24"/>
        </w:rPr>
        <w:t xml:space="preserve"> unreasonably raises the importance of one benefit above the rest. It is unclear what purpose the comparison will serve aside from it comparing apples to oranges. Shadow billing</w:t>
      </w:r>
      <w:r>
        <w:rPr>
          <w:rFonts w:ascii="Arial" w:eastAsia="Times New Roman" w:hAnsi="Arial" w:cs="Arial"/>
          <w:sz w:val="24"/>
          <w:szCs w:val="24"/>
        </w:rPr>
        <w:t>,</w:t>
      </w:r>
      <w:r w:rsidRPr="004A385F">
        <w:rPr>
          <w:rFonts w:ascii="Arial" w:eastAsia="Times New Roman" w:hAnsi="Arial" w:cs="Arial"/>
          <w:sz w:val="24"/>
          <w:szCs w:val="24"/>
        </w:rPr>
        <w:t xml:space="preserve"> by its nature</w:t>
      </w:r>
      <w:r>
        <w:rPr>
          <w:rFonts w:ascii="Arial" w:eastAsia="Times New Roman" w:hAnsi="Arial" w:cs="Arial"/>
          <w:sz w:val="24"/>
          <w:szCs w:val="24"/>
        </w:rPr>
        <w:t>,</w:t>
      </w:r>
      <w:r w:rsidRPr="004A385F">
        <w:rPr>
          <w:rFonts w:ascii="Arial" w:eastAsia="Times New Roman" w:hAnsi="Arial" w:cs="Arial"/>
          <w:sz w:val="24"/>
          <w:szCs w:val="24"/>
        </w:rPr>
        <w:t xml:space="preserve"> </w:t>
      </w:r>
      <w:r>
        <w:rPr>
          <w:rFonts w:ascii="Arial" w:eastAsia="Times New Roman" w:hAnsi="Arial" w:cs="Arial"/>
          <w:sz w:val="24"/>
          <w:szCs w:val="24"/>
        </w:rPr>
        <w:t>provides</w:t>
      </w:r>
      <w:r w:rsidRPr="004A385F">
        <w:rPr>
          <w:rFonts w:ascii="Arial" w:eastAsia="Times New Roman" w:hAnsi="Arial" w:cs="Arial"/>
          <w:sz w:val="24"/>
          <w:szCs w:val="24"/>
        </w:rPr>
        <w:t xml:space="preserve"> backward looking data of a fluctuating market. </w:t>
      </w:r>
    </w:p>
    <w:p w14:paraId="2ED2A334" w14:textId="77777777" w:rsidR="002C1B07" w:rsidRPr="004A385F" w:rsidRDefault="002C1B07" w:rsidP="002C1B07">
      <w:pPr>
        <w:spacing w:after="0" w:line="48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The Commission has long agreed with IGS’ position that shadow billing data is “unnecessary” on both the electric and natural gas sides of the market in cases.</w:t>
      </w:r>
      <w:r>
        <w:rPr>
          <w:rStyle w:val="FootnoteReference"/>
          <w:rFonts w:ascii="Arial" w:eastAsia="Times New Roman" w:hAnsi="Arial" w:cs="Arial"/>
          <w:sz w:val="24"/>
          <w:szCs w:val="24"/>
        </w:rPr>
        <w:footnoteReference w:id="44"/>
      </w:r>
      <w:r>
        <w:rPr>
          <w:rFonts w:ascii="Arial" w:eastAsia="Times New Roman" w:hAnsi="Arial" w:cs="Arial"/>
          <w:sz w:val="24"/>
          <w:szCs w:val="24"/>
        </w:rPr>
        <w:t xml:space="preserve"> The Commission has consistently stated that other resources already exist that allow customers to compare prices between all the products in the market and the price they are currently paying.</w:t>
      </w:r>
      <w:r>
        <w:rPr>
          <w:rStyle w:val="FootnoteReference"/>
          <w:rFonts w:ascii="Arial" w:eastAsia="Times New Roman" w:hAnsi="Arial" w:cs="Arial"/>
          <w:sz w:val="24"/>
          <w:szCs w:val="24"/>
        </w:rPr>
        <w:footnoteReference w:id="45"/>
      </w:r>
      <w:r>
        <w:rPr>
          <w:rFonts w:ascii="Arial" w:eastAsia="Times New Roman" w:hAnsi="Arial" w:cs="Arial"/>
          <w:sz w:val="24"/>
          <w:szCs w:val="24"/>
        </w:rPr>
        <w:t xml:space="preserve">  In contrast to backward looking shadow billing data, current tools, such as the Commission’s own Energy Choice website offers forward-looking comparisons of current product offerings for each individual customer and their needs.  </w:t>
      </w:r>
    </w:p>
    <w:p w14:paraId="61CBC5EC" w14:textId="74A8B29D" w:rsidR="002C1B07" w:rsidRDefault="009127DE" w:rsidP="002C1B07">
      <w:pPr>
        <w:spacing w:after="0" w:line="480" w:lineRule="auto"/>
        <w:ind w:firstLine="720"/>
        <w:jc w:val="both"/>
        <w:textAlignment w:val="baseline"/>
        <w:rPr>
          <w:rFonts w:ascii="Arial" w:eastAsia="Times New Roman" w:hAnsi="Arial" w:cs="Arial"/>
          <w:b/>
          <w:bCs/>
          <w:sz w:val="24"/>
          <w:szCs w:val="24"/>
        </w:rPr>
      </w:pPr>
      <w:r>
        <w:rPr>
          <w:rFonts w:ascii="Arial" w:eastAsia="Times New Roman" w:hAnsi="Arial" w:cs="Arial"/>
          <w:sz w:val="24"/>
          <w:szCs w:val="24"/>
        </w:rPr>
        <w:t>Moreover</w:t>
      </w:r>
      <w:r w:rsidR="002C1B07" w:rsidRPr="004A385F">
        <w:rPr>
          <w:rFonts w:ascii="Arial" w:eastAsia="Times New Roman" w:hAnsi="Arial" w:cs="Arial"/>
          <w:sz w:val="24"/>
          <w:szCs w:val="24"/>
        </w:rPr>
        <w:t xml:space="preserve">, this approach to viewing customer benefits will become even more troublesome as </w:t>
      </w:r>
      <w:r w:rsidR="002C1B07">
        <w:rPr>
          <w:rFonts w:ascii="Arial" w:eastAsia="Times New Roman" w:hAnsi="Arial" w:cs="Arial"/>
          <w:sz w:val="24"/>
          <w:szCs w:val="24"/>
        </w:rPr>
        <w:t>technology</w:t>
      </w:r>
      <w:r w:rsidR="002C1B07" w:rsidRPr="004A385F">
        <w:rPr>
          <w:rFonts w:ascii="Arial" w:eastAsia="Times New Roman" w:hAnsi="Arial" w:cs="Arial"/>
          <w:sz w:val="24"/>
          <w:szCs w:val="24"/>
        </w:rPr>
        <w:t xml:space="preserve"> </w:t>
      </w:r>
      <w:r w:rsidR="00D562E2">
        <w:rPr>
          <w:rFonts w:ascii="Arial" w:eastAsia="Times New Roman" w:hAnsi="Arial" w:cs="Arial"/>
          <w:sz w:val="24"/>
          <w:szCs w:val="24"/>
        </w:rPr>
        <w:t xml:space="preserve">and consumer preferences continue to evolve. </w:t>
      </w:r>
      <w:r w:rsidR="00E128FD">
        <w:rPr>
          <w:rFonts w:ascii="Arial" w:eastAsia="Times New Roman" w:hAnsi="Arial" w:cs="Arial"/>
          <w:sz w:val="24"/>
          <w:szCs w:val="24"/>
        </w:rPr>
        <w:t xml:space="preserve">Indeed, </w:t>
      </w:r>
      <w:r w:rsidR="00E128FD" w:rsidDel="00A630D7">
        <w:rPr>
          <w:rFonts w:ascii="Arial" w:eastAsia="Times New Roman" w:hAnsi="Arial" w:cs="Arial"/>
          <w:sz w:val="24"/>
          <w:szCs w:val="24"/>
        </w:rPr>
        <w:t xml:space="preserve">IGS only offers green </w:t>
      </w:r>
      <w:r w:rsidR="00E128FD">
        <w:rPr>
          <w:rFonts w:ascii="Arial" w:eastAsia="Times New Roman" w:hAnsi="Arial" w:cs="Arial"/>
          <w:sz w:val="24"/>
          <w:szCs w:val="24"/>
        </w:rPr>
        <w:t xml:space="preserve">gas and electric </w:t>
      </w:r>
      <w:r w:rsidR="00E128FD" w:rsidDel="00A630D7">
        <w:rPr>
          <w:rFonts w:ascii="Arial" w:eastAsia="Times New Roman" w:hAnsi="Arial" w:cs="Arial"/>
          <w:sz w:val="24"/>
          <w:szCs w:val="24"/>
        </w:rPr>
        <w:t xml:space="preserve">products to </w:t>
      </w:r>
      <w:r w:rsidR="00E128FD">
        <w:rPr>
          <w:rFonts w:ascii="Arial" w:eastAsia="Times New Roman" w:hAnsi="Arial" w:cs="Arial"/>
          <w:sz w:val="24"/>
          <w:szCs w:val="24"/>
        </w:rPr>
        <w:t>residential</w:t>
      </w:r>
      <w:r w:rsidR="00E128FD" w:rsidDel="00A630D7">
        <w:rPr>
          <w:rFonts w:ascii="Arial" w:eastAsia="Times New Roman" w:hAnsi="Arial" w:cs="Arial"/>
          <w:sz w:val="24"/>
          <w:szCs w:val="24"/>
        </w:rPr>
        <w:t xml:space="preserve"> customers and thus any comparison of those products to the standard utility rate would be instantly misleading.</w:t>
      </w:r>
      <w:r w:rsidR="00E128FD" w:rsidRPr="004A385F" w:rsidDel="00A630D7">
        <w:rPr>
          <w:rFonts w:ascii="Arial" w:eastAsia="Times New Roman" w:hAnsi="Arial" w:cs="Arial"/>
          <w:sz w:val="24"/>
          <w:szCs w:val="24"/>
        </w:rPr>
        <w:t xml:space="preserve"> </w:t>
      </w:r>
      <w:r w:rsidR="002C1B07" w:rsidRPr="004A385F">
        <w:rPr>
          <w:rFonts w:ascii="Arial" w:eastAsia="Times New Roman" w:hAnsi="Arial" w:cs="Arial"/>
          <w:sz w:val="24"/>
          <w:szCs w:val="24"/>
        </w:rPr>
        <w:lastRenderedPageBreak/>
        <w:t xml:space="preserve">Customers will </w:t>
      </w:r>
      <w:r w:rsidR="00B70DA8">
        <w:rPr>
          <w:rFonts w:ascii="Arial" w:eastAsia="Times New Roman" w:hAnsi="Arial" w:cs="Arial"/>
          <w:sz w:val="24"/>
          <w:szCs w:val="24"/>
        </w:rPr>
        <w:t xml:space="preserve">continue to </w:t>
      </w:r>
      <w:r w:rsidR="002C1B07" w:rsidRPr="004A385F">
        <w:rPr>
          <w:rFonts w:ascii="Arial" w:eastAsia="Times New Roman" w:hAnsi="Arial" w:cs="Arial"/>
          <w:sz w:val="24"/>
          <w:szCs w:val="24"/>
        </w:rPr>
        <w:t xml:space="preserve">be exposed to </w:t>
      </w:r>
      <w:r w:rsidR="002C1B07">
        <w:rPr>
          <w:rFonts w:ascii="Arial" w:eastAsia="Times New Roman" w:hAnsi="Arial" w:cs="Arial"/>
          <w:sz w:val="24"/>
          <w:szCs w:val="24"/>
        </w:rPr>
        <w:t>a greater variety of</w:t>
      </w:r>
      <w:r w:rsidR="002C1B07" w:rsidRPr="004A385F">
        <w:rPr>
          <w:rFonts w:ascii="Arial" w:eastAsia="Times New Roman" w:hAnsi="Arial" w:cs="Arial"/>
          <w:sz w:val="24"/>
          <w:szCs w:val="24"/>
        </w:rPr>
        <w:t xml:space="preserve"> </w:t>
      </w:r>
      <w:r w:rsidR="00437E1F">
        <w:rPr>
          <w:rFonts w:ascii="Arial" w:eastAsia="Times New Roman" w:hAnsi="Arial" w:cs="Arial"/>
          <w:sz w:val="24"/>
          <w:szCs w:val="24"/>
        </w:rPr>
        <w:t xml:space="preserve">retail </w:t>
      </w:r>
      <w:r w:rsidR="002C1B07" w:rsidRPr="004A385F">
        <w:rPr>
          <w:rFonts w:ascii="Arial" w:eastAsia="Times New Roman" w:hAnsi="Arial" w:cs="Arial"/>
          <w:sz w:val="24"/>
          <w:szCs w:val="24"/>
        </w:rPr>
        <w:t>offerings</w:t>
      </w:r>
      <w:r w:rsidR="00710EF3">
        <w:rPr>
          <w:rFonts w:ascii="Arial" w:eastAsia="Times New Roman" w:hAnsi="Arial" w:cs="Arial"/>
          <w:sz w:val="24"/>
          <w:szCs w:val="24"/>
        </w:rPr>
        <w:t>, such as</w:t>
      </w:r>
      <w:r w:rsidR="00712893">
        <w:rPr>
          <w:rFonts w:ascii="Arial" w:eastAsia="Times New Roman" w:hAnsi="Arial" w:cs="Arial"/>
          <w:sz w:val="24"/>
          <w:szCs w:val="24"/>
        </w:rPr>
        <w:t xml:space="preserve"> </w:t>
      </w:r>
      <w:r w:rsidR="002C1B07" w:rsidRPr="004A385F">
        <w:rPr>
          <w:rFonts w:ascii="Arial" w:eastAsia="Times New Roman" w:hAnsi="Arial" w:cs="Arial"/>
          <w:sz w:val="24"/>
          <w:szCs w:val="24"/>
        </w:rPr>
        <w:t>time-of-use rates, prepaid service, on-site generation,</w:t>
      </w:r>
      <w:r w:rsidR="002C1B07">
        <w:rPr>
          <w:rFonts w:ascii="Arial" w:eastAsia="Times New Roman" w:hAnsi="Arial" w:cs="Arial"/>
          <w:sz w:val="24"/>
          <w:szCs w:val="24"/>
        </w:rPr>
        <w:t xml:space="preserve"> </w:t>
      </w:r>
      <w:r w:rsidR="00710EF3">
        <w:rPr>
          <w:rFonts w:ascii="Arial" w:eastAsia="Times New Roman" w:hAnsi="Arial" w:cs="Arial"/>
          <w:sz w:val="24"/>
          <w:szCs w:val="24"/>
        </w:rPr>
        <w:t xml:space="preserve">and </w:t>
      </w:r>
      <w:r w:rsidR="002C1B07">
        <w:rPr>
          <w:rFonts w:ascii="Arial" w:eastAsia="Times New Roman" w:hAnsi="Arial" w:cs="Arial"/>
          <w:sz w:val="24"/>
          <w:szCs w:val="24"/>
        </w:rPr>
        <w:t xml:space="preserve">renewably sourced natural gas, </w:t>
      </w:r>
      <w:r w:rsidR="002C1B07" w:rsidRPr="004A385F">
        <w:rPr>
          <w:rFonts w:ascii="Arial" w:eastAsia="Times New Roman" w:hAnsi="Arial" w:cs="Arial"/>
          <w:sz w:val="24"/>
          <w:szCs w:val="24"/>
        </w:rPr>
        <w:t xml:space="preserve"> which do not neatly fall into a shadow billing comparison. </w:t>
      </w:r>
      <w:r w:rsidR="002C1B07" w:rsidDel="001D367A">
        <w:rPr>
          <w:rFonts w:ascii="Arial" w:eastAsia="Times New Roman" w:hAnsi="Arial" w:cs="Arial"/>
          <w:sz w:val="24"/>
          <w:szCs w:val="24"/>
        </w:rPr>
        <w:t>Direct price comparisons between the</w:t>
      </w:r>
      <w:r w:rsidR="00437E1F">
        <w:rPr>
          <w:rFonts w:ascii="Arial" w:eastAsia="Times New Roman" w:hAnsi="Arial" w:cs="Arial"/>
          <w:sz w:val="24"/>
          <w:szCs w:val="24"/>
        </w:rPr>
        <w:t>se</w:t>
      </w:r>
      <w:r w:rsidR="002C1B07" w:rsidDel="001D367A">
        <w:rPr>
          <w:rFonts w:ascii="Arial" w:eastAsia="Times New Roman" w:hAnsi="Arial" w:cs="Arial"/>
          <w:sz w:val="24"/>
          <w:szCs w:val="24"/>
        </w:rPr>
        <w:t xml:space="preserve"> types of products to a standard utility rate, that may no longer be </w:t>
      </w:r>
      <w:r w:rsidR="002B1B80">
        <w:rPr>
          <w:rFonts w:ascii="Arial" w:eastAsia="Times New Roman" w:hAnsi="Arial" w:cs="Arial"/>
          <w:sz w:val="24"/>
          <w:szCs w:val="24"/>
        </w:rPr>
        <w:t>applicable</w:t>
      </w:r>
      <w:r w:rsidR="002C1B07" w:rsidDel="001D367A">
        <w:rPr>
          <w:rFonts w:ascii="Arial" w:eastAsia="Times New Roman" w:hAnsi="Arial" w:cs="Arial"/>
          <w:sz w:val="24"/>
          <w:szCs w:val="24"/>
        </w:rPr>
        <w:t xml:space="preserve"> due to the constant changes in the SSO and SCO, </w:t>
      </w:r>
      <w:r w:rsidR="002C1B07" w:rsidRPr="004A385F" w:rsidDel="001D367A">
        <w:rPr>
          <w:rFonts w:ascii="Arial" w:eastAsia="Times New Roman" w:hAnsi="Arial" w:cs="Arial"/>
          <w:sz w:val="24"/>
          <w:szCs w:val="24"/>
        </w:rPr>
        <w:t xml:space="preserve">could mislead the customer into higher prices for </w:t>
      </w:r>
      <w:r w:rsidR="002C1B07" w:rsidDel="001D367A">
        <w:rPr>
          <w:rFonts w:ascii="Arial" w:eastAsia="Times New Roman" w:hAnsi="Arial" w:cs="Arial"/>
          <w:sz w:val="24"/>
          <w:szCs w:val="24"/>
        </w:rPr>
        <w:t>natural gas or electric service</w:t>
      </w:r>
      <w:r w:rsidR="002C1B07" w:rsidRPr="004A385F" w:rsidDel="001D367A">
        <w:rPr>
          <w:rFonts w:ascii="Arial" w:eastAsia="Times New Roman" w:hAnsi="Arial" w:cs="Arial"/>
          <w:sz w:val="24"/>
          <w:szCs w:val="24"/>
        </w:rPr>
        <w:t xml:space="preserve"> </w:t>
      </w:r>
      <w:r w:rsidR="002C1B07" w:rsidDel="001D367A">
        <w:rPr>
          <w:rFonts w:ascii="Arial" w:eastAsia="Times New Roman" w:hAnsi="Arial" w:cs="Arial"/>
          <w:sz w:val="24"/>
          <w:szCs w:val="24"/>
        </w:rPr>
        <w:t>based on their chosen product</w:t>
      </w:r>
      <w:r w:rsidR="002C1B07" w:rsidRPr="004A385F" w:rsidDel="001D367A">
        <w:rPr>
          <w:rFonts w:ascii="Arial" w:eastAsia="Times New Roman" w:hAnsi="Arial" w:cs="Arial"/>
          <w:sz w:val="24"/>
          <w:szCs w:val="24"/>
        </w:rPr>
        <w:t xml:space="preserve">. </w:t>
      </w:r>
      <w:r w:rsidR="002C1B07" w:rsidRPr="004A385F">
        <w:rPr>
          <w:rFonts w:ascii="Arial" w:eastAsia="Times New Roman" w:hAnsi="Arial" w:cs="Arial"/>
          <w:sz w:val="24"/>
          <w:szCs w:val="24"/>
        </w:rPr>
        <w:t>Thus, shadow billing could be misleading, harmful, and unreasonable and should</w:t>
      </w:r>
      <w:r w:rsidR="002C1B07">
        <w:rPr>
          <w:rFonts w:ascii="Arial" w:eastAsia="Times New Roman" w:hAnsi="Arial" w:cs="Arial"/>
          <w:sz w:val="24"/>
          <w:szCs w:val="24"/>
        </w:rPr>
        <w:t xml:space="preserve"> continue to</w:t>
      </w:r>
      <w:r w:rsidR="002C1B07" w:rsidRPr="004A385F">
        <w:rPr>
          <w:rFonts w:ascii="Arial" w:eastAsia="Times New Roman" w:hAnsi="Arial" w:cs="Arial"/>
          <w:sz w:val="24"/>
          <w:szCs w:val="24"/>
        </w:rPr>
        <w:t xml:space="preserve"> be rejected.</w:t>
      </w:r>
    </w:p>
    <w:p w14:paraId="73E36839" w14:textId="007306A6" w:rsidR="004A385F" w:rsidRDefault="00721DEC" w:rsidP="00D11301">
      <w:pPr>
        <w:pStyle w:val="Heading2"/>
      </w:pPr>
      <w:bookmarkStart w:id="31" w:name="_Toc85784661"/>
      <w:bookmarkStart w:id="32" w:name="_Toc85785003"/>
      <w:r>
        <w:t>An</w:t>
      </w:r>
      <w:r w:rsidR="0021148D">
        <w:t xml:space="preserve"> additional do-not-call list</w:t>
      </w:r>
      <w:r>
        <w:t xml:space="preserve"> is unnecessary</w:t>
      </w:r>
      <w:r w:rsidR="0021148D">
        <w:t>.</w:t>
      </w:r>
      <w:bookmarkEnd w:id="31"/>
      <w:bookmarkEnd w:id="32"/>
      <w:r w:rsidR="0021148D">
        <w:t xml:space="preserve"> </w:t>
      </w:r>
    </w:p>
    <w:p w14:paraId="31FE32F6" w14:textId="4AFE9DA3" w:rsidR="00DA50F9" w:rsidRDefault="00D76D49" w:rsidP="000D121D">
      <w:pPr>
        <w:spacing w:after="0" w:line="480" w:lineRule="auto"/>
        <w:ind w:firstLine="720"/>
        <w:jc w:val="both"/>
        <w:textAlignment w:val="baseline"/>
        <w:rPr>
          <w:rFonts w:ascii="Arial" w:eastAsia="Times New Roman" w:hAnsi="Arial" w:cs="Arial"/>
          <w:sz w:val="24"/>
          <w:szCs w:val="24"/>
        </w:rPr>
      </w:pPr>
      <w:r w:rsidRPr="006C2C29">
        <w:rPr>
          <w:rFonts w:ascii="Arial" w:eastAsia="Times New Roman" w:hAnsi="Arial" w:cs="Arial"/>
          <w:sz w:val="24"/>
          <w:szCs w:val="24"/>
        </w:rPr>
        <w:t xml:space="preserve">OCC proposes the creation of a </w:t>
      </w:r>
      <w:r w:rsidRPr="00721DEC">
        <w:rPr>
          <w:rFonts w:ascii="Arial" w:eastAsia="Times New Roman" w:hAnsi="Arial" w:cs="Arial"/>
          <w:sz w:val="24"/>
          <w:szCs w:val="24"/>
        </w:rPr>
        <w:t xml:space="preserve">“Do Not Call” list </w:t>
      </w:r>
      <w:r w:rsidR="00002709" w:rsidRPr="00721DEC">
        <w:rPr>
          <w:rFonts w:ascii="Arial" w:eastAsia="Times New Roman" w:hAnsi="Arial" w:cs="Arial"/>
          <w:sz w:val="24"/>
          <w:szCs w:val="24"/>
        </w:rPr>
        <w:t xml:space="preserve">specifically </w:t>
      </w:r>
      <w:r w:rsidRPr="00721DEC">
        <w:rPr>
          <w:rFonts w:ascii="Arial" w:eastAsia="Times New Roman" w:hAnsi="Arial" w:cs="Arial"/>
          <w:sz w:val="24"/>
          <w:szCs w:val="24"/>
        </w:rPr>
        <w:t xml:space="preserve">for customers who do not wish to be contacted by CRES </w:t>
      </w:r>
      <w:r w:rsidR="002B1B80">
        <w:rPr>
          <w:rFonts w:ascii="Arial" w:eastAsia="Times New Roman" w:hAnsi="Arial" w:cs="Arial"/>
          <w:sz w:val="24"/>
          <w:szCs w:val="24"/>
        </w:rPr>
        <w:t>and</w:t>
      </w:r>
      <w:r w:rsidRPr="00721DEC">
        <w:rPr>
          <w:rFonts w:ascii="Arial" w:eastAsia="Times New Roman" w:hAnsi="Arial" w:cs="Arial"/>
          <w:sz w:val="24"/>
          <w:szCs w:val="24"/>
        </w:rPr>
        <w:t xml:space="preserve"> CRNG</w:t>
      </w:r>
      <w:r w:rsidR="00B42FD2" w:rsidRPr="00721DEC">
        <w:rPr>
          <w:rFonts w:ascii="Arial" w:eastAsia="Times New Roman" w:hAnsi="Arial" w:cs="Arial"/>
          <w:sz w:val="24"/>
          <w:szCs w:val="24"/>
        </w:rPr>
        <w:t>S</w:t>
      </w:r>
      <w:r w:rsidRPr="00721DEC">
        <w:rPr>
          <w:rFonts w:ascii="Arial" w:eastAsia="Times New Roman" w:hAnsi="Arial" w:cs="Arial"/>
          <w:sz w:val="24"/>
          <w:szCs w:val="24"/>
        </w:rPr>
        <w:t xml:space="preserve"> </w:t>
      </w:r>
      <w:r w:rsidR="00FA2A5D">
        <w:rPr>
          <w:rFonts w:ascii="Arial" w:eastAsia="Times New Roman" w:hAnsi="Arial" w:cs="Arial"/>
          <w:sz w:val="24"/>
          <w:szCs w:val="24"/>
        </w:rPr>
        <w:t>supplier</w:t>
      </w:r>
      <w:r w:rsidR="00FA2A5D" w:rsidRPr="006C2C29">
        <w:rPr>
          <w:rFonts w:ascii="Arial" w:eastAsia="Times New Roman" w:hAnsi="Arial" w:cs="Arial"/>
          <w:sz w:val="24"/>
          <w:szCs w:val="24"/>
        </w:rPr>
        <w:t>s</w:t>
      </w:r>
      <w:r w:rsidRPr="0027480B">
        <w:rPr>
          <w:rFonts w:ascii="Arial" w:eastAsia="Times New Roman" w:hAnsi="Arial" w:cs="Arial"/>
          <w:sz w:val="24"/>
          <w:szCs w:val="24"/>
        </w:rPr>
        <w:t>.</w:t>
      </w:r>
      <w:r w:rsidR="00657509">
        <w:rPr>
          <w:rStyle w:val="FootnoteReference"/>
          <w:rFonts w:ascii="Arial" w:eastAsia="Times New Roman" w:hAnsi="Arial" w:cs="Arial"/>
          <w:sz w:val="24"/>
          <w:szCs w:val="24"/>
        </w:rPr>
        <w:footnoteReference w:id="46"/>
      </w:r>
      <w:r w:rsidRPr="0027480B">
        <w:rPr>
          <w:rFonts w:ascii="Arial" w:eastAsia="Times New Roman" w:hAnsi="Arial" w:cs="Arial"/>
          <w:sz w:val="24"/>
          <w:szCs w:val="24"/>
        </w:rPr>
        <w:t xml:space="preserve"> </w:t>
      </w:r>
      <w:r w:rsidR="006730B9" w:rsidRPr="00721DEC">
        <w:rPr>
          <w:rFonts w:ascii="Arial" w:eastAsia="Times New Roman" w:hAnsi="Arial" w:cs="Arial"/>
          <w:sz w:val="24"/>
          <w:szCs w:val="24"/>
        </w:rPr>
        <w:t>However, this is unnecessary as t</w:t>
      </w:r>
      <w:r w:rsidR="00BE6E29" w:rsidRPr="00721DEC">
        <w:rPr>
          <w:rFonts w:ascii="Arial" w:eastAsia="Times New Roman" w:hAnsi="Arial" w:cs="Arial"/>
          <w:sz w:val="24"/>
          <w:szCs w:val="24"/>
        </w:rPr>
        <w:t>he current rules already require Suppliers</w:t>
      </w:r>
      <w:r w:rsidR="00554E2E" w:rsidRPr="00721DEC">
        <w:rPr>
          <w:rFonts w:ascii="Arial" w:eastAsia="Times New Roman" w:hAnsi="Arial" w:cs="Arial"/>
          <w:sz w:val="24"/>
          <w:szCs w:val="24"/>
        </w:rPr>
        <w:t xml:space="preserve"> </w:t>
      </w:r>
      <w:r w:rsidR="00BE6E29" w:rsidRPr="00721DEC">
        <w:rPr>
          <w:rFonts w:ascii="Arial" w:eastAsia="Times New Roman" w:hAnsi="Arial" w:cs="Arial"/>
          <w:sz w:val="24"/>
          <w:szCs w:val="24"/>
        </w:rPr>
        <w:t>to abide by the F</w:t>
      </w:r>
      <w:r w:rsidR="005C44AD" w:rsidRPr="00721DEC">
        <w:rPr>
          <w:rFonts w:ascii="Arial" w:eastAsia="Times New Roman" w:hAnsi="Arial" w:cs="Arial"/>
          <w:sz w:val="24"/>
          <w:szCs w:val="24"/>
        </w:rPr>
        <w:t>ederal Trade Commission’s</w:t>
      </w:r>
      <w:r w:rsidR="004C2CF5" w:rsidRPr="00721DEC">
        <w:rPr>
          <w:rFonts w:ascii="Arial" w:eastAsia="Times New Roman" w:hAnsi="Arial" w:cs="Arial"/>
          <w:sz w:val="24"/>
          <w:szCs w:val="24"/>
        </w:rPr>
        <w:t xml:space="preserve"> (“FTC”)</w:t>
      </w:r>
      <w:r w:rsidR="005C44AD" w:rsidRPr="00721DEC">
        <w:rPr>
          <w:rFonts w:ascii="Arial" w:eastAsia="Times New Roman" w:hAnsi="Arial" w:cs="Arial"/>
          <w:sz w:val="24"/>
          <w:szCs w:val="24"/>
        </w:rPr>
        <w:t xml:space="preserve"> </w:t>
      </w:r>
      <w:r w:rsidR="002B1B80" w:rsidRPr="00721DEC">
        <w:rPr>
          <w:rFonts w:ascii="Arial" w:eastAsia="Times New Roman" w:hAnsi="Arial" w:cs="Arial"/>
          <w:sz w:val="24"/>
          <w:szCs w:val="24"/>
        </w:rPr>
        <w:t xml:space="preserve">“Do Not Call” </w:t>
      </w:r>
      <w:r w:rsidR="005C44AD" w:rsidRPr="00721DEC">
        <w:rPr>
          <w:rFonts w:ascii="Arial" w:eastAsia="Times New Roman" w:hAnsi="Arial" w:cs="Arial"/>
          <w:sz w:val="24"/>
          <w:szCs w:val="24"/>
        </w:rPr>
        <w:t>registry</w:t>
      </w:r>
      <w:r w:rsidR="00195D74" w:rsidRPr="00721DEC">
        <w:rPr>
          <w:rFonts w:ascii="Arial" w:eastAsia="Times New Roman" w:hAnsi="Arial" w:cs="Arial"/>
          <w:sz w:val="24"/>
          <w:szCs w:val="24"/>
        </w:rPr>
        <w:t>.</w:t>
      </w:r>
      <w:r w:rsidR="00195D74" w:rsidRPr="006C2C29">
        <w:rPr>
          <w:rStyle w:val="FootnoteReference"/>
          <w:rFonts w:ascii="Arial" w:eastAsia="Times New Roman" w:hAnsi="Arial" w:cs="Arial"/>
          <w:sz w:val="24"/>
          <w:szCs w:val="24"/>
        </w:rPr>
        <w:footnoteReference w:id="47"/>
      </w:r>
      <w:r w:rsidR="005C44AD" w:rsidRPr="006C2C29">
        <w:rPr>
          <w:rFonts w:ascii="Arial" w:eastAsia="Times New Roman" w:hAnsi="Arial" w:cs="Arial"/>
          <w:sz w:val="24"/>
          <w:szCs w:val="24"/>
        </w:rPr>
        <w:t xml:space="preserve"> There is no need to make a duplicati</w:t>
      </w:r>
      <w:r w:rsidR="00195D74" w:rsidRPr="00721DEC">
        <w:rPr>
          <w:rFonts w:ascii="Arial" w:eastAsia="Times New Roman" w:hAnsi="Arial" w:cs="Arial"/>
          <w:sz w:val="24"/>
          <w:szCs w:val="24"/>
        </w:rPr>
        <w:t>ve list limited to solely</w:t>
      </w:r>
      <w:r w:rsidR="0047667C">
        <w:rPr>
          <w:rFonts w:ascii="Arial" w:eastAsia="Times New Roman" w:hAnsi="Arial" w:cs="Arial"/>
          <w:sz w:val="24"/>
          <w:szCs w:val="24"/>
        </w:rPr>
        <w:t xml:space="preserve"> for calls regarding</w:t>
      </w:r>
      <w:r w:rsidR="00195D74" w:rsidRPr="00721DEC">
        <w:rPr>
          <w:rFonts w:ascii="Arial" w:eastAsia="Times New Roman" w:hAnsi="Arial" w:cs="Arial"/>
          <w:sz w:val="24"/>
          <w:szCs w:val="24"/>
        </w:rPr>
        <w:t xml:space="preserve"> energy products within Ohio</w:t>
      </w:r>
      <w:r w:rsidR="00743E3E">
        <w:rPr>
          <w:rFonts w:ascii="Arial" w:eastAsia="Times New Roman" w:hAnsi="Arial" w:cs="Arial"/>
          <w:sz w:val="24"/>
          <w:szCs w:val="24"/>
        </w:rPr>
        <w:t xml:space="preserve"> and potentially confuse customers.</w:t>
      </w:r>
      <w:r w:rsidR="00174F79" w:rsidRPr="00721DEC">
        <w:rPr>
          <w:rFonts w:ascii="Arial" w:eastAsia="Times New Roman" w:hAnsi="Arial" w:cs="Arial"/>
          <w:sz w:val="24"/>
          <w:szCs w:val="24"/>
        </w:rPr>
        <w:t xml:space="preserve"> </w:t>
      </w:r>
      <w:r w:rsidR="001E3537" w:rsidRPr="00721DEC">
        <w:rPr>
          <w:rFonts w:ascii="Arial" w:eastAsia="Times New Roman" w:hAnsi="Arial" w:cs="Arial"/>
          <w:sz w:val="24"/>
          <w:szCs w:val="24"/>
        </w:rPr>
        <w:t>The Commission should decline to add another layer o</w:t>
      </w:r>
      <w:r w:rsidR="00C545AC" w:rsidRPr="00721DEC">
        <w:rPr>
          <w:rFonts w:ascii="Arial" w:eastAsia="Times New Roman" w:hAnsi="Arial" w:cs="Arial"/>
          <w:sz w:val="24"/>
          <w:szCs w:val="24"/>
        </w:rPr>
        <w:t xml:space="preserve">f regulatory red tape </w:t>
      </w:r>
      <w:r w:rsidR="004C2CF5" w:rsidRPr="00721DEC">
        <w:rPr>
          <w:rFonts w:ascii="Arial" w:eastAsia="Times New Roman" w:hAnsi="Arial" w:cs="Arial"/>
          <w:sz w:val="24"/>
          <w:szCs w:val="24"/>
        </w:rPr>
        <w:t xml:space="preserve">and allow the </w:t>
      </w:r>
      <w:r w:rsidR="002B1B80" w:rsidRPr="00721DEC">
        <w:rPr>
          <w:rFonts w:ascii="Arial" w:eastAsia="Times New Roman" w:hAnsi="Arial" w:cs="Arial"/>
          <w:sz w:val="24"/>
          <w:szCs w:val="24"/>
        </w:rPr>
        <w:t xml:space="preserve">“Do Not Call” </w:t>
      </w:r>
      <w:r w:rsidR="004C2CF5" w:rsidRPr="00721DEC">
        <w:rPr>
          <w:rFonts w:ascii="Arial" w:eastAsia="Times New Roman" w:hAnsi="Arial" w:cs="Arial"/>
          <w:sz w:val="24"/>
          <w:szCs w:val="24"/>
        </w:rPr>
        <w:t xml:space="preserve">registry managed by the FTC to continue to protect customers from unwanted calls. </w:t>
      </w:r>
    </w:p>
    <w:p w14:paraId="190A4443" w14:textId="609596C2" w:rsidR="00E127DC" w:rsidRDefault="000E426A" w:rsidP="000065E9">
      <w:pPr>
        <w:pStyle w:val="Heading2"/>
      </w:pPr>
      <w:bookmarkStart w:id="33" w:name="_Toc85784662"/>
      <w:bookmarkStart w:id="34" w:name="_Toc85785004"/>
      <w:r>
        <w:t>With proper notice, a</w:t>
      </w:r>
      <w:r w:rsidR="000065E9">
        <w:t>utomatic renewal clauses within an energy contract should be not prohibited.</w:t>
      </w:r>
      <w:bookmarkEnd w:id="33"/>
      <w:bookmarkEnd w:id="34"/>
      <w:r w:rsidR="000065E9">
        <w:t xml:space="preserve"> </w:t>
      </w:r>
    </w:p>
    <w:p w14:paraId="213D3413" w14:textId="5725F8E9" w:rsidR="00413417" w:rsidRDefault="000E426A" w:rsidP="00D13DEF">
      <w:pPr>
        <w:spacing w:after="0" w:line="480" w:lineRule="auto"/>
        <w:ind w:firstLine="720"/>
        <w:jc w:val="both"/>
        <w:rPr>
          <w:rFonts w:ascii="Arial" w:hAnsi="Arial" w:cs="Arial"/>
          <w:sz w:val="24"/>
          <w:szCs w:val="24"/>
        </w:rPr>
      </w:pPr>
      <w:r w:rsidRPr="00D13DEF">
        <w:rPr>
          <w:rFonts w:ascii="Arial" w:hAnsi="Arial" w:cs="Arial"/>
          <w:sz w:val="24"/>
          <w:szCs w:val="24"/>
        </w:rPr>
        <w:t xml:space="preserve">OCC </w:t>
      </w:r>
      <w:r w:rsidR="000023B2">
        <w:rPr>
          <w:rFonts w:ascii="Arial" w:hAnsi="Arial" w:cs="Arial"/>
          <w:sz w:val="24"/>
          <w:szCs w:val="24"/>
        </w:rPr>
        <w:t xml:space="preserve">recommends </w:t>
      </w:r>
      <w:r w:rsidR="008B3F4D">
        <w:rPr>
          <w:rFonts w:ascii="Arial" w:hAnsi="Arial" w:cs="Arial"/>
          <w:sz w:val="24"/>
          <w:szCs w:val="24"/>
        </w:rPr>
        <w:t>a p</w:t>
      </w:r>
      <w:r w:rsidR="000023B2">
        <w:rPr>
          <w:rFonts w:ascii="Arial" w:hAnsi="Arial" w:cs="Arial"/>
          <w:sz w:val="24"/>
          <w:szCs w:val="24"/>
        </w:rPr>
        <w:t>rohibit</w:t>
      </w:r>
      <w:r w:rsidR="008B3F4D">
        <w:rPr>
          <w:rFonts w:ascii="Arial" w:hAnsi="Arial" w:cs="Arial"/>
          <w:sz w:val="24"/>
          <w:szCs w:val="24"/>
        </w:rPr>
        <w:t>ion on</w:t>
      </w:r>
      <w:r w:rsidR="000023B2">
        <w:rPr>
          <w:rFonts w:ascii="Arial" w:hAnsi="Arial" w:cs="Arial"/>
          <w:sz w:val="24"/>
          <w:szCs w:val="24"/>
        </w:rPr>
        <w:t xml:space="preserve"> </w:t>
      </w:r>
      <w:r w:rsidR="00BD3706">
        <w:rPr>
          <w:rFonts w:ascii="Arial" w:hAnsi="Arial" w:cs="Arial"/>
          <w:sz w:val="24"/>
          <w:szCs w:val="24"/>
        </w:rPr>
        <w:t xml:space="preserve">automatic renewal clauses, except for </w:t>
      </w:r>
      <w:proofErr w:type="gramStart"/>
      <w:r w:rsidR="00BD3706">
        <w:rPr>
          <w:rFonts w:ascii="Arial" w:hAnsi="Arial" w:cs="Arial"/>
          <w:sz w:val="24"/>
          <w:szCs w:val="24"/>
        </w:rPr>
        <w:t>month to month</w:t>
      </w:r>
      <w:proofErr w:type="gramEnd"/>
      <w:r w:rsidR="00BD3706">
        <w:rPr>
          <w:rFonts w:ascii="Arial" w:hAnsi="Arial" w:cs="Arial"/>
          <w:sz w:val="24"/>
          <w:szCs w:val="24"/>
        </w:rPr>
        <w:t xml:space="preserve"> contracts</w:t>
      </w:r>
      <w:r w:rsidR="008B3F4D">
        <w:rPr>
          <w:rFonts w:ascii="Arial" w:hAnsi="Arial" w:cs="Arial"/>
          <w:sz w:val="24"/>
          <w:szCs w:val="24"/>
        </w:rPr>
        <w:t>.</w:t>
      </w:r>
      <w:r w:rsidR="008B3F4D">
        <w:rPr>
          <w:rStyle w:val="FootnoteReference"/>
          <w:rFonts w:ascii="Arial" w:hAnsi="Arial" w:cs="Arial"/>
          <w:sz w:val="24"/>
          <w:szCs w:val="24"/>
        </w:rPr>
        <w:footnoteReference w:id="48"/>
      </w:r>
      <w:r w:rsidR="008B3F4D">
        <w:rPr>
          <w:rFonts w:ascii="Arial" w:hAnsi="Arial" w:cs="Arial"/>
          <w:sz w:val="24"/>
          <w:szCs w:val="24"/>
        </w:rPr>
        <w:t xml:space="preserve"> </w:t>
      </w:r>
      <w:r w:rsidR="00E155B1">
        <w:rPr>
          <w:rFonts w:ascii="Arial" w:hAnsi="Arial" w:cs="Arial"/>
          <w:sz w:val="24"/>
          <w:szCs w:val="24"/>
        </w:rPr>
        <w:t xml:space="preserve"> </w:t>
      </w:r>
      <w:r w:rsidR="008B3F4D">
        <w:rPr>
          <w:rFonts w:ascii="Arial" w:hAnsi="Arial" w:cs="Arial"/>
          <w:sz w:val="24"/>
          <w:szCs w:val="24"/>
        </w:rPr>
        <w:t xml:space="preserve">According to OCC, </w:t>
      </w:r>
      <w:r w:rsidR="00787328">
        <w:rPr>
          <w:rFonts w:ascii="Arial" w:hAnsi="Arial" w:cs="Arial"/>
          <w:sz w:val="24"/>
          <w:szCs w:val="24"/>
        </w:rPr>
        <w:t xml:space="preserve">all </w:t>
      </w:r>
      <w:r w:rsidR="008B3F4D">
        <w:rPr>
          <w:rFonts w:ascii="Arial" w:hAnsi="Arial" w:cs="Arial"/>
          <w:sz w:val="24"/>
          <w:szCs w:val="24"/>
        </w:rPr>
        <w:t xml:space="preserve">contract renewals should only occur with </w:t>
      </w:r>
      <w:r w:rsidR="008B3F4D">
        <w:rPr>
          <w:rFonts w:ascii="Arial" w:hAnsi="Arial" w:cs="Arial"/>
          <w:sz w:val="24"/>
          <w:szCs w:val="24"/>
        </w:rPr>
        <w:lastRenderedPageBreak/>
        <w:t xml:space="preserve">affirmative consent of the customer. </w:t>
      </w:r>
      <w:r w:rsidR="003D6AA0">
        <w:rPr>
          <w:rFonts w:ascii="Arial" w:hAnsi="Arial" w:cs="Arial"/>
          <w:sz w:val="24"/>
          <w:szCs w:val="24"/>
        </w:rPr>
        <w:t>IGS disagrees</w:t>
      </w:r>
      <w:r w:rsidR="00413417">
        <w:rPr>
          <w:rFonts w:ascii="Arial" w:hAnsi="Arial" w:cs="Arial"/>
          <w:sz w:val="24"/>
          <w:szCs w:val="24"/>
        </w:rPr>
        <w:t xml:space="preserve"> as a</w:t>
      </w:r>
      <w:r w:rsidR="002A2A08">
        <w:rPr>
          <w:rFonts w:ascii="Arial" w:hAnsi="Arial" w:cs="Arial"/>
          <w:sz w:val="24"/>
          <w:szCs w:val="24"/>
        </w:rPr>
        <w:t>dopting OCC’s proposal would</w:t>
      </w:r>
      <w:r w:rsidR="002A2A08" w:rsidRPr="004F0781">
        <w:rPr>
          <w:rFonts w:ascii="Arial" w:hAnsi="Arial" w:cs="Arial"/>
          <w:sz w:val="24"/>
          <w:szCs w:val="24"/>
        </w:rPr>
        <w:t xml:space="preserve"> unduly restrict</w:t>
      </w:r>
      <w:r w:rsidR="002A2A08">
        <w:rPr>
          <w:rFonts w:ascii="Arial" w:hAnsi="Arial" w:cs="Arial"/>
          <w:sz w:val="24"/>
          <w:szCs w:val="24"/>
        </w:rPr>
        <w:t xml:space="preserve"> a</w:t>
      </w:r>
      <w:r w:rsidR="002A2A08" w:rsidRPr="004F0781">
        <w:rPr>
          <w:rFonts w:ascii="Arial" w:hAnsi="Arial" w:cs="Arial"/>
          <w:sz w:val="24"/>
          <w:szCs w:val="24"/>
        </w:rPr>
        <w:t xml:space="preserve"> customer</w:t>
      </w:r>
      <w:r w:rsidR="002A2A08">
        <w:rPr>
          <w:rFonts w:ascii="Arial" w:hAnsi="Arial" w:cs="Arial"/>
          <w:sz w:val="24"/>
          <w:szCs w:val="24"/>
        </w:rPr>
        <w:t>’s</w:t>
      </w:r>
      <w:r w:rsidR="002A2A08" w:rsidRPr="004F0781">
        <w:rPr>
          <w:rFonts w:ascii="Arial" w:hAnsi="Arial" w:cs="Arial"/>
          <w:sz w:val="24"/>
          <w:szCs w:val="24"/>
        </w:rPr>
        <w:t xml:space="preserve"> contractual ability</w:t>
      </w:r>
      <w:r w:rsidR="000B4249">
        <w:rPr>
          <w:rFonts w:ascii="Arial" w:hAnsi="Arial" w:cs="Arial"/>
          <w:sz w:val="24"/>
          <w:szCs w:val="24"/>
        </w:rPr>
        <w:t>.</w:t>
      </w:r>
    </w:p>
    <w:p w14:paraId="47D11F99" w14:textId="0CB1E552" w:rsidR="00703054" w:rsidRDefault="00CD5C59" w:rsidP="00D13DEF">
      <w:pPr>
        <w:spacing w:after="0" w:line="480" w:lineRule="auto"/>
        <w:ind w:firstLine="720"/>
        <w:jc w:val="both"/>
        <w:rPr>
          <w:rFonts w:ascii="Arial" w:hAnsi="Arial" w:cs="Arial"/>
          <w:sz w:val="24"/>
          <w:szCs w:val="24"/>
        </w:rPr>
      </w:pPr>
      <w:r>
        <w:rPr>
          <w:rFonts w:ascii="Arial" w:hAnsi="Arial" w:cs="Arial"/>
          <w:sz w:val="24"/>
          <w:szCs w:val="24"/>
        </w:rPr>
        <w:t>Currently,</w:t>
      </w:r>
      <w:r w:rsidR="00787328">
        <w:rPr>
          <w:rFonts w:ascii="Arial" w:hAnsi="Arial" w:cs="Arial"/>
          <w:sz w:val="24"/>
          <w:szCs w:val="24"/>
        </w:rPr>
        <w:t xml:space="preserve"> </w:t>
      </w:r>
      <w:r w:rsidR="00584860">
        <w:rPr>
          <w:rFonts w:ascii="Arial" w:hAnsi="Arial" w:cs="Arial"/>
          <w:sz w:val="24"/>
          <w:szCs w:val="24"/>
        </w:rPr>
        <w:t xml:space="preserve">an automatic renewal clause can only be utilized </w:t>
      </w:r>
      <w:r w:rsidR="00546A91">
        <w:rPr>
          <w:rFonts w:ascii="Arial" w:hAnsi="Arial" w:cs="Arial"/>
          <w:sz w:val="24"/>
          <w:szCs w:val="24"/>
        </w:rPr>
        <w:t xml:space="preserve">in </w:t>
      </w:r>
      <w:r w:rsidR="00787328">
        <w:rPr>
          <w:rFonts w:ascii="Arial" w:hAnsi="Arial" w:cs="Arial"/>
          <w:sz w:val="24"/>
          <w:szCs w:val="24"/>
        </w:rPr>
        <w:t xml:space="preserve">contracts </w:t>
      </w:r>
      <w:r w:rsidR="000E1349">
        <w:rPr>
          <w:rFonts w:ascii="Arial" w:hAnsi="Arial" w:cs="Arial"/>
          <w:sz w:val="24"/>
          <w:szCs w:val="24"/>
        </w:rPr>
        <w:t>with an early termination fee of $25 or less.</w:t>
      </w:r>
      <w:r w:rsidR="000E1349">
        <w:rPr>
          <w:rStyle w:val="FootnoteReference"/>
          <w:rFonts w:ascii="Arial" w:hAnsi="Arial" w:cs="Arial"/>
          <w:sz w:val="24"/>
          <w:szCs w:val="24"/>
        </w:rPr>
        <w:footnoteReference w:id="49"/>
      </w:r>
      <w:r w:rsidR="006972C2">
        <w:rPr>
          <w:rFonts w:ascii="Arial" w:hAnsi="Arial" w:cs="Arial"/>
          <w:sz w:val="24"/>
          <w:szCs w:val="24"/>
        </w:rPr>
        <w:t xml:space="preserve"> Prior to the renewal period, the CRES or CRNGS supplier must </w:t>
      </w:r>
      <w:r w:rsidR="000F14CE">
        <w:rPr>
          <w:rFonts w:ascii="Arial" w:hAnsi="Arial" w:cs="Arial"/>
          <w:sz w:val="24"/>
          <w:szCs w:val="24"/>
        </w:rPr>
        <w:t>provide at leas</w:t>
      </w:r>
      <w:r w:rsidR="00747688">
        <w:rPr>
          <w:rFonts w:ascii="Arial" w:hAnsi="Arial" w:cs="Arial"/>
          <w:sz w:val="24"/>
          <w:szCs w:val="24"/>
        </w:rPr>
        <w:t>t</w:t>
      </w:r>
      <w:r w:rsidR="000F14CE">
        <w:rPr>
          <w:rFonts w:ascii="Arial" w:hAnsi="Arial" w:cs="Arial"/>
          <w:sz w:val="24"/>
          <w:szCs w:val="24"/>
        </w:rPr>
        <w:t xml:space="preserve"> one notice </w:t>
      </w:r>
      <w:r w:rsidR="005B6842">
        <w:rPr>
          <w:rFonts w:ascii="Arial" w:hAnsi="Arial" w:cs="Arial"/>
          <w:sz w:val="24"/>
          <w:szCs w:val="24"/>
        </w:rPr>
        <w:t xml:space="preserve">45 </w:t>
      </w:r>
      <w:r w:rsidR="00747688">
        <w:rPr>
          <w:rFonts w:ascii="Arial" w:hAnsi="Arial" w:cs="Arial"/>
          <w:sz w:val="24"/>
          <w:szCs w:val="24"/>
        </w:rPr>
        <w:t>to</w:t>
      </w:r>
      <w:r w:rsidR="005B6842">
        <w:rPr>
          <w:rFonts w:ascii="Arial" w:hAnsi="Arial" w:cs="Arial"/>
          <w:sz w:val="24"/>
          <w:szCs w:val="24"/>
        </w:rPr>
        <w:t xml:space="preserve"> 90 days in advance of the contract expiration date.</w:t>
      </w:r>
      <w:r w:rsidR="00B70423">
        <w:rPr>
          <w:rStyle w:val="FootnoteReference"/>
          <w:rFonts w:ascii="Arial" w:hAnsi="Arial" w:cs="Arial"/>
          <w:sz w:val="24"/>
          <w:szCs w:val="24"/>
        </w:rPr>
        <w:footnoteReference w:id="50"/>
      </w:r>
      <w:r w:rsidR="005B6842">
        <w:rPr>
          <w:rFonts w:ascii="Arial" w:hAnsi="Arial" w:cs="Arial"/>
          <w:sz w:val="24"/>
          <w:szCs w:val="24"/>
        </w:rPr>
        <w:t xml:space="preserve"> </w:t>
      </w:r>
      <w:r w:rsidR="00800A7F">
        <w:rPr>
          <w:rFonts w:ascii="Arial" w:hAnsi="Arial" w:cs="Arial"/>
          <w:sz w:val="24"/>
          <w:szCs w:val="24"/>
        </w:rPr>
        <w:t>Among other things, the</w:t>
      </w:r>
      <w:r w:rsidR="005B6842">
        <w:rPr>
          <w:rFonts w:ascii="Arial" w:hAnsi="Arial" w:cs="Arial"/>
          <w:sz w:val="24"/>
          <w:szCs w:val="24"/>
        </w:rPr>
        <w:t xml:space="preserve"> notice must accurately describe </w:t>
      </w:r>
      <w:r w:rsidR="004C0DD5">
        <w:rPr>
          <w:rFonts w:ascii="Arial" w:hAnsi="Arial" w:cs="Arial"/>
          <w:sz w:val="24"/>
          <w:szCs w:val="24"/>
        </w:rPr>
        <w:t xml:space="preserve">any changes, </w:t>
      </w:r>
      <w:r w:rsidR="0020285D">
        <w:rPr>
          <w:rFonts w:ascii="Arial" w:hAnsi="Arial" w:cs="Arial"/>
          <w:sz w:val="24"/>
          <w:szCs w:val="24"/>
        </w:rPr>
        <w:t>state the c</w:t>
      </w:r>
      <w:r w:rsidR="00E21682">
        <w:rPr>
          <w:rFonts w:ascii="Arial" w:hAnsi="Arial" w:cs="Arial"/>
          <w:sz w:val="24"/>
          <w:szCs w:val="24"/>
        </w:rPr>
        <w:t xml:space="preserve">ontract will renew at the specified rate unless the customer cancels the contract, and provide the manner </w:t>
      </w:r>
      <w:r w:rsidR="00485ACE">
        <w:rPr>
          <w:rFonts w:ascii="Arial" w:hAnsi="Arial" w:cs="Arial"/>
          <w:sz w:val="24"/>
          <w:szCs w:val="24"/>
        </w:rPr>
        <w:t>in which the customer may cancel.</w:t>
      </w:r>
      <w:r w:rsidR="00485ACE">
        <w:rPr>
          <w:rStyle w:val="FootnoteReference"/>
          <w:rFonts w:ascii="Arial" w:hAnsi="Arial" w:cs="Arial"/>
          <w:sz w:val="24"/>
          <w:szCs w:val="24"/>
        </w:rPr>
        <w:footnoteReference w:id="51"/>
      </w:r>
      <w:r w:rsidR="00485ACE">
        <w:rPr>
          <w:rFonts w:ascii="Arial" w:hAnsi="Arial" w:cs="Arial"/>
          <w:sz w:val="24"/>
          <w:szCs w:val="24"/>
        </w:rPr>
        <w:t xml:space="preserve"> </w:t>
      </w:r>
      <w:r w:rsidR="00854D1B">
        <w:rPr>
          <w:rFonts w:ascii="Arial" w:hAnsi="Arial" w:cs="Arial"/>
          <w:sz w:val="24"/>
          <w:szCs w:val="24"/>
        </w:rPr>
        <w:t xml:space="preserve">IGS asserts these </w:t>
      </w:r>
      <w:r w:rsidR="00247FC8">
        <w:rPr>
          <w:rFonts w:ascii="Arial" w:hAnsi="Arial" w:cs="Arial"/>
          <w:sz w:val="24"/>
          <w:szCs w:val="24"/>
        </w:rPr>
        <w:t xml:space="preserve">notice requirements </w:t>
      </w:r>
      <w:r w:rsidR="008F017B">
        <w:rPr>
          <w:rFonts w:ascii="Arial" w:hAnsi="Arial" w:cs="Arial"/>
          <w:sz w:val="24"/>
          <w:szCs w:val="24"/>
        </w:rPr>
        <w:t>adequately</w:t>
      </w:r>
      <w:r w:rsidR="006A0786">
        <w:rPr>
          <w:rFonts w:ascii="Arial" w:hAnsi="Arial" w:cs="Arial"/>
          <w:sz w:val="24"/>
          <w:szCs w:val="24"/>
        </w:rPr>
        <w:t xml:space="preserve"> protect</w:t>
      </w:r>
      <w:r w:rsidR="00247FC8">
        <w:rPr>
          <w:rFonts w:ascii="Arial" w:hAnsi="Arial" w:cs="Arial"/>
          <w:sz w:val="24"/>
          <w:szCs w:val="24"/>
        </w:rPr>
        <w:t xml:space="preserve"> </w:t>
      </w:r>
      <w:r w:rsidR="006A0786">
        <w:rPr>
          <w:rFonts w:ascii="Arial" w:hAnsi="Arial" w:cs="Arial"/>
          <w:sz w:val="24"/>
          <w:szCs w:val="24"/>
        </w:rPr>
        <w:t>customers while preserving their right to enter into contracts</w:t>
      </w:r>
      <w:r w:rsidR="009D18E7">
        <w:rPr>
          <w:rFonts w:ascii="Arial" w:hAnsi="Arial" w:cs="Arial"/>
          <w:sz w:val="24"/>
          <w:szCs w:val="24"/>
        </w:rPr>
        <w:t>, and the</w:t>
      </w:r>
      <w:r w:rsidR="00EA68B8">
        <w:rPr>
          <w:rFonts w:ascii="Arial" w:hAnsi="Arial" w:cs="Arial"/>
          <w:sz w:val="24"/>
          <w:szCs w:val="24"/>
        </w:rPr>
        <w:t>refore, the</w:t>
      </w:r>
      <w:r w:rsidR="009D18E7">
        <w:rPr>
          <w:rFonts w:ascii="Arial" w:hAnsi="Arial" w:cs="Arial"/>
          <w:sz w:val="24"/>
          <w:szCs w:val="24"/>
        </w:rPr>
        <w:t xml:space="preserve"> Commission should continue to find them appropriate and sufficient</w:t>
      </w:r>
      <w:r w:rsidR="00223EAA">
        <w:rPr>
          <w:rFonts w:ascii="Arial" w:hAnsi="Arial" w:cs="Arial"/>
          <w:sz w:val="24"/>
          <w:szCs w:val="24"/>
        </w:rPr>
        <w:t xml:space="preserve"> for automatic renewal clause offerings</w:t>
      </w:r>
      <w:r w:rsidR="009D18E7">
        <w:rPr>
          <w:rFonts w:ascii="Arial" w:hAnsi="Arial" w:cs="Arial"/>
          <w:sz w:val="24"/>
          <w:szCs w:val="24"/>
        </w:rPr>
        <w:t>.</w:t>
      </w:r>
      <w:r w:rsidR="009D18E7">
        <w:rPr>
          <w:rStyle w:val="FootnoteReference"/>
          <w:rFonts w:ascii="Arial" w:hAnsi="Arial" w:cs="Arial"/>
          <w:sz w:val="24"/>
          <w:szCs w:val="24"/>
        </w:rPr>
        <w:footnoteReference w:id="52"/>
      </w:r>
      <w:r w:rsidR="009D18E7">
        <w:rPr>
          <w:rFonts w:ascii="Arial" w:hAnsi="Arial" w:cs="Arial"/>
          <w:sz w:val="24"/>
          <w:szCs w:val="24"/>
        </w:rPr>
        <w:t xml:space="preserve"> </w:t>
      </w:r>
    </w:p>
    <w:p w14:paraId="4A3D2B48" w14:textId="248564C3" w:rsidR="00875B12" w:rsidRDefault="00576798" w:rsidP="00875B12">
      <w:pPr>
        <w:pStyle w:val="Heading2"/>
      </w:pPr>
      <w:bookmarkStart w:id="35" w:name="_Toc85784663"/>
      <w:bookmarkStart w:id="36" w:name="_Toc85785005"/>
      <w:r>
        <w:t xml:space="preserve">The Commission should continue to allow enrollments from inbound customer calls to </w:t>
      </w:r>
      <w:r w:rsidR="008D276C">
        <w:t xml:space="preserve">CRNGS </w:t>
      </w:r>
      <w:r>
        <w:t>suppliers to be completed without requiring a third-party verification.</w:t>
      </w:r>
      <w:bookmarkEnd w:id="35"/>
      <w:bookmarkEnd w:id="36"/>
    </w:p>
    <w:p w14:paraId="3D76D63D" w14:textId="4B8D8BD9" w:rsidR="00A252CF" w:rsidRDefault="00576798" w:rsidP="00A252CF">
      <w:pPr>
        <w:spacing w:after="0" w:line="480" w:lineRule="auto"/>
        <w:ind w:firstLine="720"/>
        <w:jc w:val="both"/>
        <w:rPr>
          <w:rFonts w:ascii="Arial" w:hAnsi="Arial" w:cs="Arial"/>
          <w:sz w:val="24"/>
          <w:szCs w:val="24"/>
        </w:rPr>
      </w:pPr>
      <w:r w:rsidRPr="00576798">
        <w:rPr>
          <w:rFonts w:ascii="Arial" w:hAnsi="Arial" w:cs="Arial"/>
          <w:sz w:val="24"/>
          <w:szCs w:val="24"/>
        </w:rPr>
        <w:t>The Retail Energy Supply Association (“RESA”)</w:t>
      </w:r>
      <w:r>
        <w:rPr>
          <w:rFonts w:ascii="Arial" w:hAnsi="Arial" w:cs="Arial"/>
          <w:sz w:val="24"/>
          <w:szCs w:val="24"/>
        </w:rPr>
        <w:t xml:space="preserve"> </w:t>
      </w:r>
      <w:r w:rsidR="0080383A">
        <w:rPr>
          <w:rFonts w:ascii="Arial" w:hAnsi="Arial" w:cs="Arial"/>
          <w:sz w:val="24"/>
          <w:szCs w:val="24"/>
        </w:rPr>
        <w:t xml:space="preserve">recommends incorporating </w:t>
      </w:r>
      <w:r w:rsidR="004649A4">
        <w:rPr>
          <w:rFonts w:ascii="Arial" w:hAnsi="Arial" w:cs="Arial"/>
          <w:sz w:val="24"/>
          <w:szCs w:val="24"/>
        </w:rPr>
        <w:t xml:space="preserve">a waiver previously granted </w:t>
      </w:r>
      <w:r w:rsidR="00422DF5">
        <w:rPr>
          <w:rFonts w:ascii="Arial" w:hAnsi="Arial" w:cs="Arial"/>
          <w:sz w:val="24"/>
          <w:szCs w:val="24"/>
        </w:rPr>
        <w:t xml:space="preserve">by the Commission </w:t>
      </w:r>
      <w:r w:rsidR="004649A4">
        <w:rPr>
          <w:rFonts w:ascii="Arial" w:hAnsi="Arial" w:cs="Arial"/>
          <w:sz w:val="24"/>
          <w:szCs w:val="24"/>
        </w:rPr>
        <w:t xml:space="preserve">to all CRNGS suppliers regarding inbound calls into the rules. Specifically, the Commission </w:t>
      </w:r>
      <w:r w:rsidR="004C7404">
        <w:rPr>
          <w:rFonts w:ascii="Arial" w:hAnsi="Arial" w:cs="Arial"/>
          <w:sz w:val="24"/>
          <w:szCs w:val="24"/>
        </w:rPr>
        <w:t xml:space="preserve">previously </w:t>
      </w:r>
      <w:r w:rsidR="004649A4">
        <w:rPr>
          <w:rFonts w:ascii="Arial" w:hAnsi="Arial" w:cs="Arial"/>
          <w:sz w:val="24"/>
          <w:szCs w:val="24"/>
        </w:rPr>
        <w:t xml:space="preserve">granted a </w:t>
      </w:r>
      <w:r w:rsidR="001974F8">
        <w:rPr>
          <w:rFonts w:ascii="Arial" w:hAnsi="Arial" w:cs="Arial"/>
          <w:sz w:val="24"/>
          <w:szCs w:val="24"/>
        </w:rPr>
        <w:t xml:space="preserve">waiver </w:t>
      </w:r>
      <w:r w:rsidR="008133E9">
        <w:rPr>
          <w:rFonts w:ascii="Arial" w:hAnsi="Arial" w:cs="Arial"/>
          <w:sz w:val="24"/>
          <w:szCs w:val="24"/>
        </w:rPr>
        <w:t>of the third-party verification (“</w:t>
      </w:r>
      <w:r w:rsidR="001974F8" w:rsidRPr="001974F8">
        <w:rPr>
          <w:rFonts w:ascii="Arial" w:hAnsi="Arial" w:cs="Arial"/>
          <w:sz w:val="24"/>
          <w:szCs w:val="24"/>
        </w:rPr>
        <w:t>TPV</w:t>
      </w:r>
      <w:r w:rsidR="008133E9">
        <w:rPr>
          <w:rFonts w:ascii="Arial" w:hAnsi="Arial" w:cs="Arial"/>
          <w:sz w:val="24"/>
          <w:szCs w:val="24"/>
        </w:rPr>
        <w:t>”)</w:t>
      </w:r>
      <w:r w:rsidR="001974F8" w:rsidRPr="001974F8">
        <w:rPr>
          <w:rFonts w:ascii="Arial" w:hAnsi="Arial" w:cs="Arial"/>
          <w:sz w:val="24"/>
          <w:szCs w:val="24"/>
        </w:rPr>
        <w:t xml:space="preserve"> requirement when the telephonic CRNGS enrollment </w:t>
      </w:r>
      <w:r w:rsidR="0047667C">
        <w:rPr>
          <w:rFonts w:ascii="Arial" w:hAnsi="Arial" w:cs="Arial"/>
          <w:sz w:val="24"/>
          <w:szCs w:val="24"/>
        </w:rPr>
        <w:t>i</w:t>
      </w:r>
      <w:r w:rsidR="001974F8" w:rsidRPr="001974F8">
        <w:rPr>
          <w:rFonts w:ascii="Arial" w:hAnsi="Arial" w:cs="Arial"/>
          <w:sz w:val="24"/>
          <w:szCs w:val="24"/>
        </w:rPr>
        <w:t>s the result of the customer calling in to the supplier</w:t>
      </w:r>
      <w:r w:rsidR="004C7404">
        <w:rPr>
          <w:rFonts w:ascii="Arial" w:hAnsi="Arial" w:cs="Arial"/>
          <w:sz w:val="24"/>
          <w:szCs w:val="24"/>
        </w:rPr>
        <w:t>.</w:t>
      </w:r>
      <w:r w:rsidR="004C7404">
        <w:rPr>
          <w:rStyle w:val="FootnoteReference"/>
          <w:rFonts w:ascii="Arial" w:hAnsi="Arial" w:cs="Arial"/>
          <w:sz w:val="24"/>
          <w:szCs w:val="24"/>
        </w:rPr>
        <w:footnoteReference w:id="53"/>
      </w:r>
      <w:r w:rsidR="00160C64">
        <w:rPr>
          <w:rFonts w:ascii="Arial" w:hAnsi="Arial" w:cs="Arial"/>
          <w:sz w:val="24"/>
          <w:szCs w:val="24"/>
        </w:rPr>
        <w:t xml:space="preserve"> IGS supports this recommendation. </w:t>
      </w:r>
    </w:p>
    <w:p w14:paraId="55AAF078" w14:textId="5AF7A7AE" w:rsidR="00576798" w:rsidRPr="00A252CF" w:rsidRDefault="00A252CF" w:rsidP="00422DF5">
      <w:pPr>
        <w:spacing w:line="480" w:lineRule="auto"/>
        <w:ind w:firstLine="720"/>
        <w:jc w:val="both"/>
        <w:rPr>
          <w:rFonts w:ascii="Arial" w:hAnsi="Arial" w:cs="Arial"/>
          <w:sz w:val="28"/>
          <w:szCs w:val="28"/>
        </w:rPr>
      </w:pPr>
      <w:r w:rsidRPr="00A252CF">
        <w:rPr>
          <w:rFonts w:ascii="Arial" w:hAnsi="Arial" w:cs="Arial"/>
          <w:sz w:val="24"/>
          <w:szCs w:val="24"/>
        </w:rPr>
        <w:lastRenderedPageBreak/>
        <w:t xml:space="preserve">The rules currently require a CRNGS supplier to conduct an audio third-party verification </w:t>
      </w:r>
      <w:proofErr w:type="gramStart"/>
      <w:r w:rsidRPr="00A252CF">
        <w:rPr>
          <w:rFonts w:ascii="Arial" w:hAnsi="Arial" w:cs="Arial"/>
          <w:sz w:val="24"/>
          <w:szCs w:val="24"/>
        </w:rPr>
        <w:t>in order to</w:t>
      </w:r>
      <w:proofErr w:type="gramEnd"/>
      <w:r w:rsidRPr="00A252CF">
        <w:rPr>
          <w:rFonts w:ascii="Arial" w:hAnsi="Arial" w:cs="Arial"/>
          <w:sz w:val="24"/>
          <w:szCs w:val="24"/>
        </w:rPr>
        <w:t xml:space="preserve"> complete an enrollment of a customer who was solicited telephonically </w:t>
      </w:r>
      <w:r w:rsidRPr="00B7350A">
        <w:rPr>
          <w:rFonts w:ascii="Arial" w:hAnsi="Arial" w:cs="Arial"/>
          <w:b/>
          <w:bCs/>
          <w:i/>
          <w:iCs/>
          <w:sz w:val="24"/>
          <w:szCs w:val="24"/>
        </w:rPr>
        <w:t>in addition to</w:t>
      </w:r>
      <w:r w:rsidRPr="00A252CF">
        <w:rPr>
          <w:rFonts w:ascii="Arial" w:hAnsi="Arial" w:cs="Arial"/>
          <w:sz w:val="24"/>
          <w:szCs w:val="24"/>
        </w:rPr>
        <w:t xml:space="preserve"> recording the sales portion of the call with the customer.</w:t>
      </w:r>
      <w:r w:rsidR="00144978">
        <w:rPr>
          <w:rStyle w:val="FootnoteReference"/>
          <w:rFonts w:ascii="Arial" w:hAnsi="Arial" w:cs="Arial"/>
          <w:sz w:val="24"/>
          <w:szCs w:val="24"/>
        </w:rPr>
        <w:footnoteReference w:id="54"/>
      </w:r>
      <w:r w:rsidR="002406FD">
        <w:rPr>
          <w:rFonts w:ascii="Arial" w:hAnsi="Arial" w:cs="Arial"/>
          <w:sz w:val="24"/>
          <w:szCs w:val="24"/>
        </w:rPr>
        <w:t xml:space="preserve"> </w:t>
      </w:r>
      <w:r w:rsidR="00B7350A">
        <w:rPr>
          <w:rFonts w:ascii="Arial" w:hAnsi="Arial" w:cs="Arial"/>
          <w:sz w:val="24"/>
          <w:szCs w:val="24"/>
        </w:rPr>
        <w:t xml:space="preserve">This dual recording process is </w:t>
      </w:r>
      <w:r w:rsidR="0082381C">
        <w:rPr>
          <w:rFonts w:ascii="Arial" w:hAnsi="Arial" w:cs="Arial"/>
          <w:sz w:val="24"/>
          <w:szCs w:val="24"/>
        </w:rPr>
        <w:t xml:space="preserve">unnecessarily burdensome on CRNGS suppliers, especially as there is no similar requirement places on CRES providers. </w:t>
      </w:r>
      <w:r w:rsidR="003A3879">
        <w:rPr>
          <w:rFonts w:ascii="Arial" w:hAnsi="Arial" w:cs="Arial"/>
          <w:sz w:val="24"/>
          <w:szCs w:val="24"/>
        </w:rPr>
        <w:t>The</w:t>
      </w:r>
      <w:r w:rsidR="00EF7E3F">
        <w:rPr>
          <w:rFonts w:ascii="Arial" w:hAnsi="Arial" w:cs="Arial"/>
          <w:sz w:val="24"/>
          <w:szCs w:val="24"/>
        </w:rPr>
        <w:t>refore, the</w:t>
      </w:r>
      <w:r w:rsidR="003A3879">
        <w:rPr>
          <w:rFonts w:ascii="Arial" w:hAnsi="Arial" w:cs="Arial"/>
          <w:sz w:val="24"/>
          <w:szCs w:val="24"/>
        </w:rPr>
        <w:t xml:space="preserve"> Commission should </w:t>
      </w:r>
      <w:r w:rsidR="00EF7E3F">
        <w:rPr>
          <w:rFonts w:ascii="Arial" w:hAnsi="Arial" w:cs="Arial"/>
          <w:sz w:val="24"/>
          <w:szCs w:val="24"/>
        </w:rPr>
        <w:t xml:space="preserve">codify </w:t>
      </w:r>
      <w:r w:rsidR="006C3C9E">
        <w:rPr>
          <w:rFonts w:ascii="Arial" w:hAnsi="Arial" w:cs="Arial"/>
          <w:sz w:val="24"/>
          <w:szCs w:val="24"/>
        </w:rPr>
        <w:t>the status quo</w:t>
      </w:r>
      <w:r w:rsidR="00EF7E3F">
        <w:rPr>
          <w:rFonts w:ascii="Arial" w:hAnsi="Arial" w:cs="Arial"/>
          <w:sz w:val="24"/>
          <w:szCs w:val="24"/>
        </w:rPr>
        <w:t xml:space="preserve"> into the rules.</w:t>
      </w:r>
      <w:r w:rsidR="00B570EC">
        <w:rPr>
          <w:rFonts w:ascii="Arial" w:hAnsi="Arial" w:cs="Arial"/>
          <w:sz w:val="24"/>
          <w:szCs w:val="24"/>
        </w:rPr>
        <w:t xml:space="preserve"> </w:t>
      </w:r>
    </w:p>
    <w:p w14:paraId="5129E1B7" w14:textId="3ECDD744" w:rsidR="00A34554" w:rsidRPr="007C6BC9" w:rsidRDefault="00BB395F" w:rsidP="00D11301">
      <w:pPr>
        <w:pStyle w:val="Heading1"/>
      </w:pPr>
      <w:bookmarkStart w:id="37" w:name="_Toc85784664"/>
      <w:bookmarkStart w:id="38" w:name="_Toc85785006"/>
      <w:r w:rsidRPr="00BB395F">
        <w:t>CONCLUSION</w:t>
      </w:r>
      <w:bookmarkEnd w:id="37"/>
      <w:bookmarkEnd w:id="38"/>
      <w:r w:rsidRPr="00BB395F">
        <w:t> </w:t>
      </w:r>
    </w:p>
    <w:p w14:paraId="6800F6E3" w14:textId="48926966" w:rsidR="00BB395F" w:rsidRPr="00BB395F" w:rsidRDefault="00BB395F" w:rsidP="00BB395F">
      <w:pPr>
        <w:spacing w:after="0" w:line="480" w:lineRule="auto"/>
        <w:ind w:firstLine="720"/>
        <w:jc w:val="both"/>
        <w:textAlignment w:val="baseline"/>
        <w:rPr>
          <w:rFonts w:ascii="Segoe UI" w:eastAsia="Times New Roman" w:hAnsi="Segoe UI" w:cs="Segoe UI"/>
          <w:sz w:val="18"/>
          <w:szCs w:val="18"/>
        </w:rPr>
      </w:pPr>
      <w:r w:rsidRPr="00BB395F">
        <w:rPr>
          <w:rFonts w:ascii="Arial" w:eastAsia="Times New Roman" w:hAnsi="Arial" w:cs="Arial"/>
          <w:sz w:val="24"/>
          <w:szCs w:val="24"/>
        </w:rPr>
        <w:t>For the foregoing reasons, IGS recommends that the Commission decline</w:t>
      </w:r>
      <w:r w:rsidR="00214BCD">
        <w:rPr>
          <w:rFonts w:ascii="Arial" w:eastAsia="Times New Roman" w:hAnsi="Arial" w:cs="Arial"/>
          <w:sz w:val="24"/>
          <w:szCs w:val="24"/>
        </w:rPr>
        <w:t xml:space="preserve"> in part and adopt in part the revisions to the rules </w:t>
      </w:r>
      <w:r w:rsidR="005A1E8B">
        <w:rPr>
          <w:rFonts w:ascii="Arial" w:eastAsia="Times New Roman" w:hAnsi="Arial" w:cs="Arial"/>
          <w:sz w:val="24"/>
          <w:szCs w:val="24"/>
        </w:rPr>
        <w:t>as set forth above.</w:t>
      </w:r>
    </w:p>
    <w:p w14:paraId="080C412E" w14:textId="77777777" w:rsidR="00BB395F" w:rsidRPr="00BB395F" w:rsidRDefault="00BB395F" w:rsidP="00BB395F">
      <w:pPr>
        <w:spacing w:after="0" w:line="240" w:lineRule="auto"/>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592D259A" w14:textId="77777777" w:rsidR="00BB395F" w:rsidRPr="00BB395F" w:rsidRDefault="00BB395F" w:rsidP="00BB395F">
      <w:pPr>
        <w:spacing w:after="0" w:line="240" w:lineRule="auto"/>
        <w:ind w:left="5040"/>
        <w:textAlignment w:val="baseline"/>
        <w:rPr>
          <w:rFonts w:ascii="Segoe UI" w:eastAsia="Times New Roman" w:hAnsi="Segoe UI" w:cs="Segoe UI"/>
          <w:sz w:val="18"/>
          <w:szCs w:val="18"/>
        </w:rPr>
      </w:pPr>
      <w:r w:rsidRPr="00BB395F">
        <w:rPr>
          <w:rFonts w:ascii="Arial" w:eastAsia="Times New Roman" w:hAnsi="Arial" w:cs="Arial"/>
          <w:sz w:val="24"/>
          <w:szCs w:val="24"/>
        </w:rPr>
        <w:t>Respectfully submitted, </w:t>
      </w:r>
    </w:p>
    <w:p w14:paraId="34085F03" w14:textId="77777777" w:rsidR="00BB395F" w:rsidRPr="00BB395F" w:rsidRDefault="00BB395F" w:rsidP="00BB395F">
      <w:pPr>
        <w:spacing w:after="0" w:line="240" w:lineRule="auto"/>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4031B64E" w14:textId="77777777" w:rsidR="00BB395F" w:rsidRPr="00BB395F" w:rsidRDefault="00BB395F" w:rsidP="00BB395F">
      <w:pPr>
        <w:spacing w:after="0" w:line="240" w:lineRule="auto"/>
        <w:ind w:left="5040"/>
        <w:textAlignment w:val="baseline"/>
        <w:rPr>
          <w:rFonts w:ascii="Segoe UI" w:eastAsia="Times New Roman" w:hAnsi="Segoe UI" w:cs="Segoe UI"/>
          <w:sz w:val="18"/>
          <w:szCs w:val="18"/>
        </w:rPr>
      </w:pPr>
      <w:r w:rsidRPr="00BB395F">
        <w:rPr>
          <w:rFonts w:ascii="Arial" w:eastAsia="Times New Roman" w:hAnsi="Arial" w:cs="Arial"/>
          <w:sz w:val="24"/>
          <w:szCs w:val="24"/>
        </w:rPr>
        <w:t> </w:t>
      </w:r>
    </w:p>
    <w:p w14:paraId="4E2B9B5D" w14:textId="77777777" w:rsidR="00BB395F" w:rsidRPr="00BB395F" w:rsidRDefault="00BB395F" w:rsidP="00BB395F">
      <w:pPr>
        <w:spacing w:after="0" w:line="240" w:lineRule="auto"/>
        <w:ind w:left="5040"/>
        <w:textAlignment w:val="baseline"/>
        <w:rPr>
          <w:rFonts w:ascii="Segoe UI" w:eastAsia="Times New Roman" w:hAnsi="Segoe UI" w:cs="Segoe UI"/>
          <w:sz w:val="18"/>
          <w:szCs w:val="18"/>
        </w:rPr>
      </w:pPr>
      <w:r w:rsidRPr="00BB395F">
        <w:rPr>
          <w:rFonts w:ascii="Arial" w:eastAsia="Times New Roman" w:hAnsi="Arial" w:cs="Arial"/>
          <w:i/>
          <w:iCs/>
          <w:sz w:val="24"/>
          <w:szCs w:val="24"/>
          <w:u w:val="single"/>
        </w:rPr>
        <w:t>/s/ Bethany Allen</w:t>
      </w:r>
      <w:r w:rsidRPr="00BB395F">
        <w:rPr>
          <w:rFonts w:ascii="Arial" w:eastAsia="Times New Roman" w:hAnsi="Arial" w:cs="Arial"/>
          <w:sz w:val="24"/>
          <w:szCs w:val="24"/>
        </w:rPr>
        <w:t> </w:t>
      </w:r>
    </w:p>
    <w:p w14:paraId="79F40E22"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5347C8">
        <w:rPr>
          <w:rFonts w:ascii="Arial" w:eastAsia="Times New Roman" w:hAnsi="Arial" w:cs="Arial"/>
          <w:sz w:val="24"/>
          <w:szCs w:val="24"/>
        </w:rPr>
        <w:t>Bethany Allen (0093732) </w:t>
      </w:r>
    </w:p>
    <w:p w14:paraId="22CF15E8"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Counsel of Record </w:t>
      </w:r>
    </w:p>
    <w:p w14:paraId="7D8819F4" w14:textId="77777777" w:rsidR="00BB395F" w:rsidRPr="00A34554" w:rsidRDefault="004108F6" w:rsidP="00BB395F">
      <w:pPr>
        <w:spacing w:after="0" w:line="240" w:lineRule="auto"/>
        <w:ind w:left="5040"/>
        <w:textAlignment w:val="baseline"/>
        <w:rPr>
          <w:rFonts w:ascii="Arial" w:eastAsia="Times New Roman" w:hAnsi="Arial" w:cs="Arial"/>
          <w:sz w:val="24"/>
          <w:szCs w:val="24"/>
        </w:rPr>
      </w:pPr>
      <w:hyperlink r:id="rId15" w:tgtFrame="_blank" w:history="1">
        <w:r w:rsidR="00BB395F" w:rsidRPr="00A34554">
          <w:rPr>
            <w:rFonts w:ascii="Arial" w:eastAsia="Times New Roman" w:hAnsi="Arial" w:cs="Arial"/>
            <w:sz w:val="24"/>
            <w:szCs w:val="24"/>
            <w:u w:val="single"/>
          </w:rPr>
          <w:t>bethany.allen@igs.com</w:t>
        </w:r>
      </w:hyperlink>
      <w:r w:rsidR="00BB395F" w:rsidRPr="00A34554">
        <w:rPr>
          <w:rFonts w:ascii="Arial" w:eastAsia="Times New Roman" w:hAnsi="Arial" w:cs="Arial"/>
          <w:sz w:val="24"/>
          <w:szCs w:val="24"/>
        </w:rPr>
        <w:t> </w:t>
      </w:r>
    </w:p>
    <w:p w14:paraId="69589A14"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Joseph Oliker (0086088) </w:t>
      </w:r>
    </w:p>
    <w:p w14:paraId="071BD599" w14:textId="0515DD7F" w:rsidR="00BB395F" w:rsidRPr="00A34554" w:rsidRDefault="004108F6" w:rsidP="00BB395F">
      <w:pPr>
        <w:spacing w:after="0" w:line="240" w:lineRule="auto"/>
        <w:ind w:left="5040"/>
        <w:textAlignment w:val="baseline"/>
        <w:rPr>
          <w:rFonts w:ascii="Arial" w:eastAsia="Times New Roman" w:hAnsi="Arial" w:cs="Arial"/>
          <w:sz w:val="24"/>
          <w:szCs w:val="24"/>
        </w:rPr>
      </w:pPr>
      <w:hyperlink r:id="rId16" w:tgtFrame="_blank" w:history="1">
        <w:r w:rsidR="00BB395F" w:rsidRPr="00A34554">
          <w:rPr>
            <w:rFonts w:ascii="Arial" w:eastAsia="Times New Roman" w:hAnsi="Arial" w:cs="Arial"/>
            <w:sz w:val="24"/>
            <w:szCs w:val="24"/>
            <w:u w:val="single"/>
          </w:rPr>
          <w:t>joe.oliker@igs.com</w:t>
        </w:r>
      </w:hyperlink>
      <w:r w:rsidR="00BB395F" w:rsidRPr="00A34554">
        <w:rPr>
          <w:rFonts w:ascii="Arial" w:eastAsia="Times New Roman" w:hAnsi="Arial" w:cs="Arial"/>
          <w:sz w:val="24"/>
          <w:szCs w:val="24"/>
        </w:rPr>
        <w:t> </w:t>
      </w:r>
    </w:p>
    <w:p w14:paraId="30E921E4" w14:textId="77777777" w:rsidR="002724EB" w:rsidRPr="00A34554" w:rsidRDefault="002724EB" w:rsidP="00A34554">
      <w:pPr>
        <w:pStyle w:val="paragraph"/>
        <w:spacing w:before="0" w:beforeAutospacing="0" w:after="0" w:afterAutospacing="0"/>
        <w:ind w:left="4320" w:firstLine="720"/>
        <w:textAlignment w:val="baseline"/>
        <w:rPr>
          <w:rFonts w:ascii="Arial" w:hAnsi="Arial" w:cs="Arial"/>
        </w:rPr>
      </w:pPr>
      <w:r w:rsidRPr="00A34554">
        <w:rPr>
          <w:rStyle w:val="normaltextrun"/>
          <w:rFonts w:ascii="Arial" w:hAnsi="Arial" w:cs="Arial"/>
        </w:rPr>
        <w:t>Michael Nugent (0090408)</w:t>
      </w:r>
      <w:r w:rsidRPr="00A34554">
        <w:rPr>
          <w:rStyle w:val="eop"/>
          <w:rFonts w:ascii="Arial" w:hAnsi="Arial" w:cs="Arial"/>
        </w:rPr>
        <w:t> </w:t>
      </w:r>
    </w:p>
    <w:p w14:paraId="7AC5FBEF" w14:textId="0370A3B5" w:rsidR="002724EB" w:rsidRPr="00A34554" w:rsidRDefault="004108F6" w:rsidP="00A34554">
      <w:pPr>
        <w:pStyle w:val="paragraph"/>
        <w:spacing w:before="0" w:beforeAutospacing="0" w:after="0" w:afterAutospacing="0"/>
        <w:ind w:left="4320" w:firstLine="720"/>
        <w:textAlignment w:val="baseline"/>
        <w:rPr>
          <w:rFonts w:ascii="Arial" w:hAnsi="Arial" w:cs="Arial"/>
        </w:rPr>
      </w:pPr>
      <w:hyperlink r:id="rId17" w:history="1">
        <w:r w:rsidR="002724EB" w:rsidRPr="00A34554">
          <w:rPr>
            <w:rStyle w:val="Hyperlink"/>
            <w:rFonts w:ascii="Arial" w:hAnsi="Arial" w:cs="Arial"/>
            <w:color w:val="auto"/>
          </w:rPr>
          <w:t>michael.nugent@igs.com</w:t>
        </w:r>
      </w:hyperlink>
      <w:r w:rsidR="002724EB" w:rsidRPr="00A34554">
        <w:rPr>
          <w:rStyle w:val="normaltextrun"/>
          <w:rFonts w:ascii="Arial" w:hAnsi="Arial" w:cs="Arial"/>
        </w:rPr>
        <w:t> </w:t>
      </w:r>
      <w:r w:rsidR="002724EB" w:rsidRPr="00A34554">
        <w:rPr>
          <w:rStyle w:val="eop"/>
          <w:rFonts w:ascii="Arial" w:hAnsi="Arial" w:cs="Arial"/>
        </w:rPr>
        <w:t> </w:t>
      </w:r>
    </w:p>
    <w:p w14:paraId="185EE8B0" w14:textId="77777777" w:rsidR="002724EB" w:rsidRPr="00A34554" w:rsidRDefault="002724EB" w:rsidP="00A34554">
      <w:pPr>
        <w:pStyle w:val="paragraph"/>
        <w:spacing w:before="0" w:beforeAutospacing="0" w:after="0" w:afterAutospacing="0"/>
        <w:ind w:left="4320" w:firstLine="720"/>
        <w:textAlignment w:val="baseline"/>
        <w:rPr>
          <w:rFonts w:ascii="Arial" w:hAnsi="Arial" w:cs="Arial"/>
        </w:rPr>
      </w:pPr>
      <w:r w:rsidRPr="00A34554">
        <w:rPr>
          <w:rStyle w:val="normaltextrun"/>
          <w:rFonts w:ascii="Arial" w:hAnsi="Arial" w:cs="Arial"/>
        </w:rPr>
        <w:t>Evan Betterton (0100089)</w:t>
      </w:r>
    </w:p>
    <w:p w14:paraId="0C11768A" w14:textId="2FD94C9A" w:rsidR="002724EB" w:rsidRPr="00A34554" w:rsidRDefault="004108F6" w:rsidP="00A34554">
      <w:pPr>
        <w:pStyle w:val="paragraph"/>
        <w:spacing w:before="0" w:beforeAutospacing="0" w:after="0" w:afterAutospacing="0"/>
        <w:ind w:left="5040"/>
        <w:textAlignment w:val="baseline"/>
        <w:rPr>
          <w:rFonts w:ascii="Arial" w:hAnsi="Arial" w:cs="Arial"/>
        </w:rPr>
      </w:pPr>
      <w:hyperlink r:id="rId18" w:history="1">
        <w:r w:rsidR="002724EB" w:rsidRPr="00A34554">
          <w:rPr>
            <w:rStyle w:val="Hyperlink"/>
            <w:rFonts w:ascii="Arial" w:hAnsi="Arial" w:cs="Arial"/>
            <w:color w:val="auto"/>
          </w:rPr>
          <w:t>Evan.betterton@igs.com</w:t>
        </w:r>
      </w:hyperlink>
      <w:r w:rsidR="002724EB" w:rsidRPr="00A34554">
        <w:rPr>
          <w:rStyle w:val="normaltextrun"/>
          <w:rFonts w:ascii="Arial" w:hAnsi="Arial" w:cs="Arial"/>
        </w:rPr>
        <w:t> </w:t>
      </w:r>
      <w:r w:rsidR="002724EB" w:rsidRPr="00A34554">
        <w:rPr>
          <w:rStyle w:val="eop"/>
          <w:rFonts w:ascii="Arial" w:hAnsi="Arial" w:cs="Arial"/>
        </w:rPr>
        <w:t> </w:t>
      </w:r>
    </w:p>
    <w:p w14:paraId="32DF05AA" w14:textId="77777777" w:rsidR="002724EB" w:rsidRPr="00A34554" w:rsidRDefault="002724EB" w:rsidP="00BB395F">
      <w:pPr>
        <w:spacing w:after="0" w:line="240" w:lineRule="auto"/>
        <w:ind w:left="5040"/>
        <w:textAlignment w:val="baseline"/>
        <w:rPr>
          <w:rFonts w:ascii="Arial" w:eastAsia="Times New Roman" w:hAnsi="Arial" w:cs="Arial"/>
          <w:sz w:val="24"/>
          <w:szCs w:val="24"/>
        </w:rPr>
      </w:pPr>
    </w:p>
    <w:p w14:paraId="51DE0A60"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IGS Energy </w:t>
      </w:r>
    </w:p>
    <w:p w14:paraId="4E40DCC4"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6100 Emerald Parkway </w:t>
      </w:r>
    </w:p>
    <w:p w14:paraId="29622784"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Dublin, Ohio 43016 </w:t>
      </w:r>
    </w:p>
    <w:p w14:paraId="3592C467"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Telephone: (614) 659-5000 </w:t>
      </w:r>
    </w:p>
    <w:p w14:paraId="5A8567E7"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Facsimile: (614) 659-5073 </w:t>
      </w:r>
    </w:p>
    <w:p w14:paraId="4AEFE382" w14:textId="77777777" w:rsidR="00BB395F" w:rsidRPr="00A34554"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sz w:val="24"/>
          <w:szCs w:val="24"/>
        </w:rPr>
        <w:t> </w:t>
      </w:r>
    </w:p>
    <w:p w14:paraId="6FF7BCDA" w14:textId="19C0781A" w:rsidR="00BB395F" w:rsidRDefault="00BB395F" w:rsidP="00BB395F">
      <w:pPr>
        <w:spacing w:after="0" w:line="240" w:lineRule="auto"/>
        <w:ind w:left="5040"/>
        <w:textAlignment w:val="baseline"/>
        <w:rPr>
          <w:rFonts w:ascii="Arial" w:eastAsia="Times New Roman" w:hAnsi="Arial" w:cs="Arial"/>
          <w:sz w:val="24"/>
          <w:szCs w:val="24"/>
        </w:rPr>
      </w:pPr>
      <w:r w:rsidRPr="00A34554">
        <w:rPr>
          <w:rFonts w:ascii="Arial" w:eastAsia="Times New Roman" w:hAnsi="Arial" w:cs="Arial"/>
          <w:b/>
          <w:bCs/>
          <w:i/>
          <w:iCs/>
          <w:sz w:val="24"/>
          <w:szCs w:val="24"/>
        </w:rPr>
        <w:t>Attorneys for IGS Energy</w:t>
      </w:r>
      <w:r w:rsidRPr="00A34554">
        <w:rPr>
          <w:rFonts w:ascii="Arial" w:eastAsia="Times New Roman" w:hAnsi="Arial" w:cs="Arial"/>
          <w:sz w:val="24"/>
          <w:szCs w:val="24"/>
        </w:rPr>
        <w:t> </w:t>
      </w:r>
    </w:p>
    <w:p w14:paraId="07CC3F29" w14:textId="419FC6D6" w:rsidR="005347C8" w:rsidRDefault="005347C8" w:rsidP="00BB395F">
      <w:pPr>
        <w:spacing w:after="0" w:line="240" w:lineRule="auto"/>
        <w:ind w:left="5040"/>
        <w:textAlignment w:val="baseline"/>
        <w:rPr>
          <w:rFonts w:ascii="Arial" w:eastAsia="Times New Roman" w:hAnsi="Arial" w:cs="Arial"/>
          <w:sz w:val="24"/>
          <w:szCs w:val="24"/>
        </w:rPr>
      </w:pPr>
    </w:p>
    <w:p w14:paraId="299BC966" w14:textId="588A16BC" w:rsidR="005347C8" w:rsidRDefault="005347C8">
      <w:pPr>
        <w:rPr>
          <w:rFonts w:ascii="Arial" w:eastAsia="Times New Roman" w:hAnsi="Arial" w:cs="Arial"/>
          <w:sz w:val="24"/>
          <w:szCs w:val="24"/>
        </w:rPr>
      </w:pPr>
      <w:r>
        <w:rPr>
          <w:rFonts w:ascii="Arial" w:eastAsia="Times New Roman" w:hAnsi="Arial" w:cs="Arial"/>
          <w:sz w:val="24"/>
          <w:szCs w:val="24"/>
        </w:rPr>
        <w:br w:type="page"/>
      </w:r>
    </w:p>
    <w:p w14:paraId="71A037B6" w14:textId="77777777" w:rsidR="005347C8" w:rsidRPr="00A34554" w:rsidRDefault="005347C8" w:rsidP="005347C8">
      <w:pPr>
        <w:spacing w:line="240" w:lineRule="auto"/>
        <w:jc w:val="center"/>
        <w:rPr>
          <w:rFonts w:ascii="Arial" w:hAnsi="Arial" w:cs="Arial"/>
          <w:b/>
          <w:bCs/>
          <w:sz w:val="24"/>
          <w:szCs w:val="24"/>
          <w:u w:val="single"/>
        </w:rPr>
      </w:pPr>
      <w:r w:rsidRPr="00A34554">
        <w:rPr>
          <w:rFonts w:ascii="Arial" w:hAnsi="Arial" w:cs="Arial"/>
          <w:b/>
          <w:bCs/>
          <w:sz w:val="24"/>
          <w:szCs w:val="24"/>
          <w:u w:val="single"/>
        </w:rPr>
        <w:lastRenderedPageBreak/>
        <w:t>CERTIFICATE OF SERVICE</w:t>
      </w:r>
    </w:p>
    <w:p w14:paraId="2A862CA4" w14:textId="77777777" w:rsidR="005347C8" w:rsidRPr="00A34554" w:rsidRDefault="005347C8" w:rsidP="00A34554">
      <w:pPr>
        <w:spacing w:line="240" w:lineRule="auto"/>
        <w:jc w:val="both"/>
        <w:rPr>
          <w:rFonts w:ascii="Arial" w:hAnsi="Arial" w:cs="Arial"/>
          <w:sz w:val="24"/>
          <w:szCs w:val="24"/>
        </w:rPr>
      </w:pPr>
    </w:p>
    <w:p w14:paraId="786B5C3A" w14:textId="1BCC1BCA" w:rsidR="005347C8" w:rsidRPr="00A34554" w:rsidRDefault="005347C8" w:rsidP="00A34554">
      <w:pPr>
        <w:ind w:firstLine="720"/>
        <w:jc w:val="both"/>
        <w:rPr>
          <w:rFonts w:ascii="Arial" w:hAnsi="Arial" w:cs="Arial"/>
          <w:sz w:val="24"/>
          <w:szCs w:val="24"/>
        </w:rPr>
      </w:pPr>
      <w:r w:rsidRPr="00A34554">
        <w:rPr>
          <w:rFonts w:ascii="Arial" w:hAnsi="Arial" w:cs="Arial"/>
          <w:sz w:val="24"/>
          <w:szCs w:val="24"/>
        </w:rPr>
        <w:t xml:space="preserve">I certify that this </w:t>
      </w:r>
      <w:r w:rsidRPr="00A34554">
        <w:rPr>
          <w:rFonts w:ascii="Arial" w:hAnsi="Arial" w:cs="Arial"/>
          <w:i/>
          <w:iCs/>
          <w:sz w:val="24"/>
          <w:szCs w:val="24"/>
        </w:rPr>
        <w:t>Reply Comments of Interstate Gas Supply, Inc.</w:t>
      </w:r>
      <w:r w:rsidRPr="00A34554">
        <w:rPr>
          <w:rFonts w:ascii="Arial" w:hAnsi="Arial" w:cs="Arial"/>
          <w:sz w:val="24"/>
          <w:szCs w:val="24"/>
        </w:rPr>
        <w:t xml:space="preserve"> was filed electronically through the Docketing Information System of the Public Utilities Commission of Ohio on October </w:t>
      </w:r>
      <w:r>
        <w:rPr>
          <w:rFonts w:ascii="Arial" w:hAnsi="Arial" w:cs="Arial"/>
          <w:sz w:val="24"/>
          <w:szCs w:val="24"/>
        </w:rPr>
        <w:t>22</w:t>
      </w:r>
      <w:r w:rsidRPr="00A34554">
        <w:rPr>
          <w:rFonts w:ascii="Arial" w:hAnsi="Arial" w:cs="Arial"/>
          <w:sz w:val="24"/>
          <w:szCs w:val="24"/>
        </w:rPr>
        <w:t>, 2021. The PUCO's e-filing system will electronically serve notice of the filing of this document on those subscribed to these proceedings.</w:t>
      </w:r>
    </w:p>
    <w:p w14:paraId="49BE164E" w14:textId="77777777" w:rsidR="005347C8" w:rsidRPr="00A34554" w:rsidRDefault="005347C8" w:rsidP="00A34554">
      <w:pPr>
        <w:jc w:val="both"/>
        <w:rPr>
          <w:rFonts w:ascii="Arial" w:hAnsi="Arial" w:cs="Arial"/>
          <w:sz w:val="24"/>
          <w:szCs w:val="24"/>
        </w:rPr>
      </w:pPr>
    </w:p>
    <w:p w14:paraId="1C6A8448" w14:textId="77777777" w:rsidR="005347C8" w:rsidRPr="00A34554" w:rsidRDefault="005347C8" w:rsidP="005347C8">
      <w:pPr>
        <w:spacing w:line="240" w:lineRule="auto"/>
        <w:ind w:left="5760"/>
        <w:rPr>
          <w:rFonts w:ascii="Arial" w:hAnsi="Arial" w:cs="Arial"/>
          <w:sz w:val="24"/>
          <w:szCs w:val="24"/>
          <w:u w:val="single"/>
        </w:rPr>
      </w:pPr>
      <w:r w:rsidRPr="00A34554">
        <w:rPr>
          <w:rFonts w:ascii="Arial" w:hAnsi="Arial" w:cs="Arial"/>
          <w:sz w:val="24"/>
          <w:szCs w:val="24"/>
          <w:u w:val="single"/>
        </w:rPr>
        <w:t xml:space="preserve"> /s/ Bethany Allen </w:t>
      </w:r>
    </w:p>
    <w:p w14:paraId="3D617EBF" w14:textId="77777777" w:rsidR="005347C8" w:rsidRPr="00A34554" w:rsidRDefault="005347C8" w:rsidP="005347C8">
      <w:pPr>
        <w:spacing w:line="240" w:lineRule="auto"/>
        <w:ind w:left="5760"/>
        <w:rPr>
          <w:rFonts w:ascii="Arial" w:hAnsi="Arial" w:cs="Arial"/>
          <w:sz w:val="24"/>
          <w:szCs w:val="24"/>
        </w:rPr>
      </w:pPr>
      <w:r w:rsidRPr="00A34554">
        <w:rPr>
          <w:rFonts w:ascii="Arial" w:hAnsi="Arial" w:cs="Arial"/>
          <w:sz w:val="24"/>
          <w:szCs w:val="24"/>
        </w:rPr>
        <w:t xml:space="preserve">Bethany Allen </w:t>
      </w:r>
    </w:p>
    <w:p w14:paraId="15B3BF00" w14:textId="7A7C191F" w:rsidR="000F7CB4" w:rsidRDefault="000F7CB4" w:rsidP="001709A7">
      <w:pPr>
        <w:kinsoku w:val="0"/>
        <w:overflowPunct w:val="0"/>
        <w:ind w:right="-29"/>
        <w:textAlignment w:val="baseline"/>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590"/>
      </w:tblGrid>
      <w:tr w:rsidR="000F7CB4" w:rsidRPr="00883F43" w14:paraId="4EA4481F" w14:textId="77777777" w:rsidTr="000F7CB4">
        <w:trPr>
          <w:trHeight w:val="872"/>
        </w:trPr>
        <w:tc>
          <w:tcPr>
            <w:tcW w:w="5130" w:type="dxa"/>
            <w:tcBorders>
              <w:top w:val="single" w:sz="4" w:space="0" w:color="auto"/>
              <w:left w:val="single" w:sz="4" w:space="0" w:color="auto"/>
              <w:bottom w:val="single" w:sz="4" w:space="0" w:color="auto"/>
              <w:right w:val="single" w:sz="4" w:space="0" w:color="auto"/>
            </w:tcBorders>
            <w:vAlign w:val="center"/>
            <w:hideMark/>
          </w:tcPr>
          <w:p w14:paraId="2BB32071" w14:textId="77777777" w:rsidR="000F7CB4" w:rsidRPr="00883F43" w:rsidRDefault="000F7CB4">
            <w:pPr>
              <w:kinsoku w:val="0"/>
              <w:overflowPunct w:val="0"/>
              <w:spacing w:after="0"/>
              <w:textAlignment w:val="baseline"/>
              <w:rPr>
                <w:rFonts w:ascii="Arial" w:hAnsi="Arial" w:cs="Arial"/>
                <w:highlight w:val="yellow"/>
              </w:rPr>
            </w:pPr>
            <w:r w:rsidRPr="00883F43">
              <w:rPr>
                <w:rFonts w:ascii="Arial" w:hAnsi="Arial" w:cs="Arial"/>
              </w:rPr>
              <w:t>Citizens’ Utility Board</w:t>
            </w:r>
          </w:p>
        </w:tc>
        <w:tc>
          <w:tcPr>
            <w:tcW w:w="4590" w:type="dxa"/>
            <w:tcBorders>
              <w:top w:val="single" w:sz="4" w:space="0" w:color="auto"/>
              <w:left w:val="single" w:sz="4" w:space="0" w:color="auto"/>
              <w:bottom w:val="single" w:sz="4" w:space="0" w:color="auto"/>
              <w:right w:val="single" w:sz="4" w:space="0" w:color="auto"/>
            </w:tcBorders>
            <w:vAlign w:val="center"/>
            <w:hideMark/>
          </w:tcPr>
          <w:p w14:paraId="11F066CC" w14:textId="77777777" w:rsidR="000F7CB4" w:rsidRPr="00883F43" w:rsidRDefault="004108F6">
            <w:pPr>
              <w:autoSpaceDE w:val="0"/>
              <w:autoSpaceDN w:val="0"/>
              <w:adjustRightInd w:val="0"/>
              <w:spacing w:after="0"/>
              <w:rPr>
                <w:rFonts w:ascii="Arial" w:hAnsi="Arial" w:cs="Arial"/>
              </w:rPr>
            </w:pPr>
            <w:hyperlink r:id="rId19" w:history="1">
              <w:r w:rsidR="000F7CB4" w:rsidRPr="00883F43">
                <w:rPr>
                  <w:rStyle w:val="Hyperlink"/>
                  <w:rFonts w:ascii="Arial" w:hAnsi="Arial" w:cs="Arial"/>
                </w:rPr>
                <w:t>mfleisher@dickinsonwright.com</w:t>
              </w:r>
            </w:hyperlink>
            <w:r w:rsidR="000F7CB4" w:rsidRPr="00883F43">
              <w:rPr>
                <w:rFonts w:ascii="Arial" w:hAnsi="Arial" w:cs="Arial"/>
              </w:rPr>
              <w:t xml:space="preserve"> </w:t>
            </w:r>
          </w:p>
        </w:tc>
      </w:tr>
      <w:tr w:rsidR="000F7CB4" w:rsidRPr="00883F43" w14:paraId="34B61E82" w14:textId="77777777" w:rsidTr="000F7CB4">
        <w:trPr>
          <w:trHeight w:val="872"/>
        </w:trPr>
        <w:tc>
          <w:tcPr>
            <w:tcW w:w="5130" w:type="dxa"/>
            <w:tcBorders>
              <w:top w:val="single" w:sz="4" w:space="0" w:color="auto"/>
              <w:left w:val="single" w:sz="4" w:space="0" w:color="auto"/>
              <w:bottom w:val="single" w:sz="4" w:space="0" w:color="auto"/>
              <w:right w:val="single" w:sz="4" w:space="0" w:color="auto"/>
            </w:tcBorders>
            <w:vAlign w:val="center"/>
            <w:hideMark/>
          </w:tcPr>
          <w:p w14:paraId="0F6FA6F4" w14:textId="77777777" w:rsidR="000F7CB4" w:rsidRPr="00883F43" w:rsidRDefault="000F7CB4">
            <w:pPr>
              <w:kinsoku w:val="0"/>
              <w:overflowPunct w:val="0"/>
              <w:spacing w:after="0"/>
              <w:textAlignment w:val="baseline"/>
              <w:rPr>
                <w:rFonts w:ascii="Arial" w:hAnsi="Arial" w:cs="Arial"/>
              </w:rPr>
            </w:pPr>
            <w:r w:rsidRPr="00883F43">
              <w:rPr>
                <w:rFonts w:ascii="Arial" w:hAnsi="Arial" w:cs="Arial"/>
              </w:rPr>
              <w:t xml:space="preserve">Constellation </w:t>
            </w:r>
            <w:proofErr w:type="spellStart"/>
            <w:r w:rsidRPr="00883F43">
              <w:rPr>
                <w:rFonts w:ascii="Arial" w:hAnsi="Arial" w:cs="Arial"/>
              </w:rPr>
              <w:t>NewEnergy</w:t>
            </w:r>
            <w:proofErr w:type="spellEnd"/>
            <w:r w:rsidRPr="00883F43">
              <w:rPr>
                <w:rFonts w:ascii="Arial" w:hAnsi="Arial" w:cs="Arial"/>
              </w:rPr>
              <w:t xml:space="preserve"> Inc. </w:t>
            </w:r>
            <w:r w:rsidRPr="00883F43">
              <w:rPr>
                <w:rFonts w:ascii="Arial" w:hAnsi="Arial" w:cs="Arial"/>
              </w:rPr>
              <w:br/>
              <w:t xml:space="preserve">Constellation </w:t>
            </w:r>
            <w:proofErr w:type="spellStart"/>
            <w:r w:rsidRPr="00883F43">
              <w:rPr>
                <w:rFonts w:ascii="Arial" w:hAnsi="Arial" w:cs="Arial"/>
              </w:rPr>
              <w:t>NewEnergy</w:t>
            </w:r>
            <w:proofErr w:type="spellEnd"/>
            <w:r w:rsidRPr="00883F43">
              <w:rPr>
                <w:rFonts w:ascii="Arial" w:hAnsi="Arial" w:cs="Arial"/>
              </w:rPr>
              <w:t xml:space="preserve"> – Gas Division, LLC</w:t>
            </w:r>
          </w:p>
        </w:tc>
        <w:tc>
          <w:tcPr>
            <w:tcW w:w="4590" w:type="dxa"/>
            <w:tcBorders>
              <w:top w:val="single" w:sz="4" w:space="0" w:color="auto"/>
              <w:left w:val="single" w:sz="4" w:space="0" w:color="auto"/>
              <w:bottom w:val="single" w:sz="4" w:space="0" w:color="auto"/>
              <w:right w:val="single" w:sz="4" w:space="0" w:color="auto"/>
            </w:tcBorders>
            <w:vAlign w:val="center"/>
            <w:hideMark/>
          </w:tcPr>
          <w:p w14:paraId="4964A260" w14:textId="77777777" w:rsidR="000F7CB4" w:rsidRPr="00883F43" w:rsidRDefault="004108F6">
            <w:pPr>
              <w:autoSpaceDE w:val="0"/>
              <w:autoSpaceDN w:val="0"/>
              <w:adjustRightInd w:val="0"/>
              <w:spacing w:after="0"/>
              <w:rPr>
                <w:rFonts w:ascii="Arial" w:hAnsi="Arial" w:cs="Arial"/>
              </w:rPr>
            </w:pPr>
            <w:hyperlink r:id="rId20" w:history="1">
              <w:r w:rsidR="000F7CB4" w:rsidRPr="00883F43">
                <w:rPr>
                  <w:rStyle w:val="Hyperlink"/>
                  <w:rFonts w:ascii="Arial" w:hAnsi="Arial" w:cs="Arial"/>
                </w:rPr>
                <w:t>glpetrucci@vorys.com</w:t>
              </w:r>
            </w:hyperlink>
            <w:r w:rsidR="000F7CB4" w:rsidRPr="00883F43">
              <w:rPr>
                <w:rFonts w:ascii="Arial" w:hAnsi="Arial" w:cs="Arial"/>
              </w:rPr>
              <w:t xml:space="preserve"> </w:t>
            </w:r>
          </w:p>
        </w:tc>
      </w:tr>
      <w:tr w:rsidR="000F7CB4" w:rsidRPr="00883F43" w14:paraId="43503A43" w14:textId="77777777" w:rsidTr="000F7CB4">
        <w:trPr>
          <w:trHeight w:val="872"/>
        </w:trPr>
        <w:tc>
          <w:tcPr>
            <w:tcW w:w="5130" w:type="dxa"/>
            <w:tcBorders>
              <w:top w:val="single" w:sz="4" w:space="0" w:color="auto"/>
              <w:left w:val="single" w:sz="4" w:space="0" w:color="auto"/>
              <w:bottom w:val="single" w:sz="4" w:space="0" w:color="auto"/>
              <w:right w:val="single" w:sz="4" w:space="0" w:color="auto"/>
            </w:tcBorders>
            <w:vAlign w:val="center"/>
            <w:hideMark/>
          </w:tcPr>
          <w:p w14:paraId="49BD2EB4" w14:textId="77777777" w:rsidR="000F7CB4" w:rsidRPr="00883F43" w:rsidRDefault="000F7CB4">
            <w:pPr>
              <w:kinsoku w:val="0"/>
              <w:overflowPunct w:val="0"/>
              <w:spacing w:after="0"/>
              <w:textAlignment w:val="baseline"/>
              <w:rPr>
                <w:rFonts w:ascii="Arial" w:hAnsi="Arial" w:cs="Arial"/>
                <w:highlight w:val="yellow"/>
              </w:rPr>
            </w:pPr>
            <w:r w:rsidRPr="00883F43">
              <w:rPr>
                <w:rFonts w:ascii="Arial" w:hAnsi="Arial" w:cs="Arial"/>
              </w:rPr>
              <w:t>Energy Harbor</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9B5822F" w14:textId="77777777" w:rsidR="000F7CB4" w:rsidRPr="00883F43" w:rsidRDefault="004108F6">
            <w:pPr>
              <w:autoSpaceDE w:val="0"/>
              <w:autoSpaceDN w:val="0"/>
              <w:adjustRightInd w:val="0"/>
              <w:spacing w:after="0"/>
              <w:rPr>
                <w:rFonts w:ascii="Arial" w:hAnsi="Arial" w:cs="Arial"/>
              </w:rPr>
            </w:pPr>
            <w:hyperlink r:id="rId21" w:history="1">
              <w:r w:rsidR="000F7CB4" w:rsidRPr="00883F43">
                <w:rPr>
                  <w:rStyle w:val="Hyperlink"/>
                  <w:rFonts w:ascii="Arial" w:hAnsi="Arial" w:cs="Arial"/>
                </w:rPr>
                <w:t>talexander@beneschlaw.com</w:t>
              </w:r>
            </w:hyperlink>
            <w:r w:rsidR="000F7CB4" w:rsidRPr="00883F43">
              <w:rPr>
                <w:rFonts w:ascii="Arial" w:hAnsi="Arial" w:cs="Arial"/>
              </w:rPr>
              <w:br/>
            </w:r>
            <w:hyperlink r:id="rId22" w:history="1">
              <w:r w:rsidR="000F7CB4" w:rsidRPr="00883F43">
                <w:rPr>
                  <w:rStyle w:val="Hyperlink"/>
                  <w:rFonts w:ascii="Arial" w:hAnsi="Arial" w:cs="Arial"/>
                </w:rPr>
                <w:t>khehmeyer@beneschlaw.com</w:t>
              </w:r>
            </w:hyperlink>
            <w:r w:rsidR="000F7CB4" w:rsidRPr="00883F43">
              <w:rPr>
                <w:rFonts w:ascii="Arial" w:hAnsi="Arial" w:cs="Arial"/>
              </w:rPr>
              <w:t xml:space="preserve"> </w:t>
            </w:r>
          </w:p>
        </w:tc>
      </w:tr>
      <w:tr w:rsidR="000F7CB4" w:rsidRPr="00883F43" w14:paraId="08A2A446" w14:textId="77777777" w:rsidTr="000F7CB4">
        <w:trPr>
          <w:trHeight w:val="593"/>
        </w:trPr>
        <w:tc>
          <w:tcPr>
            <w:tcW w:w="5130" w:type="dxa"/>
            <w:tcBorders>
              <w:top w:val="single" w:sz="4" w:space="0" w:color="auto"/>
              <w:left w:val="single" w:sz="4" w:space="0" w:color="auto"/>
              <w:bottom w:val="single" w:sz="4" w:space="0" w:color="auto"/>
              <w:right w:val="single" w:sz="4" w:space="0" w:color="auto"/>
            </w:tcBorders>
            <w:vAlign w:val="center"/>
            <w:hideMark/>
          </w:tcPr>
          <w:p w14:paraId="77D7F979" w14:textId="77777777" w:rsidR="000F7CB4" w:rsidRPr="00883F43" w:rsidRDefault="000F7CB4">
            <w:pPr>
              <w:kinsoku w:val="0"/>
              <w:overflowPunct w:val="0"/>
              <w:spacing w:after="0"/>
              <w:textAlignment w:val="baseline"/>
              <w:rPr>
                <w:rFonts w:ascii="Arial" w:hAnsi="Arial" w:cs="Arial"/>
              </w:rPr>
            </w:pPr>
            <w:r w:rsidRPr="00883F43">
              <w:rPr>
                <w:rFonts w:ascii="Arial" w:hAnsi="Arial" w:cs="Arial"/>
              </w:rPr>
              <w:t>Industrial Energy Users-Ohio</w:t>
            </w:r>
          </w:p>
        </w:tc>
        <w:tc>
          <w:tcPr>
            <w:tcW w:w="4590" w:type="dxa"/>
            <w:tcBorders>
              <w:top w:val="single" w:sz="4" w:space="0" w:color="auto"/>
              <w:left w:val="single" w:sz="4" w:space="0" w:color="auto"/>
              <w:bottom w:val="single" w:sz="4" w:space="0" w:color="auto"/>
              <w:right w:val="single" w:sz="4" w:space="0" w:color="auto"/>
            </w:tcBorders>
            <w:vAlign w:val="center"/>
            <w:hideMark/>
          </w:tcPr>
          <w:p w14:paraId="338A8EB2" w14:textId="77777777" w:rsidR="000F7CB4" w:rsidRPr="00883F43" w:rsidRDefault="004108F6">
            <w:pPr>
              <w:autoSpaceDE w:val="0"/>
              <w:autoSpaceDN w:val="0"/>
              <w:adjustRightInd w:val="0"/>
              <w:spacing w:after="0"/>
              <w:rPr>
                <w:rFonts w:ascii="Arial" w:hAnsi="Arial" w:cs="Arial"/>
              </w:rPr>
            </w:pPr>
            <w:hyperlink r:id="rId23" w:history="1">
              <w:r w:rsidR="000F7CB4" w:rsidRPr="00883F43">
                <w:rPr>
                  <w:rStyle w:val="Hyperlink"/>
                  <w:rFonts w:ascii="Arial" w:hAnsi="Arial" w:cs="Arial"/>
                </w:rPr>
                <w:t>mpritchard@mcneeslaw.com</w:t>
              </w:r>
            </w:hyperlink>
          </w:p>
          <w:p w14:paraId="65910054" w14:textId="77777777" w:rsidR="000F7CB4" w:rsidRPr="00883F43" w:rsidRDefault="004108F6">
            <w:pPr>
              <w:kinsoku w:val="0"/>
              <w:overflowPunct w:val="0"/>
              <w:spacing w:after="0"/>
              <w:textAlignment w:val="baseline"/>
              <w:rPr>
                <w:rStyle w:val="Hyperlink"/>
                <w:rFonts w:ascii="Arial" w:hAnsi="Arial" w:cs="Arial"/>
              </w:rPr>
            </w:pPr>
            <w:hyperlink r:id="rId24" w:history="1">
              <w:r w:rsidR="000F7CB4" w:rsidRPr="00883F43">
                <w:rPr>
                  <w:rStyle w:val="Hyperlink"/>
                  <w:rFonts w:ascii="Arial" w:hAnsi="Arial" w:cs="Arial"/>
                </w:rPr>
                <w:t>rglover@mcneeslaw.com</w:t>
              </w:r>
            </w:hyperlink>
          </w:p>
          <w:p w14:paraId="06C6832A" w14:textId="77777777" w:rsidR="000F7CB4" w:rsidRPr="00883F43" w:rsidRDefault="000F7CB4">
            <w:pPr>
              <w:kinsoku w:val="0"/>
              <w:overflowPunct w:val="0"/>
              <w:spacing w:after="120"/>
              <w:textAlignment w:val="baseline"/>
              <w:rPr>
                <w:rFonts w:ascii="Arial" w:hAnsi="Arial" w:cs="Arial"/>
              </w:rPr>
            </w:pPr>
            <w:r w:rsidRPr="00883F43">
              <w:rPr>
                <w:rStyle w:val="Hyperlink"/>
                <w:rFonts w:ascii="Arial" w:hAnsi="Arial" w:cs="Arial"/>
              </w:rPr>
              <w:t>bmckenney@mcneeslaw.com</w:t>
            </w:r>
          </w:p>
        </w:tc>
      </w:tr>
      <w:tr w:rsidR="000F7CB4" w:rsidRPr="00883F43" w14:paraId="3313C572" w14:textId="77777777" w:rsidTr="000F7CB4">
        <w:trPr>
          <w:trHeight w:val="665"/>
        </w:trPr>
        <w:tc>
          <w:tcPr>
            <w:tcW w:w="5130" w:type="dxa"/>
            <w:tcBorders>
              <w:top w:val="single" w:sz="4" w:space="0" w:color="auto"/>
              <w:left w:val="single" w:sz="4" w:space="0" w:color="auto"/>
              <w:bottom w:val="single" w:sz="4" w:space="0" w:color="auto"/>
              <w:right w:val="single" w:sz="4" w:space="0" w:color="auto"/>
            </w:tcBorders>
            <w:vAlign w:val="center"/>
            <w:hideMark/>
          </w:tcPr>
          <w:p w14:paraId="175C84EA" w14:textId="77777777" w:rsidR="000F7CB4" w:rsidRPr="00883F43" w:rsidRDefault="000F7CB4">
            <w:pPr>
              <w:kinsoku w:val="0"/>
              <w:overflowPunct w:val="0"/>
              <w:spacing w:after="0"/>
              <w:textAlignment w:val="baseline"/>
              <w:rPr>
                <w:rFonts w:ascii="Arial" w:hAnsi="Arial" w:cs="Arial"/>
              </w:rPr>
            </w:pPr>
            <w:r w:rsidRPr="00883F43">
              <w:rPr>
                <w:rFonts w:ascii="Arial" w:hAnsi="Arial" w:cs="Arial"/>
              </w:rPr>
              <w:t>Ohio Consumers’ Counsel</w:t>
            </w:r>
          </w:p>
        </w:tc>
        <w:tc>
          <w:tcPr>
            <w:tcW w:w="4590" w:type="dxa"/>
            <w:tcBorders>
              <w:top w:val="single" w:sz="4" w:space="0" w:color="auto"/>
              <w:left w:val="single" w:sz="4" w:space="0" w:color="auto"/>
              <w:bottom w:val="single" w:sz="4" w:space="0" w:color="auto"/>
              <w:right w:val="single" w:sz="4" w:space="0" w:color="auto"/>
            </w:tcBorders>
            <w:vAlign w:val="center"/>
            <w:hideMark/>
          </w:tcPr>
          <w:p w14:paraId="5363B496" w14:textId="77777777" w:rsidR="000F7CB4" w:rsidRPr="00883F43" w:rsidRDefault="004108F6">
            <w:pPr>
              <w:kinsoku w:val="0"/>
              <w:overflowPunct w:val="0"/>
              <w:spacing w:after="120"/>
              <w:textAlignment w:val="baseline"/>
              <w:rPr>
                <w:rFonts w:ascii="Arial" w:hAnsi="Arial" w:cs="Arial"/>
                <w:color w:val="0000FF"/>
              </w:rPr>
            </w:pPr>
            <w:hyperlink r:id="rId25" w:history="1">
              <w:r w:rsidR="000F7CB4" w:rsidRPr="00883F43">
                <w:rPr>
                  <w:rStyle w:val="Hyperlink"/>
                  <w:rFonts w:ascii="Arial" w:hAnsi="Arial" w:cs="Arial"/>
                </w:rPr>
                <w:t>Angela.obrien@occ.ohio.gov</w:t>
              </w:r>
            </w:hyperlink>
            <w:r w:rsidR="000F7CB4" w:rsidRPr="00883F43">
              <w:rPr>
                <w:rFonts w:ascii="Arial" w:hAnsi="Arial" w:cs="Arial"/>
              </w:rPr>
              <w:t xml:space="preserve"> </w:t>
            </w:r>
            <w:r w:rsidR="000F7CB4" w:rsidRPr="00883F43">
              <w:rPr>
                <w:rFonts w:ascii="Arial" w:hAnsi="Arial" w:cs="Arial"/>
              </w:rPr>
              <w:br/>
            </w:r>
            <w:hyperlink r:id="rId26" w:history="1">
              <w:r w:rsidR="000F7CB4" w:rsidRPr="00883F43">
                <w:rPr>
                  <w:rStyle w:val="Hyperlink"/>
                  <w:rFonts w:ascii="Arial" w:hAnsi="Arial" w:cs="Arial"/>
                </w:rPr>
                <w:t>ambrosia.wilson@occ.ohio.gov</w:t>
              </w:r>
            </w:hyperlink>
            <w:r w:rsidR="000F7CB4" w:rsidRPr="00883F43">
              <w:rPr>
                <w:rFonts w:ascii="Arial" w:hAnsi="Arial" w:cs="Arial"/>
                <w:color w:val="0000FF"/>
              </w:rPr>
              <w:t xml:space="preserve"> </w:t>
            </w:r>
          </w:p>
        </w:tc>
      </w:tr>
      <w:tr w:rsidR="000F7CB4" w:rsidRPr="00883F43" w14:paraId="7EA9C452" w14:textId="77777777" w:rsidTr="000F7CB4">
        <w:trPr>
          <w:trHeight w:val="917"/>
        </w:trPr>
        <w:tc>
          <w:tcPr>
            <w:tcW w:w="5130" w:type="dxa"/>
            <w:tcBorders>
              <w:top w:val="single" w:sz="4" w:space="0" w:color="auto"/>
              <w:left w:val="single" w:sz="4" w:space="0" w:color="auto"/>
              <w:bottom w:val="single" w:sz="4" w:space="0" w:color="auto"/>
              <w:right w:val="single" w:sz="4" w:space="0" w:color="auto"/>
            </w:tcBorders>
            <w:vAlign w:val="center"/>
            <w:hideMark/>
          </w:tcPr>
          <w:p w14:paraId="188A6FEC" w14:textId="77777777" w:rsidR="000F7CB4" w:rsidRPr="00883F43" w:rsidRDefault="000F7CB4">
            <w:pPr>
              <w:kinsoku w:val="0"/>
              <w:overflowPunct w:val="0"/>
              <w:spacing w:after="0"/>
              <w:textAlignment w:val="baseline"/>
              <w:rPr>
                <w:rFonts w:ascii="Arial" w:hAnsi="Arial" w:cs="Arial"/>
              </w:rPr>
            </w:pPr>
            <w:r w:rsidRPr="00883F43">
              <w:rPr>
                <w:rFonts w:ascii="Arial" w:hAnsi="Arial" w:cs="Arial"/>
              </w:rPr>
              <w:t>Ohio Energy Group</w:t>
            </w:r>
          </w:p>
        </w:tc>
        <w:tc>
          <w:tcPr>
            <w:tcW w:w="4590" w:type="dxa"/>
            <w:tcBorders>
              <w:top w:val="single" w:sz="4" w:space="0" w:color="auto"/>
              <w:left w:val="single" w:sz="4" w:space="0" w:color="auto"/>
              <w:bottom w:val="single" w:sz="4" w:space="0" w:color="auto"/>
              <w:right w:val="single" w:sz="4" w:space="0" w:color="auto"/>
            </w:tcBorders>
            <w:vAlign w:val="center"/>
            <w:hideMark/>
          </w:tcPr>
          <w:p w14:paraId="11F46B7B" w14:textId="77777777" w:rsidR="000F7CB4" w:rsidRPr="00883F43" w:rsidRDefault="004108F6">
            <w:pPr>
              <w:autoSpaceDE w:val="0"/>
              <w:autoSpaceDN w:val="0"/>
              <w:adjustRightInd w:val="0"/>
              <w:spacing w:after="0"/>
              <w:rPr>
                <w:rFonts w:ascii="Arial" w:hAnsi="Arial" w:cs="Arial"/>
                <w:color w:val="0000FF"/>
              </w:rPr>
            </w:pPr>
            <w:hyperlink r:id="rId27" w:history="1">
              <w:r w:rsidR="000F7CB4" w:rsidRPr="00883F43">
                <w:rPr>
                  <w:rStyle w:val="Hyperlink"/>
                  <w:rFonts w:ascii="Arial" w:hAnsi="Arial" w:cs="Arial"/>
                </w:rPr>
                <w:t>mkurtz@BKLlawfirm.com</w:t>
              </w:r>
            </w:hyperlink>
            <w:r w:rsidR="000F7CB4" w:rsidRPr="00883F43">
              <w:rPr>
                <w:rFonts w:ascii="Arial" w:hAnsi="Arial" w:cs="Arial"/>
                <w:color w:val="0000FF"/>
              </w:rPr>
              <w:t xml:space="preserve"> </w:t>
            </w:r>
          </w:p>
          <w:p w14:paraId="68CC10BE" w14:textId="77777777" w:rsidR="000F7CB4" w:rsidRPr="00883F43" w:rsidRDefault="004108F6">
            <w:pPr>
              <w:autoSpaceDE w:val="0"/>
              <w:autoSpaceDN w:val="0"/>
              <w:adjustRightInd w:val="0"/>
              <w:spacing w:after="0"/>
              <w:rPr>
                <w:rFonts w:ascii="Arial" w:hAnsi="Arial" w:cs="Arial"/>
                <w:color w:val="0000FF"/>
              </w:rPr>
            </w:pPr>
            <w:hyperlink r:id="rId28" w:history="1">
              <w:r w:rsidR="000F7CB4" w:rsidRPr="00883F43">
                <w:rPr>
                  <w:rStyle w:val="Hyperlink"/>
                  <w:rFonts w:ascii="Arial" w:hAnsi="Arial" w:cs="Arial"/>
                </w:rPr>
                <w:t>kboehm@BKLlawfirm.com</w:t>
              </w:r>
            </w:hyperlink>
            <w:r w:rsidR="000F7CB4" w:rsidRPr="00883F43">
              <w:rPr>
                <w:rFonts w:ascii="Arial" w:hAnsi="Arial" w:cs="Arial"/>
                <w:color w:val="0000FF"/>
              </w:rPr>
              <w:t xml:space="preserve"> </w:t>
            </w:r>
          </w:p>
          <w:p w14:paraId="77AB38AA" w14:textId="77777777" w:rsidR="000F7CB4" w:rsidRPr="00883F43" w:rsidRDefault="004108F6">
            <w:pPr>
              <w:kinsoku w:val="0"/>
              <w:overflowPunct w:val="0"/>
              <w:spacing w:after="120"/>
              <w:textAlignment w:val="baseline"/>
              <w:rPr>
                <w:rFonts w:ascii="Arial" w:hAnsi="Arial" w:cs="Arial"/>
              </w:rPr>
            </w:pPr>
            <w:hyperlink r:id="rId29" w:history="1">
              <w:r w:rsidR="000F7CB4" w:rsidRPr="00883F43">
                <w:rPr>
                  <w:rStyle w:val="Hyperlink"/>
                  <w:rFonts w:ascii="Arial" w:hAnsi="Arial" w:cs="Arial"/>
                </w:rPr>
                <w:t>jkylercohn@BKLlawfirm.com</w:t>
              </w:r>
            </w:hyperlink>
            <w:r w:rsidR="000F7CB4" w:rsidRPr="00883F43">
              <w:rPr>
                <w:rFonts w:ascii="Arial" w:hAnsi="Arial" w:cs="Arial"/>
                <w:color w:val="0000FF"/>
              </w:rPr>
              <w:t xml:space="preserve"> </w:t>
            </w:r>
          </w:p>
        </w:tc>
      </w:tr>
      <w:tr w:rsidR="000F7CB4" w:rsidRPr="00883F43" w14:paraId="13319459" w14:textId="77777777" w:rsidTr="000F7CB4">
        <w:trPr>
          <w:trHeight w:val="710"/>
        </w:trPr>
        <w:tc>
          <w:tcPr>
            <w:tcW w:w="5130" w:type="dxa"/>
            <w:tcBorders>
              <w:top w:val="single" w:sz="4" w:space="0" w:color="auto"/>
              <w:left w:val="single" w:sz="4" w:space="0" w:color="auto"/>
              <w:bottom w:val="single" w:sz="4" w:space="0" w:color="auto"/>
              <w:right w:val="single" w:sz="4" w:space="0" w:color="auto"/>
            </w:tcBorders>
            <w:vAlign w:val="center"/>
            <w:hideMark/>
          </w:tcPr>
          <w:p w14:paraId="51DD73A7" w14:textId="77777777" w:rsidR="000F7CB4" w:rsidRPr="00883F43" w:rsidRDefault="000F7CB4">
            <w:pPr>
              <w:kinsoku w:val="0"/>
              <w:overflowPunct w:val="0"/>
              <w:spacing w:after="0"/>
              <w:textAlignment w:val="baseline"/>
              <w:rPr>
                <w:rFonts w:ascii="Arial" w:hAnsi="Arial" w:cs="Arial"/>
              </w:rPr>
            </w:pPr>
            <w:r w:rsidRPr="00883F43">
              <w:rPr>
                <w:rFonts w:ascii="Arial" w:hAnsi="Arial" w:cs="Arial"/>
              </w:rPr>
              <w:t>Retail Energy Supply Association</w:t>
            </w:r>
          </w:p>
        </w:tc>
        <w:tc>
          <w:tcPr>
            <w:tcW w:w="4590" w:type="dxa"/>
            <w:tcBorders>
              <w:top w:val="single" w:sz="4" w:space="0" w:color="auto"/>
              <w:left w:val="single" w:sz="4" w:space="0" w:color="auto"/>
              <w:bottom w:val="single" w:sz="4" w:space="0" w:color="auto"/>
              <w:right w:val="single" w:sz="4" w:space="0" w:color="auto"/>
            </w:tcBorders>
            <w:vAlign w:val="center"/>
            <w:hideMark/>
          </w:tcPr>
          <w:p w14:paraId="37AA9CDE" w14:textId="77777777" w:rsidR="000F7CB4" w:rsidRPr="00883F43" w:rsidRDefault="004108F6">
            <w:pPr>
              <w:kinsoku w:val="0"/>
              <w:overflowPunct w:val="0"/>
              <w:spacing w:after="0"/>
              <w:textAlignment w:val="baseline"/>
              <w:rPr>
                <w:rFonts w:ascii="Arial" w:hAnsi="Arial" w:cs="Arial"/>
              </w:rPr>
            </w:pPr>
            <w:hyperlink r:id="rId30" w:history="1">
              <w:r w:rsidR="000F7CB4" w:rsidRPr="00883F43">
                <w:rPr>
                  <w:rStyle w:val="Hyperlink"/>
                  <w:rFonts w:ascii="Arial" w:hAnsi="Arial" w:cs="Arial"/>
                </w:rPr>
                <w:t>mjsettineri@vorys.com</w:t>
              </w:r>
            </w:hyperlink>
          </w:p>
          <w:p w14:paraId="2750CA44" w14:textId="77777777" w:rsidR="000F7CB4" w:rsidRPr="00883F43" w:rsidRDefault="004108F6">
            <w:pPr>
              <w:kinsoku w:val="0"/>
              <w:overflowPunct w:val="0"/>
              <w:spacing w:after="0"/>
              <w:textAlignment w:val="baseline"/>
              <w:rPr>
                <w:rFonts w:ascii="Arial" w:hAnsi="Arial" w:cs="Arial"/>
              </w:rPr>
            </w:pPr>
            <w:hyperlink r:id="rId31" w:history="1">
              <w:r w:rsidR="000F7CB4" w:rsidRPr="00883F43">
                <w:rPr>
                  <w:rStyle w:val="Hyperlink"/>
                  <w:rFonts w:ascii="Arial" w:hAnsi="Arial" w:cs="Arial"/>
                </w:rPr>
                <w:t>glpetrucci@vorys.com</w:t>
              </w:r>
            </w:hyperlink>
          </w:p>
          <w:p w14:paraId="616C4F78" w14:textId="77777777" w:rsidR="000F7CB4" w:rsidRPr="00883F43" w:rsidRDefault="004108F6">
            <w:pPr>
              <w:kinsoku w:val="0"/>
              <w:overflowPunct w:val="0"/>
              <w:spacing w:after="120"/>
              <w:textAlignment w:val="baseline"/>
              <w:rPr>
                <w:rFonts w:ascii="Arial" w:hAnsi="Arial" w:cs="Arial"/>
                <w:color w:val="0563C1" w:themeColor="hyperlink"/>
                <w:u w:val="single"/>
              </w:rPr>
            </w:pPr>
            <w:hyperlink r:id="rId32" w:history="1">
              <w:r w:rsidR="000F7CB4" w:rsidRPr="00883F43">
                <w:rPr>
                  <w:rStyle w:val="Hyperlink"/>
                  <w:rFonts w:ascii="Arial" w:hAnsi="Arial" w:cs="Arial"/>
                </w:rPr>
                <w:t>fdarr2019@gmail.com</w:t>
              </w:r>
            </w:hyperlink>
          </w:p>
        </w:tc>
      </w:tr>
      <w:tr w:rsidR="000F7CB4" w:rsidRPr="00883F43" w14:paraId="1C9E6E03" w14:textId="77777777" w:rsidTr="000F7CB4">
        <w:trPr>
          <w:trHeight w:val="620"/>
        </w:trPr>
        <w:tc>
          <w:tcPr>
            <w:tcW w:w="5130" w:type="dxa"/>
            <w:tcBorders>
              <w:top w:val="single" w:sz="4" w:space="0" w:color="auto"/>
              <w:left w:val="single" w:sz="4" w:space="0" w:color="auto"/>
              <w:bottom w:val="single" w:sz="4" w:space="0" w:color="auto"/>
              <w:right w:val="single" w:sz="4" w:space="0" w:color="auto"/>
            </w:tcBorders>
            <w:vAlign w:val="center"/>
            <w:hideMark/>
          </w:tcPr>
          <w:p w14:paraId="7014E76E" w14:textId="77777777" w:rsidR="000F7CB4" w:rsidRPr="00883F43" w:rsidRDefault="000F7CB4">
            <w:pPr>
              <w:kinsoku w:val="0"/>
              <w:overflowPunct w:val="0"/>
              <w:spacing w:after="0"/>
              <w:textAlignment w:val="baseline"/>
              <w:rPr>
                <w:rFonts w:ascii="Arial" w:hAnsi="Arial" w:cs="Arial"/>
              </w:rPr>
            </w:pPr>
            <w:r w:rsidRPr="00883F43">
              <w:rPr>
                <w:rFonts w:ascii="Arial" w:hAnsi="Arial" w:cs="Arial"/>
              </w:rPr>
              <w:t xml:space="preserve">Southstar Energy d/b/a/ Ohio Natural Gas </w:t>
            </w:r>
          </w:p>
        </w:tc>
        <w:tc>
          <w:tcPr>
            <w:tcW w:w="4590" w:type="dxa"/>
            <w:tcBorders>
              <w:top w:val="single" w:sz="4" w:space="0" w:color="auto"/>
              <w:left w:val="single" w:sz="4" w:space="0" w:color="auto"/>
              <w:bottom w:val="single" w:sz="4" w:space="0" w:color="auto"/>
              <w:right w:val="single" w:sz="4" w:space="0" w:color="auto"/>
            </w:tcBorders>
            <w:vAlign w:val="center"/>
            <w:hideMark/>
          </w:tcPr>
          <w:p w14:paraId="6CFF63A4" w14:textId="77777777" w:rsidR="000F7CB4" w:rsidRPr="00883F43" w:rsidRDefault="004108F6">
            <w:pPr>
              <w:kinsoku w:val="0"/>
              <w:overflowPunct w:val="0"/>
              <w:spacing w:after="0"/>
              <w:textAlignment w:val="baseline"/>
              <w:rPr>
                <w:rFonts w:ascii="Arial" w:hAnsi="Arial" w:cs="Arial"/>
              </w:rPr>
            </w:pPr>
            <w:hyperlink r:id="rId33" w:history="1">
              <w:r w:rsidR="000F7CB4" w:rsidRPr="00883F43">
                <w:rPr>
                  <w:rStyle w:val="Hyperlink"/>
                  <w:rFonts w:ascii="Arial" w:hAnsi="Arial" w:cs="Arial"/>
                </w:rPr>
                <w:t>aemerson@porterwright.com</w:t>
              </w:r>
            </w:hyperlink>
            <w:r w:rsidR="000F7CB4" w:rsidRPr="00883F43">
              <w:rPr>
                <w:rFonts w:ascii="Arial" w:hAnsi="Arial" w:cs="Arial"/>
              </w:rPr>
              <w:t xml:space="preserve"> </w:t>
            </w:r>
          </w:p>
        </w:tc>
      </w:tr>
      <w:tr w:rsidR="000F7CB4" w:rsidRPr="00883F43" w14:paraId="00584D8A" w14:textId="77777777" w:rsidTr="000F7CB4">
        <w:trPr>
          <w:trHeight w:val="620"/>
        </w:trPr>
        <w:tc>
          <w:tcPr>
            <w:tcW w:w="5130" w:type="dxa"/>
            <w:tcBorders>
              <w:top w:val="single" w:sz="4" w:space="0" w:color="auto"/>
              <w:left w:val="single" w:sz="4" w:space="0" w:color="auto"/>
              <w:bottom w:val="single" w:sz="4" w:space="0" w:color="auto"/>
              <w:right w:val="single" w:sz="4" w:space="0" w:color="auto"/>
            </w:tcBorders>
            <w:vAlign w:val="center"/>
            <w:hideMark/>
          </w:tcPr>
          <w:p w14:paraId="04EF1E11" w14:textId="77777777" w:rsidR="000F7CB4" w:rsidRPr="00883F43" w:rsidRDefault="000F7CB4">
            <w:pPr>
              <w:kinsoku w:val="0"/>
              <w:overflowPunct w:val="0"/>
              <w:spacing w:after="0"/>
              <w:textAlignment w:val="baseline"/>
              <w:rPr>
                <w:rFonts w:ascii="Arial" w:hAnsi="Arial" w:cs="Arial"/>
                <w:highlight w:val="yellow"/>
              </w:rPr>
            </w:pPr>
            <w:r w:rsidRPr="00883F43">
              <w:rPr>
                <w:rFonts w:ascii="Arial" w:hAnsi="Arial" w:cs="Arial"/>
              </w:rPr>
              <w:t>Staff of the Public Utilities Commission of Ohio</w:t>
            </w:r>
          </w:p>
        </w:tc>
        <w:tc>
          <w:tcPr>
            <w:tcW w:w="4590" w:type="dxa"/>
            <w:tcBorders>
              <w:top w:val="single" w:sz="4" w:space="0" w:color="auto"/>
              <w:left w:val="single" w:sz="4" w:space="0" w:color="auto"/>
              <w:bottom w:val="single" w:sz="4" w:space="0" w:color="auto"/>
              <w:right w:val="single" w:sz="4" w:space="0" w:color="auto"/>
            </w:tcBorders>
            <w:vAlign w:val="center"/>
            <w:hideMark/>
          </w:tcPr>
          <w:p w14:paraId="646135C2" w14:textId="77777777" w:rsidR="000F7CB4" w:rsidRPr="00883F43" w:rsidRDefault="004108F6">
            <w:pPr>
              <w:kinsoku w:val="0"/>
              <w:overflowPunct w:val="0"/>
              <w:spacing w:after="0"/>
              <w:textAlignment w:val="baseline"/>
              <w:rPr>
                <w:rFonts w:ascii="Arial" w:hAnsi="Arial" w:cs="Arial"/>
                <w:color w:val="0563C1" w:themeColor="hyperlink"/>
                <w:u w:val="single"/>
              </w:rPr>
            </w:pPr>
            <w:hyperlink r:id="rId34" w:history="1">
              <w:r w:rsidR="000F7CB4" w:rsidRPr="00883F43">
                <w:rPr>
                  <w:rStyle w:val="Hyperlink"/>
                  <w:rFonts w:ascii="Arial" w:hAnsi="Arial" w:cs="Arial"/>
                </w:rPr>
                <w:t>john.jones@ohioattorneygeneral.gov</w:t>
              </w:r>
            </w:hyperlink>
            <w:r w:rsidR="000F7CB4" w:rsidRPr="00883F43">
              <w:rPr>
                <w:rFonts w:ascii="Arial" w:hAnsi="Arial" w:cs="Arial"/>
              </w:rPr>
              <w:t xml:space="preserve"> </w:t>
            </w:r>
            <w:r w:rsidR="000F7CB4" w:rsidRPr="00883F43">
              <w:rPr>
                <w:rStyle w:val="Hyperlink"/>
                <w:rFonts w:ascii="Arial" w:hAnsi="Arial" w:cs="Arial"/>
              </w:rPr>
              <w:t xml:space="preserve"> </w:t>
            </w:r>
          </w:p>
        </w:tc>
      </w:tr>
    </w:tbl>
    <w:p w14:paraId="56A3567D" w14:textId="77777777" w:rsidR="000F7CB4" w:rsidRDefault="000F7CB4" w:rsidP="000F7CB4">
      <w:pPr>
        <w:spacing w:after="0"/>
        <w:ind w:right="-43"/>
      </w:pPr>
    </w:p>
    <w:p w14:paraId="381278F0" w14:textId="77777777" w:rsidR="006D6981" w:rsidRDefault="006D6981"/>
    <w:sectPr w:rsidR="006D6981" w:rsidSect="005B68BA">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ABE0" w14:textId="77777777" w:rsidR="006C23DC" w:rsidRDefault="006C23DC" w:rsidP="00BE352B">
      <w:pPr>
        <w:spacing w:after="0" w:line="240" w:lineRule="auto"/>
      </w:pPr>
      <w:r>
        <w:separator/>
      </w:r>
    </w:p>
  </w:endnote>
  <w:endnote w:type="continuationSeparator" w:id="0">
    <w:p w14:paraId="2F85BA56" w14:textId="77777777" w:rsidR="006C23DC" w:rsidRDefault="006C23DC" w:rsidP="00BE352B">
      <w:pPr>
        <w:spacing w:after="0" w:line="240" w:lineRule="auto"/>
      </w:pPr>
      <w:r>
        <w:continuationSeparator/>
      </w:r>
    </w:p>
  </w:endnote>
  <w:endnote w:type="continuationNotice" w:id="1">
    <w:p w14:paraId="1219D4B9" w14:textId="77777777" w:rsidR="006C23DC" w:rsidRDefault="006C2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01637002"/>
      <w:docPartObj>
        <w:docPartGallery w:val="Page Numbers (Bottom of Page)"/>
        <w:docPartUnique/>
      </w:docPartObj>
    </w:sdtPr>
    <w:sdtEndPr>
      <w:rPr>
        <w:noProof/>
      </w:rPr>
    </w:sdtEndPr>
    <w:sdtContent>
      <w:p w14:paraId="779B1143" w14:textId="712FC27B" w:rsidR="003F503F" w:rsidRPr="00D11301" w:rsidRDefault="003F503F">
        <w:pPr>
          <w:pStyle w:val="Footer"/>
          <w:jc w:val="right"/>
          <w:rPr>
            <w:rFonts w:ascii="Arial" w:hAnsi="Arial" w:cs="Arial"/>
          </w:rPr>
        </w:pPr>
        <w:r w:rsidRPr="00D11301">
          <w:rPr>
            <w:rFonts w:ascii="Arial" w:hAnsi="Arial" w:cs="Arial"/>
          </w:rPr>
          <w:fldChar w:fldCharType="begin"/>
        </w:r>
        <w:r w:rsidRPr="00D11301">
          <w:rPr>
            <w:rFonts w:ascii="Arial" w:hAnsi="Arial" w:cs="Arial"/>
          </w:rPr>
          <w:instrText xml:space="preserve"> PAGE   \* MERGEFORMAT </w:instrText>
        </w:r>
        <w:r w:rsidRPr="00D11301">
          <w:rPr>
            <w:rFonts w:ascii="Arial" w:hAnsi="Arial" w:cs="Arial"/>
          </w:rPr>
          <w:fldChar w:fldCharType="separate"/>
        </w:r>
        <w:r w:rsidRPr="00D11301">
          <w:rPr>
            <w:rFonts w:ascii="Arial" w:hAnsi="Arial" w:cs="Arial"/>
            <w:noProof/>
          </w:rPr>
          <w:t>2</w:t>
        </w:r>
        <w:r w:rsidRPr="00D11301">
          <w:rPr>
            <w:rFonts w:ascii="Arial" w:hAnsi="Arial" w:cs="Arial"/>
            <w:noProof/>
          </w:rPr>
          <w:fldChar w:fldCharType="end"/>
        </w:r>
      </w:p>
    </w:sdtContent>
  </w:sdt>
  <w:p w14:paraId="77D6C022" w14:textId="77777777" w:rsidR="003F503F" w:rsidRPr="00D11301" w:rsidRDefault="003F503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510E" w14:textId="77777777" w:rsidR="006C23DC" w:rsidRDefault="006C23DC" w:rsidP="00BE352B">
      <w:pPr>
        <w:spacing w:after="0" w:line="240" w:lineRule="auto"/>
      </w:pPr>
      <w:r>
        <w:separator/>
      </w:r>
    </w:p>
  </w:footnote>
  <w:footnote w:type="continuationSeparator" w:id="0">
    <w:p w14:paraId="38960668" w14:textId="77777777" w:rsidR="006C23DC" w:rsidRDefault="006C23DC" w:rsidP="00BE352B">
      <w:pPr>
        <w:spacing w:after="0" w:line="240" w:lineRule="auto"/>
      </w:pPr>
      <w:r>
        <w:continuationSeparator/>
      </w:r>
    </w:p>
  </w:footnote>
  <w:footnote w:type="continuationNotice" w:id="1">
    <w:p w14:paraId="55A4C005" w14:textId="77777777" w:rsidR="006C23DC" w:rsidRDefault="006C23DC">
      <w:pPr>
        <w:spacing w:after="0" w:line="240" w:lineRule="auto"/>
      </w:pPr>
    </w:p>
  </w:footnote>
  <w:footnote w:id="2">
    <w:p w14:paraId="74BCB475" w14:textId="788C0E5F" w:rsidR="00ED7779" w:rsidRPr="006C3C9E" w:rsidRDefault="00ED7779"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OCC Initial Comments at 6</w:t>
      </w:r>
      <w:r w:rsidR="009E4551" w:rsidRPr="006C3C9E">
        <w:rPr>
          <w:rFonts w:ascii="Arial" w:hAnsi="Arial" w:cs="Arial"/>
        </w:rPr>
        <w:t xml:space="preserve">, </w:t>
      </w:r>
      <w:r w:rsidR="00074B6C" w:rsidRPr="006C3C9E">
        <w:rPr>
          <w:rFonts w:ascii="Arial" w:hAnsi="Arial" w:cs="Arial"/>
          <w:i/>
          <w:iCs/>
        </w:rPr>
        <w:t>citing</w:t>
      </w:r>
      <w:r w:rsidR="00074B6C" w:rsidRPr="006C3C9E">
        <w:rPr>
          <w:rFonts w:ascii="Arial" w:hAnsi="Arial" w:cs="Arial"/>
        </w:rPr>
        <w:t xml:space="preserve"> </w:t>
      </w:r>
      <w:r w:rsidR="009E4551" w:rsidRPr="006C3C9E">
        <w:rPr>
          <w:rFonts w:ascii="Arial" w:hAnsi="Arial" w:cs="Arial"/>
        </w:rPr>
        <w:t xml:space="preserve">Ohio Adm.Code </w:t>
      </w:r>
      <w:r w:rsidR="009E4551" w:rsidRPr="006C3C9E">
        <w:rPr>
          <w:rFonts w:ascii="Arial" w:eastAsia="Times New Roman" w:hAnsi="Arial" w:cs="Arial"/>
        </w:rPr>
        <w:t>4901:1-29-05(D)(7).</w:t>
      </w:r>
    </w:p>
  </w:footnote>
  <w:footnote w:id="3">
    <w:p w14:paraId="705882A3" w14:textId="161AE027" w:rsidR="007A073C" w:rsidRPr="006C3C9E" w:rsidRDefault="007A073C"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Id.</w:t>
      </w:r>
      <w:r w:rsidRPr="006C3C9E">
        <w:rPr>
          <w:rFonts w:ascii="Arial" w:hAnsi="Arial" w:cs="Arial"/>
        </w:rPr>
        <w:t xml:space="preserve"> at </w:t>
      </w:r>
      <w:r w:rsidR="00622D38" w:rsidRPr="006C3C9E">
        <w:rPr>
          <w:rFonts w:ascii="Arial" w:hAnsi="Arial" w:cs="Arial"/>
        </w:rPr>
        <w:t>6-7.</w:t>
      </w:r>
    </w:p>
  </w:footnote>
  <w:footnote w:id="4">
    <w:p w14:paraId="00DF11E2" w14:textId="13023B51" w:rsidR="007066D9" w:rsidRPr="006C3C9E" w:rsidRDefault="007066D9"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Id.</w:t>
      </w:r>
    </w:p>
  </w:footnote>
  <w:footnote w:id="5">
    <w:p w14:paraId="4E8D7BD4" w14:textId="77777777" w:rsidR="001E0925" w:rsidRPr="006C3C9E" w:rsidRDefault="001E0925"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R.C. </w:t>
      </w:r>
      <w:r w:rsidRPr="006C3C9E">
        <w:rPr>
          <w:rFonts w:ascii="Arial" w:eastAsia="Times New Roman" w:hAnsi="Arial" w:cs="Arial"/>
        </w:rPr>
        <w:t>4929.02(A)(7).</w:t>
      </w:r>
    </w:p>
  </w:footnote>
  <w:footnote w:id="6">
    <w:p w14:paraId="41129DBB" w14:textId="77777777" w:rsidR="00396E13" w:rsidRPr="006C3C9E" w:rsidRDefault="00396E13"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Id.</w:t>
      </w:r>
      <w:r w:rsidRPr="006C3C9E">
        <w:rPr>
          <w:rFonts w:ascii="Arial" w:hAnsi="Arial" w:cs="Arial"/>
        </w:rPr>
        <w:t xml:space="preserve"> at 10-13. </w:t>
      </w:r>
    </w:p>
  </w:footnote>
  <w:footnote w:id="7">
    <w:p w14:paraId="0239E208" w14:textId="77777777" w:rsidR="00396E13" w:rsidRPr="006C3C9E" w:rsidRDefault="00396E13"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 xml:space="preserve">In the Matter of the Review of the </w:t>
      </w:r>
      <w:bookmarkStart w:id="12" w:name="_Hlk85610867"/>
      <w:r w:rsidRPr="006C3C9E">
        <w:rPr>
          <w:rFonts w:ascii="Arial" w:hAnsi="Arial" w:cs="Arial"/>
          <w:i/>
          <w:iCs/>
        </w:rPr>
        <w:t xml:space="preserve">Ohio Edison Company, The Cleveland Electric Illuminating Company, and The Toledo Edison Company’s </w:t>
      </w:r>
      <w:bookmarkEnd w:id="12"/>
      <w:r w:rsidRPr="006C3C9E">
        <w:rPr>
          <w:rFonts w:ascii="Arial" w:hAnsi="Arial" w:cs="Arial"/>
          <w:i/>
          <w:iCs/>
        </w:rPr>
        <w:t>Compliance with R.C. 4928.17 and Ohio Adm. Code Chapter 4901:1-37</w:t>
      </w:r>
      <w:r w:rsidRPr="006C3C9E">
        <w:rPr>
          <w:rFonts w:ascii="Arial" w:hAnsi="Arial" w:cs="Arial"/>
        </w:rPr>
        <w:t>, Case No. 17- 974-EL-UNC (“</w:t>
      </w:r>
      <w:r w:rsidRPr="006C3C9E">
        <w:rPr>
          <w:rFonts w:ascii="Arial" w:hAnsi="Arial" w:cs="Arial"/>
          <w:i/>
          <w:iCs/>
        </w:rPr>
        <w:t>FirstEnergy Corporate Separation Proceeding</w:t>
      </w:r>
      <w:r w:rsidRPr="006C3C9E">
        <w:rPr>
          <w:rFonts w:ascii="Arial" w:hAnsi="Arial" w:cs="Arial"/>
        </w:rPr>
        <w:t>”).</w:t>
      </w:r>
    </w:p>
  </w:footnote>
  <w:footnote w:id="8">
    <w:p w14:paraId="01A1113F" w14:textId="4F85ABA2" w:rsidR="00396E13" w:rsidRPr="006C3C9E" w:rsidRDefault="00396E13"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FirstEnergy Corporate Separation Proceeding,</w:t>
      </w:r>
      <w:r w:rsidRPr="006C3C9E">
        <w:rPr>
          <w:rFonts w:ascii="Arial" w:hAnsi="Arial" w:cs="Arial"/>
        </w:rPr>
        <w:t xml:space="preserve"> Sage Management Consultants LLC Compliance Audit of FirstEnergy Operating Companies with the Corporate Separation Rules of the Public Utilities Commission of Ohio (May 14, 2018) (“Sage Audit Report”)</w:t>
      </w:r>
      <w:r w:rsidR="00885DB5" w:rsidRPr="006C3C9E">
        <w:rPr>
          <w:rFonts w:ascii="Arial" w:hAnsi="Arial" w:cs="Arial"/>
        </w:rPr>
        <w:t xml:space="preserve"> at 98-99</w:t>
      </w:r>
      <w:r w:rsidRPr="006C3C9E">
        <w:rPr>
          <w:rFonts w:ascii="Arial" w:hAnsi="Arial" w:cs="Arial"/>
        </w:rPr>
        <w:t>; Daymark Energy Advisors Compliance Audit of the FirstEnergy Operating Companies with the Corporate Separation Rules of the Public Utilities Commission of Ohio (Sept. 13, 2021) (“Daymark Audit Report”)</w:t>
      </w:r>
      <w:r w:rsidR="00081760" w:rsidRPr="006C3C9E">
        <w:rPr>
          <w:rFonts w:ascii="Arial" w:hAnsi="Arial" w:cs="Arial"/>
        </w:rPr>
        <w:t xml:space="preserve"> at </w:t>
      </w:r>
      <w:r w:rsidR="00AD291D" w:rsidRPr="006C3C9E">
        <w:rPr>
          <w:rFonts w:ascii="Arial" w:hAnsi="Arial" w:cs="Arial"/>
        </w:rPr>
        <w:t>76.</w:t>
      </w:r>
    </w:p>
  </w:footnote>
  <w:footnote w:id="9">
    <w:p w14:paraId="20B3CD48" w14:textId="22638CBB" w:rsidR="00F27BD9" w:rsidRPr="006C3C9E" w:rsidRDefault="00F27BD9"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0430E0" w:rsidRPr="006C3C9E">
        <w:rPr>
          <w:rFonts w:ascii="Arial" w:hAnsi="Arial" w:cs="Arial"/>
        </w:rPr>
        <w:t>Sage Audit Report at 98-99; Daymark Audit Report at 76.</w:t>
      </w:r>
    </w:p>
  </w:footnote>
  <w:footnote w:id="10">
    <w:p w14:paraId="7C91AFC2" w14:textId="7163A6EE" w:rsidR="00081760" w:rsidRPr="006C3C9E" w:rsidRDefault="00081760"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0430E0" w:rsidRPr="006C3C9E">
        <w:rPr>
          <w:rFonts w:ascii="Arial" w:hAnsi="Arial" w:cs="Arial"/>
        </w:rPr>
        <w:t xml:space="preserve">Sage Audit Report at </w:t>
      </w:r>
      <w:r w:rsidR="00AD291D" w:rsidRPr="006C3C9E">
        <w:rPr>
          <w:rFonts w:ascii="Arial" w:hAnsi="Arial" w:cs="Arial"/>
        </w:rPr>
        <w:t>98-99.</w:t>
      </w:r>
    </w:p>
  </w:footnote>
  <w:footnote w:id="11">
    <w:p w14:paraId="3C474C3E" w14:textId="05E88493" w:rsidR="00A713A3" w:rsidRPr="006C3C9E" w:rsidRDefault="00A713A3"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AD291D" w:rsidRPr="006C3C9E">
        <w:rPr>
          <w:rFonts w:ascii="Arial" w:hAnsi="Arial" w:cs="Arial"/>
          <w:i/>
          <w:iCs/>
        </w:rPr>
        <w:t>Id.</w:t>
      </w:r>
      <w:r w:rsidR="00D765B5" w:rsidRPr="006C3C9E">
        <w:rPr>
          <w:rFonts w:ascii="Arial" w:hAnsi="Arial" w:cs="Arial"/>
        </w:rPr>
        <w:t xml:space="preserve"> at 98.</w:t>
      </w:r>
    </w:p>
  </w:footnote>
  <w:footnote w:id="12">
    <w:p w14:paraId="5041E8FC" w14:textId="4725D442" w:rsidR="001511AF" w:rsidRPr="006C3C9E" w:rsidRDefault="001511AF"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7C1C23" w:rsidRPr="006C3C9E">
        <w:rPr>
          <w:rFonts w:ascii="Arial" w:hAnsi="Arial" w:cs="Arial"/>
          <w:i/>
          <w:iCs/>
        </w:rPr>
        <w:t>Id.</w:t>
      </w:r>
    </w:p>
  </w:footnote>
  <w:footnote w:id="13">
    <w:p w14:paraId="0ECF3052" w14:textId="2406B192" w:rsidR="00A66F96" w:rsidRPr="006C3C9E" w:rsidRDefault="00A66F96"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Daymark Audit Report at 76.</w:t>
      </w:r>
    </w:p>
  </w:footnote>
  <w:footnote w:id="14">
    <w:p w14:paraId="3594C54B" w14:textId="39715297" w:rsidR="00A66F96" w:rsidRPr="006C3C9E" w:rsidRDefault="00A66F96"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Id.</w:t>
      </w:r>
    </w:p>
  </w:footnote>
  <w:footnote w:id="15">
    <w:p w14:paraId="6DF01E1C" w14:textId="124C562B" w:rsidR="004C439D" w:rsidRPr="006C3C9E" w:rsidRDefault="004C439D"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176304" w:rsidRPr="006C3C9E">
        <w:rPr>
          <w:rFonts w:ascii="Arial" w:hAnsi="Arial" w:cs="Arial"/>
          <w:i/>
          <w:iCs/>
        </w:rPr>
        <w:t>Id.</w:t>
      </w:r>
    </w:p>
  </w:footnote>
  <w:footnote w:id="16">
    <w:p w14:paraId="42346B28" w14:textId="080CD42F" w:rsidR="0002186E" w:rsidRPr="006C3C9E" w:rsidRDefault="0002186E" w:rsidP="006C3C9E">
      <w:pPr>
        <w:pStyle w:val="FootnoteText"/>
        <w:jc w:val="both"/>
        <w:rPr>
          <w:rFonts w:ascii="Arial" w:hAnsi="Arial" w:cs="Arial"/>
        </w:rPr>
      </w:pPr>
      <w:r w:rsidRPr="006C3C9E">
        <w:rPr>
          <w:rStyle w:val="FootnoteReference"/>
          <w:rFonts w:ascii="Arial" w:hAnsi="Arial" w:cs="Arial"/>
        </w:rPr>
        <w:footnoteRef/>
      </w:r>
      <w:r w:rsidR="001D3B0D" w:rsidRPr="006C3C9E">
        <w:rPr>
          <w:rFonts w:ascii="Arial" w:hAnsi="Arial" w:cs="Arial"/>
        </w:rPr>
        <w:t xml:space="preserve"> </w:t>
      </w:r>
      <w:r w:rsidR="001D3B0D" w:rsidRPr="006C3C9E">
        <w:rPr>
          <w:rFonts w:ascii="Arial" w:hAnsi="Arial" w:cs="Arial"/>
          <w:i/>
          <w:iCs/>
        </w:rPr>
        <w:t>AEP Texas Com. &amp; Indus. Retail Ltd. P'ship v. Pub. Util. Comm'n of Texas</w:t>
      </w:r>
      <w:r w:rsidR="001D3B0D" w:rsidRPr="006C3C9E">
        <w:rPr>
          <w:rFonts w:ascii="Arial" w:hAnsi="Arial" w:cs="Arial"/>
        </w:rPr>
        <w:t>, 436 S.W.3d 890, 893 (Tex. App. 2014)</w:t>
      </w:r>
      <w:r w:rsidR="008237D1" w:rsidRPr="006C3C9E">
        <w:rPr>
          <w:rFonts w:ascii="Arial" w:hAnsi="Arial" w:cs="Arial"/>
        </w:rPr>
        <w:t>.</w:t>
      </w:r>
    </w:p>
  </w:footnote>
  <w:footnote w:id="17">
    <w:p w14:paraId="19411562" w14:textId="6AA8245A" w:rsidR="00875B12" w:rsidRPr="006C3C9E" w:rsidRDefault="00DE6D7D"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875B12" w:rsidRPr="006C3C9E">
        <w:rPr>
          <w:rFonts w:ascii="Arial" w:hAnsi="Arial" w:cs="Arial"/>
          <w:i/>
        </w:rPr>
        <w:t>Id.</w:t>
      </w:r>
      <w:r w:rsidR="00875B12" w:rsidRPr="006C3C9E">
        <w:rPr>
          <w:rFonts w:ascii="Arial" w:hAnsi="Arial" w:cs="Arial"/>
        </w:rPr>
        <w:t xml:space="preserve"> </w:t>
      </w:r>
    </w:p>
  </w:footnote>
  <w:footnote w:id="18">
    <w:p w14:paraId="33413A8F" w14:textId="5977F6C1" w:rsidR="00236387" w:rsidRPr="006C3C9E" w:rsidRDefault="0023638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875B12" w:rsidRPr="006C3C9E">
        <w:rPr>
          <w:rFonts w:ascii="Arial" w:hAnsi="Arial" w:cs="Arial"/>
          <w:i/>
        </w:rPr>
        <w:t>Id.</w:t>
      </w:r>
      <w:r w:rsidR="00875B12" w:rsidRPr="006C3C9E">
        <w:rPr>
          <w:rFonts w:ascii="Arial" w:hAnsi="Arial" w:cs="Arial"/>
        </w:rPr>
        <w:t xml:space="preserve"> </w:t>
      </w:r>
    </w:p>
  </w:footnote>
  <w:footnote w:id="19">
    <w:p w14:paraId="3E51FD77" w14:textId="77777777" w:rsidR="00DE6D7D" w:rsidRPr="006C3C9E" w:rsidRDefault="00DE6D7D"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See also</w:t>
      </w:r>
      <w:r w:rsidRPr="006C3C9E">
        <w:rPr>
          <w:rFonts w:ascii="Arial" w:hAnsi="Arial" w:cs="Arial"/>
        </w:rPr>
        <w:t xml:space="preserve"> </w:t>
      </w:r>
      <w:r w:rsidRPr="006C3C9E">
        <w:rPr>
          <w:rFonts w:ascii="Arial" w:hAnsi="Arial" w:cs="Arial"/>
          <w:i/>
          <w:iCs/>
        </w:rPr>
        <w:t>The Southern Company, AGL Resources Inc., and Northern Illinois Gas Company d/b/a Nicor Gas Company</w:t>
      </w:r>
      <w:r w:rsidRPr="006C3C9E">
        <w:rPr>
          <w:rFonts w:ascii="Arial" w:hAnsi="Arial" w:cs="Arial"/>
        </w:rPr>
        <w:t>, Case No. 15-0558 at 16 (Jun. 7, 2016) (authorizing a merger agreement and terminating Nicor Advanced Energy’s authority to use the word “Nicor” in the provision of competitive retail natural gas service).</w:t>
      </w:r>
    </w:p>
  </w:footnote>
  <w:footnote w:id="20">
    <w:p w14:paraId="2E3D6371" w14:textId="56C634BE" w:rsidR="00A426CA" w:rsidRPr="006C3C9E" w:rsidRDefault="00A426CA"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OCC Initial Comments at 13-14</w:t>
      </w:r>
      <w:r w:rsidR="00074B6C" w:rsidRPr="006C3C9E">
        <w:rPr>
          <w:rFonts w:ascii="Arial" w:hAnsi="Arial" w:cs="Arial"/>
        </w:rPr>
        <w:t xml:space="preserve">, </w:t>
      </w:r>
      <w:r w:rsidR="00074B6C" w:rsidRPr="006C3C9E">
        <w:rPr>
          <w:rFonts w:ascii="Arial" w:hAnsi="Arial" w:cs="Arial"/>
          <w:i/>
          <w:iCs/>
        </w:rPr>
        <w:t xml:space="preserve">citing </w:t>
      </w:r>
      <w:r w:rsidR="00074B6C" w:rsidRPr="006C3C9E">
        <w:rPr>
          <w:rFonts w:ascii="Arial" w:hAnsi="Arial" w:cs="Arial"/>
        </w:rPr>
        <w:t>Ohio Adm.Code 4901:1-21-05(C)(9).</w:t>
      </w:r>
    </w:p>
  </w:footnote>
  <w:footnote w:id="21">
    <w:p w14:paraId="6C4EBBFA" w14:textId="4F3CE1A9" w:rsidR="002D18F8" w:rsidRPr="006C3C9E" w:rsidRDefault="002D18F8"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E75261" w:rsidRPr="006C3C9E">
        <w:rPr>
          <w:rFonts w:ascii="Arial" w:hAnsi="Arial" w:cs="Arial"/>
        </w:rPr>
        <w:t>OCC Initial Comments at 13-14.</w:t>
      </w:r>
    </w:p>
  </w:footnote>
  <w:footnote w:id="22">
    <w:p w14:paraId="041120EB" w14:textId="6361076E" w:rsidR="00302E1A" w:rsidRPr="006C3C9E" w:rsidRDefault="00302E1A"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Ohio Adm.Code 4901:</w:t>
      </w:r>
      <w:r w:rsidR="0032321F" w:rsidRPr="006C3C9E">
        <w:rPr>
          <w:rFonts w:ascii="Arial" w:hAnsi="Arial" w:cs="Arial"/>
        </w:rPr>
        <w:t>1-42-01(F).</w:t>
      </w:r>
    </w:p>
  </w:footnote>
  <w:footnote w:id="23">
    <w:p w14:paraId="5BA0DEA4" w14:textId="1086B716" w:rsidR="00C14C2C" w:rsidRPr="006C3C9E" w:rsidRDefault="00C14C2C"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i/>
          <w:iCs/>
        </w:rPr>
        <w:t xml:space="preserve"> </w:t>
      </w:r>
      <w:r w:rsidR="000F701A" w:rsidRPr="006C3C9E">
        <w:rPr>
          <w:rFonts w:ascii="Arial" w:hAnsi="Arial" w:cs="Arial"/>
          <w:i/>
          <w:iCs/>
        </w:rPr>
        <w:t>See</w:t>
      </w:r>
      <w:r w:rsidR="000F701A" w:rsidRPr="006C3C9E">
        <w:rPr>
          <w:rFonts w:ascii="Arial" w:hAnsi="Arial" w:cs="Arial"/>
        </w:rPr>
        <w:t xml:space="preserve"> Ohio Adm.Code Chapter 4901:1-42.</w:t>
      </w:r>
    </w:p>
  </w:footnote>
  <w:footnote w:id="24">
    <w:p w14:paraId="4062E04F" w14:textId="68EEAB9A" w:rsidR="00F71347" w:rsidRPr="006C3C9E" w:rsidRDefault="00F7134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OCC Initial </w:t>
      </w:r>
      <w:r w:rsidR="00805A07" w:rsidRPr="006C3C9E">
        <w:rPr>
          <w:rFonts w:ascii="Arial" w:hAnsi="Arial" w:cs="Arial"/>
        </w:rPr>
        <w:t xml:space="preserve">Comments </w:t>
      </w:r>
      <w:r w:rsidRPr="006C3C9E">
        <w:rPr>
          <w:rFonts w:ascii="Arial" w:hAnsi="Arial" w:cs="Arial"/>
        </w:rPr>
        <w:t xml:space="preserve">at 14-15. </w:t>
      </w:r>
    </w:p>
  </w:footnote>
  <w:footnote w:id="25">
    <w:p w14:paraId="2C43FD95" w14:textId="6A421EDB" w:rsidR="00F71347" w:rsidRPr="006C3C9E" w:rsidRDefault="00F7134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Id.</w:t>
      </w:r>
      <w:r w:rsidRPr="006C3C9E">
        <w:rPr>
          <w:rFonts w:ascii="Arial" w:hAnsi="Arial" w:cs="Arial"/>
        </w:rPr>
        <w:t xml:space="preserve"> at 14, </w:t>
      </w:r>
      <w:r w:rsidRPr="006C3C9E">
        <w:rPr>
          <w:rFonts w:ascii="Arial" w:hAnsi="Arial" w:cs="Arial"/>
          <w:i/>
          <w:iCs/>
        </w:rPr>
        <w:t>citing In the Matter of Commission-Ordered Investigation of Marketing Practices in the Competitive Retail Electric Service Market</w:t>
      </w:r>
      <w:r w:rsidRPr="006C3C9E">
        <w:rPr>
          <w:rFonts w:ascii="Arial" w:hAnsi="Arial" w:cs="Arial"/>
        </w:rPr>
        <w:t>, Case No. 14-568-EL-COI, Fourth Entry on Rehearing (Sept. 27, 2017)</w:t>
      </w:r>
      <w:r w:rsidR="00315C41" w:rsidRPr="006C3C9E">
        <w:rPr>
          <w:rFonts w:ascii="Arial" w:hAnsi="Arial" w:cs="Arial"/>
        </w:rPr>
        <w:t xml:space="preserve"> </w:t>
      </w:r>
      <w:r w:rsidRPr="006C3C9E">
        <w:rPr>
          <w:rFonts w:ascii="Arial" w:hAnsi="Arial" w:cs="Arial"/>
        </w:rPr>
        <w:t>at ¶</w:t>
      </w:r>
      <w:r w:rsidR="00E75261" w:rsidRPr="006C3C9E">
        <w:rPr>
          <w:rFonts w:ascii="Arial" w:hAnsi="Arial" w:cs="Arial"/>
        </w:rPr>
        <w:t xml:space="preserve"> </w:t>
      </w:r>
      <w:r w:rsidRPr="006C3C9E">
        <w:rPr>
          <w:rFonts w:ascii="Arial" w:hAnsi="Arial" w:cs="Arial"/>
        </w:rPr>
        <w:t>12-13.</w:t>
      </w:r>
    </w:p>
  </w:footnote>
  <w:footnote w:id="26">
    <w:p w14:paraId="6FBE5612" w14:textId="3548170A" w:rsidR="00276C02" w:rsidRPr="006C3C9E" w:rsidRDefault="00276C02"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335665" w:rsidRPr="006C3C9E">
        <w:rPr>
          <w:rFonts w:ascii="Arial" w:hAnsi="Arial" w:cs="Arial"/>
        </w:rPr>
        <w:t xml:space="preserve">OCC Initial </w:t>
      </w:r>
      <w:r w:rsidR="00805A07" w:rsidRPr="006C3C9E">
        <w:rPr>
          <w:rFonts w:ascii="Arial" w:hAnsi="Arial" w:cs="Arial"/>
        </w:rPr>
        <w:t xml:space="preserve">Comments </w:t>
      </w:r>
      <w:r w:rsidR="00335665" w:rsidRPr="006C3C9E">
        <w:rPr>
          <w:rFonts w:ascii="Arial" w:hAnsi="Arial" w:cs="Arial"/>
        </w:rPr>
        <w:t>at 8-10.</w:t>
      </w:r>
    </w:p>
  </w:footnote>
  <w:footnote w:id="27">
    <w:p w14:paraId="391A02A3" w14:textId="64A5CAE3" w:rsidR="005971DA" w:rsidRPr="006C3C9E" w:rsidRDefault="005971DA"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See In the Matter of the Rules for Competitive Retail Electric Service in Chapters 4901:1-21 and 4901:1-24 of the Ohio Administrative Code</w:t>
      </w:r>
      <w:r w:rsidRPr="006C3C9E">
        <w:rPr>
          <w:rFonts w:ascii="Arial" w:hAnsi="Arial" w:cs="Arial"/>
        </w:rPr>
        <w:t xml:space="preserve">, Case No. 12-1924-EL-ORD, Finding and Order </w:t>
      </w:r>
      <w:r w:rsidR="00335665" w:rsidRPr="006C3C9E">
        <w:rPr>
          <w:rFonts w:ascii="Arial" w:hAnsi="Arial" w:cs="Arial"/>
        </w:rPr>
        <w:t>(</w:t>
      </w:r>
      <w:r w:rsidR="00F9268D" w:rsidRPr="006C3C9E">
        <w:rPr>
          <w:rFonts w:ascii="Arial" w:hAnsi="Arial" w:cs="Arial"/>
        </w:rPr>
        <w:t>Dec. 18, 2013</w:t>
      </w:r>
      <w:r w:rsidR="00335665" w:rsidRPr="006C3C9E">
        <w:rPr>
          <w:rFonts w:ascii="Arial" w:hAnsi="Arial" w:cs="Arial"/>
        </w:rPr>
        <w:t xml:space="preserve">) </w:t>
      </w:r>
      <w:r w:rsidRPr="006C3C9E">
        <w:rPr>
          <w:rFonts w:ascii="Arial" w:hAnsi="Arial" w:cs="Arial"/>
        </w:rPr>
        <w:t xml:space="preserve">at </w:t>
      </w:r>
      <w:r w:rsidR="00A2116B" w:rsidRPr="006C3C9E">
        <w:rPr>
          <w:rFonts w:ascii="Arial" w:hAnsi="Arial" w:cs="Arial"/>
        </w:rPr>
        <w:t>¶ 32.</w:t>
      </w:r>
    </w:p>
  </w:footnote>
  <w:footnote w:id="28">
    <w:p w14:paraId="73F8D666" w14:textId="40E05BF1" w:rsidR="00276C02" w:rsidRPr="006C3C9E" w:rsidRDefault="00276C02"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5F312A" w:rsidRPr="006C3C9E">
        <w:rPr>
          <w:rFonts w:ascii="Arial" w:hAnsi="Arial" w:cs="Arial"/>
          <w:i/>
          <w:iCs/>
        </w:rPr>
        <w:t>See</w:t>
      </w:r>
      <w:r w:rsidR="000637B8" w:rsidRPr="006C3C9E">
        <w:rPr>
          <w:rFonts w:ascii="Arial" w:hAnsi="Arial" w:cs="Arial"/>
          <w:i/>
          <w:iCs/>
        </w:rPr>
        <w:t xml:space="preserve"> In </w:t>
      </w:r>
      <w:r w:rsidR="00025CE4" w:rsidRPr="006C3C9E">
        <w:rPr>
          <w:rFonts w:ascii="Arial" w:hAnsi="Arial" w:cs="Arial"/>
          <w:i/>
          <w:iCs/>
        </w:rPr>
        <w:t>t</w:t>
      </w:r>
      <w:r w:rsidR="000637B8" w:rsidRPr="006C3C9E">
        <w:rPr>
          <w:rFonts w:ascii="Arial" w:hAnsi="Arial" w:cs="Arial"/>
          <w:i/>
          <w:iCs/>
        </w:rPr>
        <w:t>he Matter of the Proper Procedures and Process for the Commission's Operations and Proceedings During the Declared State Of Emergency and Related</w:t>
      </w:r>
      <w:r w:rsidR="00B94404" w:rsidRPr="006C3C9E">
        <w:rPr>
          <w:rFonts w:ascii="Arial" w:hAnsi="Arial" w:cs="Arial"/>
          <w:i/>
          <w:iCs/>
        </w:rPr>
        <w:t xml:space="preserve"> Matters</w:t>
      </w:r>
      <w:r w:rsidR="005F6313" w:rsidRPr="006C3C9E">
        <w:rPr>
          <w:rFonts w:ascii="Arial" w:hAnsi="Arial" w:cs="Arial"/>
        </w:rPr>
        <w:t xml:space="preserve">, Case </w:t>
      </w:r>
      <w:r w:rsidR="0057212F" w:rsidRPr="006C3C9E">
        <w:rPr>
          <w:rFonts w:ascii="Arial" w:hAnsi="Arial" w:cs="Arial"/>
        </w:rPr>
        <w:t>N</w:t>
      </w:r>
      <w:r w:rsidR="005F6313" w:rsidRPr="006C3C9E">
        <w:rPr>
          <w:rFonts w:ascii="Arial" w:hAnsi="Arial" w:cs="Arial"/>
        </w:rPr>
        <w:t>o</w:t>
      </w:r>
      <w:r w:rsidR="0054581C" w:rsidRPr="006C3C9E">
        <w:rPr>
          <w:rFonts w:ascii="Arial" w:hAnsi="Arial" w:cs="Arial"/>
        </w:rPr>
        <w:t>s</w:t>
      </w:r>
      <w:r w:rsidR="005F6313" w:rsidRPr="006C3C9E">
        <w:rPr>
          <w:rFonts w:ascii="Arial" w:hAnsi="Arial" w:cs="Arial"/>
        </w:rPr>
        <w:t xml:space="preserve">. </w:t>
      </w:r>
      <w:r w:rsidR="007857A5" w:rsidRPr="006C3C9E">
        <w:rPr>
          <w:rFonts w:ascii="Arial" w:hAnsi="Arial" w:cs="Arial"/>
        </w:rPr>
        <w:t>20-591-AU-UNC</w:t>
      </w:r>
      <w:r w:rsidR="0054581C" w:rsidRPr="006C3C9E">
        <w:rPr>
          <w:rFonts w:ascii="Arial" w:hAnsi="Arial" w:cs="Arial"/>
        </w:rPr>
        <w:t>,</w:t>
      </w:r>
      <w:r w:rsidR="007857A5" w:rsidRPr="006C3C9E">
        <w:rPr>
          <w:rFonts w:ascii="Arial" w:hAnsi="Arial" w:cs="Arial"/>
        </w:rPr>
        <w:t xml:space="preserve"> </w:t>
      </w:r>
      <w:r w:rsidR="007857A5" w:rsidRPr="006C3C9E">
        <w:rPr>
          <w:rFonts w:ascii="Arial" w:hAnsi="Arial" w:cs="Arial"/>
          <w:i/>
          <w:iCs/>
        </w:rPr>
        <w:t>et al</w:t>
      </w:r>
      <w:r w:rsidR="007857A5" w:rsidRPr="006C3C9E">
        <w:rPr>
          <w:rFonts w:ascii="Arial" w:hAnsi="Arial" w:cs="Arial"/>
        </w:rPr>
        <w:t>.</w:t>
      </w:r>
      <w:r w:rsidR="0054581C" w:rsidRPr="006C3C9E">
        <w:rPr>
          <w:rFonts w:ascii="Arial" w:hAnsi="Arial" w:cs="Arial"/>
        </w:rPr>
        <w:t>,</w:t>
      </w:r>
      <w:r w:rsidRPr="006C3C9E">
        <w:rPr>
          <w:rFonts w:ascii="Arial" w:hAnsi="Arial" w:cs="Arial"/>
        </w:rPr>
        <w:t xml:space="preserve"> </w:t>
      </w:r>
      <w:r w:rsidR="00733E8F" w:rsidRPr="006C3C9E">
        <w:rPr>
          <w:rFonts w:ascii="Arial" w:hAnsi="Arial" w:cs="Arial"/>
        </w:rPr>
        <w:t xml:space="preserve">IGS’s </w:t>
      </w:r>
      <w:r w:rsidRPr="006C3C9E">
        <w:rPr>
          <w:rFonts w:ascii="Arial" w:hAnsi="Arial" w:cs="Arial"/>
        </w:rPr>
        <w:t>Mem</w:t>
      </w:r>
      <w:r w:rsidR="00172ADA" w:rsidRPr="006C3C9E">
        <w:rPr>
          <w:rFonts w:ascii="Arial" w:hAnsi="Arial" w:cs="Arial"/>
        </w:rPr>
        <w:t>orandum</w:t>
      </w:r>
      <w:r w:rsidRPr="006C3C9E">
        <w:rPr>
          <w:rFonts w:ascii="Arial" w:hAnsi="Arial" w:cs="Arial"/>
        </w:rPr>
        <w:t xml:space="preserve"> Contra</w:t>
      </w:r>
      <w:r w:rsidR="00422E57" w:rsidRPr="006C3C9E">
        <w:rPr>
          <w:rFonts w:ascii="Arial" w:hAnsi="Arial" w:cs="Arial"/>
        </w:rPr>
        <w:t xml:space="preserve"> Application for Rehearing (July 27, 2020)</w:t>
      </w:r>
      <w:r w:rsidR="007857A5" w:rsidRPr="006C3C9E">
        <w:rPr>
          <w:rFonts w:ascii="Arial" w:hAnsi="Arial" w:cs="Arial"/>
          <w:i/>
          <w:iCs/>
        </w:rPr>
        <w:t>.</w:t>
      </w:r>
      <w:r w:rsidR="003B2E80" w:rsidRPr="006C3C9E">
        <w:rPr>
          <w:rFonts w:ascii="Arial" w:hAnsi="Arial" w:cs="Arial"/>
        </w:rPr>
        <w:t xml:space="preserve"> </w:t>
      </w:r>
      <w:r w:rsidR="003B2E80" w:rsidRPr="006C3C9E">
        <w:rPr>
          <w:rFonts w:ascii="Arial" w:hAnsi="Arial" w:cs="Arial"/>
          <w:i/>
          <w:iCs/>
        </w:rPr>
        <w:t>See also</w:t>
      </w:r>
      <w:r w:rsidR="000F78F7" w:rsidRPr="006C3C9E">
        <w:rPr>
          <w:rFonts w:ascii="Arial" w:hAnsi="Arial" w:cs="Arial"/>
        </w:rPr>
        <w:t xml:space="preserve"> </w:t>
      </w:r>
      <w:r w:rsidR="000F78F7" w:rsidRPr="006C3C9E">
        <w:rPr>
          <w:rFonts w:ascii="Arial" w:hAnsi="Arial" w:cs="Arial"/>
          <w:i/>
          <w:iCs/>
        </w:rPr>
        <w:t>In the Matter of the Application of Interstate Gas Supply, Inc., for a Waiver of Ohio Adm.Code 4901:</w:t>
      </w:r>
      <w:r w:rsidR="00025CE4" w:rsidRPr="006C3C9E">
        <w:rPr>
          <w:rFonts w:ascii="Arial" w:hAnsi="Arial" w:cs="Arial"/>
          <w:i/>
          <w:iCs/>
        </w:rPr>
        <w:t>1</w:t>
      </w:r>
      <w:r w:rsidR="000F78F7" w:rsidRPr="006C3C9E">
        <w:rPr>
          <w:rFonts w:ascii="Arial" w:hAnsi="Arial" w:cs="Arial"/>
          <w:i/>
          <w:iCs/>
        </w:rPr>
        <w:t>-10-29(D)(6)(b) and 4901:</w:t>
      </w:r>
      <w:r w:rsidR="00025CE4" w:rsidRPr="006C3C9E">
        <w:rPr>
          <w:rFonts w:ascii="Arial" w:hAnsi="Arial" w:cs="Arial"/>
          <w:i/>
          <w:iCs/>
        </w:rPr>
        <w:t>1</w:t>
      </w:r>
      <w:r w:rsidR="000F78F7" w:rsidRPr="006C3C9E">
        <w:rPr>
          <w:rFonts w:ascii="Arial" w:hAnsi="Arial" w:cs="Arial"/>
          <w:i/>
          <w:iCs/>
        </w:rPr>
        <w:t>-21-06(D)(l)(h)</w:t>
      </w:r>
      <w:r w:rsidR="000F27D5" w:rsidRPr="006C3C9E">
        <w:rPr>
          <w:rFonts w:ascii="Arial" w:hAnsi="Arial" w:cs="Arial"/>
        </w:rPr>
        <w:t xml:space="preserve">, Case No. </w:t>
      </w:r>
      <w:r w:rsidR="006C0E41" w:rsidRPr="006C3C9E">
        <w:rPr>
          <w:rFonts w:ascii="Arial" w:hAnsi="Arial" w:cs="Arial"/>
        </w:rPr>
        <w:t>14-1740</w:t>
      </w:r>
      <w:r w:rsidR="004C4A94" w:rsidRPr="006C3C9E">
        <w:rPr>
          <w:rFonts w:ascii="Arial" w:hAnsi="Arial" w:cs="Arial"/>
        </w:rPr>
        <w:t>-EL-WVR</w:t>
      </w:r>
      <w:r w:rsidR="006C0E41" w:rsidRPr="006C3C9E">
        <w:rPr>
          <w:rFonts w:ascii="Arial" w:hAnsi="Arial" w:cs="Arial"/>
        </w:rPr>
        <w:t xml:space="preserve">; </w:t>
      </w:r>
      <w:r w:rsidR="006C0E41" w:rsidRPr="006C3C9E">
        <w:rPr>
          <w:rFonts w:ascii="Arial" w:hAnsi="Arial" w:cs="Arial"/>
          <w:i/>
          <w:iCs/>
        </w:rPr>
        <w:t>et al.</w:t>
      </w:r>
      <w:r w:rsidR="004711E8" w:rsidRPr="006C3C9E">
        <w:rPr>
          <w:rFonts w:ascii="Arial" w:hAnsi="Arial" w:cs="Arial"/>
          <w:i/>
          <w:iCs/>
        </w:rPr>
        <w:t>,</w:t>
      </w:r>
      <w:r w:rsidR="006C0E41" w:rsidRPr="006C3C9E">
        <w:rPr>
          <w:rFonts w:ascii="Arial" w:hAnsi="Arial" w:cs="Arial"/>
          <w:i/>
          <w:iCs/>
        </w:rPr>
        <w:t xml:space="preserve"> </w:t>
      </w:r>
      <w:r w:rsidR="00567F75" w:rsidRPr="006C3C9E">
        <w:rPr>
          <w:rFonts w:ascii="Arial" w:hAnsi="Arial" w:cs="Arial"/>
        </w:rPr>
        <w:t xml:space="preserve"> </w:t>
      </w:r>
      <w:r w:rsidR="00566EB5" w:rsidRPr="006C3C9E">
        <w:rPr>
          <w:rFonts w:ascii="Arial" w:hAnsi="Arial" w:cs="Arial"/>
        </w:rPr>
        <w:t>Finding and Order</w:t>
      </w:r>
      <w:r w:rsidR="00DB5ECE" w:rsidRPr="006C3C9E">
        <w:rPr>
          <w:rFonts w:ascii="Arial" w:hAnsi="Arial" w:cs="Arial"/>
        </w:rPr>
        <w:t xml:space="preserve"> </w:t>
      </w:r>
      <w:r w:rsidR="004711E8" w:rsidRPr="006C3C9E">
        <w:rPr>
          <w:rFonts w:ascii="Arial" w:hAnsi="Arial" w:cs="Arial"/>
        </w:rPr>
        <w:t>(</w:t>
      </w:r>
      <w:r w:rsidR="009330F2" w:rsidRPr="006C3C9E">
        <w:rPr>
          <w:rFonts w:ascii="Arial" w:hAnsi="Arial" w:cs="Arial"/>
        </w:rPr>
        <w:t xml:space="preserve">Nov. </w:t>
      </w:r>
      <w:r w:rsidR="00A265F2" w:rsidRPr="006C3C9E">
        <w:rPr>
          <w:rFonts w:ascii="Arial" w:hAnsi="Arial" w:cs="Arial"/>
        </w:rPr>
        <w:t>20, 2014</w:t>
      </w:r>
      <w:r w:rsidR="004711E8" w:rsidRPr="006C3C9E">
        <w:rPr>
          <w:rFonts w:ascii="Arial" w:hAnsi="Arial" w:cs="Arial"/>
        </w:rPr>
        <w:t xml:space="preserve">). </w:t>
      </w:r>
    </w:p>
  </w:footnote>
  <w:footnote w:id="29">
    <w:p w14:paraId="17D23A76" w14:textId="4425C18F" w:rsidR="00F3585A" w:rsidRPr="006C3C9E" w:rsidRDefault="00F3585A"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OCC Initial</w:t>
      </w:r>
      <w:r w:rsidR="00D01168" w:rsidRPr="006C3C9E">
        <w:rPr>
          <w:rFonts w:ascii="Arial" w:hAnsi="Arial" w:cs="Arial"/>
        </w:rPr>
        <w:t xml:space="preserve"> Comments</w:t>
      </w:r>
      <w:r w:rsidRPr="006C3C9E">
        <w:rPr>
          <w:rFonts w:ascii="Arial" w:hAnsi="Arial" w:cs="Arial"/>
        </w:rPr>
        <w:t xml:space="preserve"> at 8</w:t>
      </w:r>
      <w:r w:rsidR="00B31001" w:rsidRPr="006C3C9E">
        <w:rPr>
          <w:rFonts w:ascii="Arial" w:hAnsi="Arial" w:cs="Arial"/>
        </w:rPr>
        <w:t xml:space="preserve">; </w:t>
      </w:r>
      <w:r w:rsidR="00B31001" w:rsidRPr="006C3C9E">
        <w:rPr>
          <w:rFonts w:ascii="Arial" w:hAnsi="Arial" w:cs="Arial"/>
          <w:i/>
          <w:iCs/>
        </w:rPr>
        <w:t xml:space="preserve">see </w:t>
      </w:r>
      <w:r w:rsidR="00882AFE" w:rsidRPr="006C3C9E">
        <w:rPr>
          <w:rFonts w:ascii="Arial" w:hAnsi="Arial" w:cs="Arial"/>
          <w:i/>
          <w:iCs/>
        </w:rPr>
        <w:t>In the Matter of the Proper Procedures and Process for the Commission’s Operations and Proceedings During the Declared State of Emergency and Related Matters</w:t>
      </w:r>
      <w:r w:rsidR="00882AFE" w:rsidRPr="006C3C9E">
        <w:rPr>
          <w:rFonts w:ascii="Arial" w:hAnsi="Arial" w:cs="Arial"/>
        </w:rPr>
        <w:t>, Case No. 20-591-AU-UNC, Entry (June 17, 2020).</w:t>
      </w:r>
    </w:p>
  </w:footnote>
  <w:footnote w:id="30">
    <w:p w14:paraId="78F33162" w14:textId="57D7A6EB" w:rsidR="0067582A" w:rsidRPr="006C3C9E" w:rsidRDefault="0067582A"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FB2B2C" w:rsidRPr="006C3C9E">
        <w:rPr>
          <w:rFonts w:ascii="Arial" w:hAnsi="Arial" w:cs="Arial"/>
          <w:i/>
          <w:iCs/>
        </w:rPr>
        <w:t xml:space="preserve">Id. </w:t>
      </w:r>
      <w:r w:rsidR="00FB2B2C" w:rsidRPr="006C3C9E">
        <w:rPr>
          <w:rFonts w:ascii="Arial" w:hAnsi="Arial" w:cs="Arial"/>
        </w:rPr>
        <w:t>at 15-17.</w:t>
      </w:r>
    </w:p>
  </w:footnote>
  <w:footnote w:id="31">
    <w:p w14:paraId="4FDC5A30" w14:textId="5FF672EA" w:rsidR="0059313C" w:rsidRPr="006C3C9E" w:rsidRDefault="0059313C"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F4427A" w:rsidRPr="006C3C9E">
        <w:rPr>
          <w:rFonts w:ascii="Arial" w:hAnsi="Arial" w:cs="Arial"/>
          <w:i/>
          <w:iCs/>
        </w:rPr>
        <w:t xml:space="preserve">See e.g. </w:t>
      </w:r>
      <w:r w:rsidR="00F4427A" w:rsidRPr="006C3C9E">
        <w:rPr>
          <w:rFonts w:ascii="Arial" w:hAnsi="Arial" w:cs="Arial"/>
          <w:i/>
          <w:iCs/>
          <w:color w:val="242424"/>
          <w:shd w:val="clear" w:color="auto" w:fill="FFFFFF"/>
        </w:rPr>
        <w:t>In the</w:t>
      </w:r>
      <w:r w:rsidR="00F4427A" w:rsidRPr="006C3C9E">
        <w:rPr>
          <w:rFonts w:ascii="Arial" w:hAnsi="Arial" w:cs="Arial"/>
          <w:i/>
          <w:iCs/>
          <w:color w:val="242424"/>
        </w:rPr>
        <w:t xml:space="preserve"> </w:t>
      </w:r>
      <w:r w:rsidR="00F4427A" w:rsidRPr="006C3C9E">
        <w:rPr>
          <w:rFonts w:ascii="Arial" w:hAnsi="Arial" w:cs="Arial"/>
          <w:i/>
          <w:iCs/>
          <w:color w:val="242424"/>
          <w:shd w:val="clear" w:color="auto" w:fill="FFFFFF"/>
        </w:rPr>
        <w:t>Matter of ENGIE Retail, LLC D/B/A Think Energy,</w:t>
      </w:r>
      <w:r w:rsidR="00F4427A" w:rsidRPr="006C3C9E">
        <w:rPr>
          <w:rFonts w:ascii="Arial" w:hAnsi="Arial" w:cs="Arial"/>
          <w:color w:val="242424"/>
          <w:shd w:val="clear" w:color="auto" w:fill="FFFFFF"/>
        </w:rPr>
        <w:t xml:space="preserve"> Case No. 18-938-GE-UNC, Joint Stipulation and</w:t>
      </w:r>
      <w:r w:rsidR="00F4427A" w:rsidRPr="006C3C9E">
        <w:rPr>
          <w:rFonts w:ascii="Arial" w:hAnsi="Arial" w:cs="Arial"/>
          <w:color w:val="242424"/>
        </w:rPr>
        <w:t xml:space="preserve"> </w:t>
      </w:r>
      <w:r w:rsidR="00F4427A" w:rsidRPr="006C3C9E">
        <w:rPr>
          <w:rFonts w:ascii="Arial" w:hAnsi="Arial" w:cs="Arial"/>
          <w:color w:val="242424"/>
          <w:shd w:val="clear" w:color="auto" w:fill="FFFFFF"/>
        </w:rPr>
        <w:t>Recommendation (June 5, 2018)</w:t>
      </w:r>
      <w:r w:rsidR="003D569A" w:rsidRPr="006C3C9E">
        <w:rPr>
          <w:rFonts w:ascii="Arial" w:hAnsi="Arial" w:cs="Arial"/>
          <w:color w:val="242424"/>
          <w:shd w:val="clear" w:color="auto" w:fill="FFFFFF"/>
        </w:rPr>
        <w:t xml:space="preserve"> at Ex. A</w:t>
      </w:r>
      <w:r w:rsidR="00F4427A" w:rsidRPr="006C3C9E">
        <w:rPr>
          <w:rFonts w:ascii="Arial" w:hAnsi="Arial" w:cs="Arial"/>
          <w:color w:val="242424"/>
          <w:shd w:val="clear" w:color="auto" w:fill="FFFFFF"/>
        </w:rPr>
        <w:t xml:space="preserve"> (</w:t>
      </w:r>
      <w:r w:rsidR="00720B37" w:rsidRPr="006C3C9E">
        <w:rPr>
          <w:rFonts w:ascii="Arial" w:hAnsi="Arial" w:cs="Arial"/>
          <w:color w:val="242424"/>
          <w:shd w:val="clear" w:color="auto" w:fill="FFFFFF"/>
        </w:rPr>
        <w:t xml:space="preserve">finding probable non-compliance </w:t>
      </w:r>
      <w:r w:rsidR="009145AE" w:rsidRPr="006C3C9E">
        <w:rPr>
          <w:rFonts w:ascii="Arial" w:hAnsi="Arial" w:cs="Arial"/>
          <w:color w:val="242424"/>
          <w:shd w:val="clear" w:color="auto" w:fill="FFFFFF"/>
        </w:rPr>
        <w:t xml:space="preserve">based upon actions of “representatives of Think Energy); </w:t>
      </w:r>
      <w:r w:rsidR="00266FF6" w:rsidRPr="006C3C9E">
        <w:rPr>
          <w:rFonts w:ascii="Arial" w:hAnsi="Arial" w:cs="Arial"/>
          <w:i/>
          <w:iCs/>
          <w:color w:val="242424"/>
          <w:shd w:val="clear" w:color="auto" w:fill="FFFFFF"/>
        </w:rPr>
        <w:t>In the Matter of Town Square Energy East,</w:t>
      </w:r>
      <w:r w:rsidR="00266FF6" w:rsidRPr="006C3C9E">
        <w:rPr>
          <w:rFonts w:ascii="Arial" w:hAnsi="Arial" w:cs="Arial"/>
          <w:color w:val="242424"/>
          <w:shd w:val="clear" w:color="auto" w:fill="FFFFFF"/>
        </w:rPr>
        <w:t xml:space="preserve"> Case No. 18-1785-EL-UNC, (February 27, 2019) Entry at 1-2 (</w:t>
      </w:r>
      <w:r w:rsidR="006C1255" w:rsidRPr="006C3C9E">
        <w:rPr>
          <w:rFonts w:ascii="Arial" w:hAnsi="Arial" w:cs="Arial"/>
          <w:color w:val="242424"/>
          <w:shd w:val="clear" w:color="auto" w:fill="FFFFFF"/>
        </w:rPr>
        <w:t>statin</w:t>
      </w:r>
      <w:r w:rsidR="000049F9" w:rsidRPr="006C3C9E">
        <w:rPr>
          <w:rFonts w:ascii="Arial" w:hAnsi="Arial" w:cs="Arial"/>
          <w:color w:val="242424"/>
          <w:shd w:val="clear" w:color="auto" w:fill="FFFFFF"/>
        </w:rPr>
        <w:t xml:space="preserve">g Staff’s instruction to retrain </w:t>
      </w:r>
      <w:r w:rsidR="00BE351E" w:rsidRPr="006C3C9E">
        <w:rPr>
          <w:rFonts w:ascii="Arial" w:hAnsi="Arial" w:cs="Arial"/>
          <w:color w:val="242424"/>
          <w:shd w:val="clear" w:color="auto" w:fill="FFFFFF"/>
        </w:rPr>
        <w:t>all of Town Square’s “marketing vendors”).</w:t>
      </w:r>
    </w:p>
  </w:footnote>
  <w:footnote w:id="32">
    <w:p w14:paraId="4B6C174F" w14:textId="64126252" w:rsidR="00E123D8" w:rsidRPr="006C3C9E" w:rsidRDefault="00E123D8"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C72063" w:rsidRPr="006C3C9E">
        <w:rPr>
          <w:rFonts w:ascii="Arial" w:hAnsi="Arial" w:cs="Arial"/>
          <w:i/>
          <w:iCs/>
        </w:rPr>
        <w:t>Id.</w:t>
      </w:r>
      <w:r w:rsidRPr="006C3C9E">
        <w:rPr>
          <w:rFonts w:ascii="Arial" w:hAnsi="Arial" w:cs="Arial"/>
        </w:rPr>
        <w:t xml:space="preserve"> at 18-20.</w:t>
      </w:r>
    </w:p>
  </w:footnote>
  <w:footnote w:id="33">
    <w:p w14:paraId="32660254" w14:textId="2C9AFCD3" w:rsidR="002862D0" w:rsidRPr="006C3C9E" w:rsidRDefault="002862D0"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A023C6" w:rsidRPr="006C3C9E">
        <w:rPr>
          <w:rFonts w:ascii="Arial" w:hAnsi="Arial" w:cs="Arial"/>
          <w:i/>
          <w:iCs/>
        </w:rPr>
        <w:t>Id.</w:t>
      </w:r>
      <w:r w:rsidRPr="006C3C9E">
        <w:rPr>
          <w:rFonts w:ascii="Arial" w:hAnsi="Arial" w:cs="Arial"/>
        </w:rPr>
        <w:t xml:space="preserve"> at 21</w:t>
      </w:r>
      <w:r w:rsidR="00614497" w:rsidRPr="006C3C9E">
        <w:rPr>
          <w:rFonts w:ascii="Arial" w:hAnsi="Arial" w:cs="Arial"/>
        </w:rPr>
        <w:t>-25</w:t>
      </w:r>
      <w:r w:rsidRPr="006C3C9E">
        <w:rPr>
          <w:rFonts w:ascii="Arial" w:hAnsi="Arial" w:cs="Arial"/>
        </w:rPr>
        <w:t>.</w:t>
      </w:r>
    </w:p>
  </w:footnote>
  <w:footnote w:id="34">
    <w:p w14:paraId="67AC9444" w14:textId="05A66661" w:rsidR="0059554C" w:rsidRPr="006C3C9E" w:rsidRDefault="0059554C"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3B463D" w:rsidRPr="006C3C9E">
        <w:rPr>
          <w:rFonts w:ascii="Arial" w:hAnsi="Arial" w:cs="Arial"/>
        </w:rPr>
        <w:t xml:space="preserve">The Dayton Power and Light Company </w:t>
      </w:r>
      <w:r w:rsidR="00F22FCB" w:rsidRPr="006C3C9E">
        <w:rPr>
          <w:rFonts w:ascii="Arial" w:hAnsi="Arial" w:cs="Arial"/>
        </w:rPr>
        <w:t xml:space="preserve">is the only EDU that does not have an element of its standard service offer that is updated quarterly. </w:t>
      </w:r>
      <w:r w:rsidRPr="006C3C9E">
        <w:rPr>
          <w:rFonts w:ascii="Arial" w:hAnsi="Arial" w:cs="Arial"/>
        </w:rPr>
        <w:t xml:space="preserve"> </w:t>
      </w:r>
    </w:p>
  </w:footnote>
  <w:footnote w:id="35">
    <w:p w14:paraId="0E741E72" w14:textId="16212AA5" w:rsidR="002862D0" w:rsidRPr="006C3C9E" w:rsidRDefault="002862D0"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3904A5" w:rsidRPr="006C3C9E">
        <w:rPr>
          <w:rFonts w:ascii="Arial" w:hAnsi="Arial" w:cs="Arial"/>
        </w:rPr>
        <w:t xml:space="preserve">Ohio Adm.Code </w:t>
      </w:r>
      <w:r w:rsidRPr="006C3C9E">
        <w:rPr>
          <w:rFonts w:ascii="Arial" w:hAnsi="Arial" w:cs="Arial"/>
        </w:rPr>
        <w:t xml:space="preserve">4901:1-21-12; </w:t>
      </w:r>
      <w:r w:rsidR="003904A5" w:rsidRPr="006C3C9E">
        <w:rPr>
          <w:rFonts w:ascii="Arial" w:hAnsi="Arial" w:cs="Arial"/>
        </w:rPr>
        <w:t xml:space="preserve">Ohio Adm.Code </w:t>
      </w:r>
      <w:r w:rsidRPr="006C3C9E">
        <w:rPr>
          <w:rFonts w:ascii="Arial" w:hAnsi="Arial" w:cs="Arial"/>
        </w:rPr>
        <w:t>4901:1-29-11(J).</w:t>
      </w:r>
    </w:p>
  </w:footnote>
  <w:footnote w:id="36">
    <w:p w14:paraId="4E998A91" w14:textId="7776DD44" w:rsidR="00E107A3" w:rsidRPr="006C3C9E" w:rsidRDefault="00E107A3" w:rsidP="006C3C9E">
      <w:pPr>
        <w:pStyle w:val="CommentText"/>
        <w:spacing w:after="0"/>
        <w:jc w:val="both"/>
        <w:rPr>
          <w:rFonts w:ascii="Arial" w:hAnsi="Arial" w:cs="Arial"/>
        </w:rPr>
      </w:pPr>
      <w:r w:rsidRPr="006C3C9E">
        <w:rPr>
          <w:rStyle w:val="FootnoteReference"/>
          <w:rFonts w:ascii="Arial" w:hAnsi="Arial" w:cs="Arial"/>
        </w:rPr>
        <w:footnoteRef/>
      </w:r>
      <w:r w:rsidRPr="006C3C9E">
        <w:rPr>
          <w:rFonts w:ascii="Arial" w:hAnsi="Arial" w:cs="Arial"/>
        </w:rPr>
        <w:t xml:space="preserve"> Ohio Adm.Code 4901:1-21-05(A)(3); </w:t>
      </w:r>
      <w:r w:rsidR="005C5BE5" w:rsidRPr="006C3C9E">
        <w:rPr>
          <w:rFonts w:ascii="Arial" w:hAnsi="Arial" w:cs="Arial"/>
        </w:rPr>
        <w:t xml:space="preserve">Ohio Adm.Code </w:t>
      </w:r>
      <w:r w:rsidR="0071667A" w:rsidRPr="006C3C9E">
        <w:rPr>
          <w:rFonts w:ascii="Arial" w:hAnsi="Arial" w:cs="Arial"/>
        </w:rPr>
        <w:t>4901:1-29-05(A)(2)</w:t>
      </w:r>
      <w:r w:rsidR="005C5BE5" w:rsidRPr="006C3C9E">
        <w:rPr>
          <w:rFonts w:ascii="Arial" w:hAnsi="Arial" w:cs="Arial"/>
        </w:rPr>
        <w:t>.</w:t>
      </w:r>
    </w:p>
  </w:footnote>
  <w:footnote w:id="37">
    <w:p w14:paraId="687DA317" w14:textId="6490BC8E" w:rsidR="005C5BE5" w:rsidRPr="006C3C9E" w:rsidRDefault="005C5BE5"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Ohio Adm.Code 4901:1-21-12(B)(7)(c); Ohio Adm.Code 4901:1-29-11(J)(2).</w:t>
      </w:r>
    </w:p>
  </w:footnote>
  <w:footnote w:id="38">
    <w:p w14:paraId="21C4B5A3" w14:textId="77777777" w:rsidR="00EE3E1E" w:rsidRPr="006C3C9E" w:rsidRDefault="00EE3E1E"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See </w:t>
      </w:r>
      <w:r w:rsidRPr="006C3C9E">
        <w:rPr>
          <w:rFonts w:ascii="Arial" w:hAnsi="Arial" w:cs="Arial"/>
          <w:i/>
        </w:rPr>
        <w:t>In the Matter of the Commission’s Review of its Rules for Competitive Retail Natural Gas Service Contained in Chapters 4901:1-27 through 4901:1-34 of the Ohio Administrative Code</w:t>
      </w:r>
      <w:r w:rsidRPr="006C3C9E">
        <w:rPr>
          <w:rFonts w:ascii="Arial" w:hAnsi="Arial" w:cs="Arial"/>
        </w:rPr>
        <w:t>, Case No. 12-925-GA-ORD, Entry on Rehearing (April 23, 2014) at ¶ 13.</w:t>
      </w:r>
    </w:p>
  </w:footnote>
  <w:footnote w:id="39">
    <w:p w14:paraId="4A2CBE6B" w14:textId="77777777" w:rsidR="00E90BE2" w:rsidRPr="006C3C9E" w:rsidRDefault="00E90BE2"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OCC Initial Comments at 22. </w:t>
      </w:r>
    </w:p>
  </w:footnote>
  <w:footnote w:id="40">
    <w:p w14:paraId="1D5759BA" w14:textId="5596E985" w:rsidR="009F283E" w:rsidRPr="006C3C9E" w:rsidRDefault="009F283E"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C475BB" w:rsidRPr="006C3C9E">
        <w:rPr>
          <w:rFonts w:ascii="Arial" w:hAnsi="Arial" w:cs="Arial"/>
        </w:rPr>
        <w:t xml:space="preserve">OCC Initial Comments at </w:t>
      </w:r>
      <w:r w:rsidR="00247068" w:rsidRPr="006C3C9E">
        <w:rPr>
          <w:rFonts w:ascii="Arial" w:hAnsi="Arial" w:cs="Arial"/>
        </w:rPr>
        <w:t>22-</w:t>
      </w:r>
      <w:r w:rsidR="00C475BB" w:rsidRPr="006C3C9E">
        <w:rPr>
          <w:rFonts w:ascii="Arial" w:hAnsi="Arial" w:cs="Arial"/>
        </w:rPr>
        <w:t xml:space="preserve">23. </w:t>
      </w:r>
    </w:p>
  </w:footnote>
  <w:footnote w:id="41">
    <w:p w14:paraId="761F3820" w14:textId="54FCD3DA" w:rsidR="00AE09F5" w:rsidRPr="006C3C9E" w:rsidRDefault="00AE09F5"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3904A5" w:rsidRPr="006C3C9E">
        <w:rPr>
          <w:rFonts w:ascii="Arial" w:hAnsi="Arial" w:cs="Arial"/>
        </w:rPr>
        <w:t>Ohio Adm.Code</w:t>
      </w:r>
      <w:r w:rsidRPr="006C3C9E">
        <w:rPr>
          <w:rFonts w:ascii="Arial" w:hAnsi="Arial" w:cs="Arial"/>
        </w:rPr>
        <w:t xml:space="preserve"> 4901:1-21-12; </w:t>
      </w:r>
      <w:r w:rsidR="003904A5" w:rsidRPr="006C3C9E">
        <w:rPr>
          <w:rFonts w:ascii="Arial" w:hAnsi="Arial" w:cs="Arial"/>
        </w:rPr>
        <w:t xml:space="preserve">Ohio Adm.Code </w:t>
      </w:r>
      <w:r w:rsidRPr="006C3C9E">
        <w:rPr>
          <w:rFonts w:ascii="Arial" w:hAnsi="Arial" w:cs="Arial"/>
        </w:rPr>
        <w:t>4901:1-29-11(J).</w:t>
      </w:r>
    </w:p>
  </w:footnote>
  <w:footnote w:id="42">
    <w:p w14:paraId="6174EC3D" w14:textId="167CFE83" w:rsidR="002C1B07" w:rsidRPr="006C3C9E" w:rsidRDefault="002C1B0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OCC Initial Comments at 25-26</w:t>
      </w:r>
      <w:r w:rsidR="004476F0" w:rsidRPr="006C3C9E">
        <w:rPr>
          <w:rFonts w:ascii="Arial" w:hAnsi="Arial" w:cs="Arial"/>
        </w:rPr>
        <w:t>.</w:t>
      </w:r>
    </w:p>
  </w:footnote>
  <w:footnote w:id="43">
    <w:p w14:paraId="30A03C06" w14:textId="013259EF" w:rsidR="00AB288A" w:rsidRPr="006C3C9E" w:rsidRDefault="00AB288A"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O.R.C. 4928.02(D); O.R.C. 4929.02(A)(3)</w:t>
      </w:r>
      <w:r w:rsidR="00CA1921" w:rsidRPr="006C3C9E">
        <w:rPr>
          <w:rFonts w:ascii="Arial" w:hAnsi="Arial" w:cs="Arial"/>
        </w:rPr>
        <w:t xml:space="preserve"> &amp;</w:t>
      </w:r>
      <w:r w:rsidRPr="006C3C9E">
        <w:rPr>
          <w:rFonts w:ascii="Arial" w:hAnsi="Arial" w:cs="Arial"/>
        </w:rPr>
        <w:t xml:space="preserve"> </w:t>
      </w:r>
      <w:r w:rsidR="00CA1921" w:rsidRPr="006C3C9E">
        <w:rPr>
          <w:rFonts w:ascii="Arial" w:hAnsi="Arial" w:cs="Arial"/>
        </w:rPr>
        <w:t>(</w:t>
      </w:r>
      <w:r w:rsidRPr="006C3C9E">
        <w:rPr>
          <w:rFonts w:ascii="Arial" w:hAnsi="Arial" w:cs="Arial"/>
        </w:rPr>
        <w:t>4)</w:t>
      </w:r>
      <w:r w:rsidR="00CA1921" w:rsidRPr="006C3C9E">
        <w:rPr>
          <w:rFonts w:ascii="Arial" w:hAnsi="Arial" w:cs="Arial"/>
        </w:rPr>
        <w:t>.</w:t>
      </w:r>
    </w:p>
  </w:footnote>
  <w:footnote w:id="44">
    <w:p w14:paraId="22347340" w14:textId="7BB65C5D" w:rsidR="002C1B07" w:rsidRPr="006C3C9E" w:rsidRDefault="002C1B0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 xml:space="preserve">See, e.g. </w:t>
      </w:r>
      <w:r w:rsidRPr="006C3C9E">
        <w:rPr>
          <w:rFonts w:ascii="Arial" w:hAnsi="Arial" w:cs="Arial"/>
        </w:rPr>
        <w:t>Case No. 17-1842-EL-ORD, Finding and Order, ¶</w:t>
      </w:r>
      <w:r w:rsidR="00D93F9E" w:rsidRPr="006C3C9E">
        <w:rPr>
          <w:rFonts w:ascii="Arial" w:hAnsi="Arial" w:cs="Arial"/>
        </w:rPr>
        <w:t xml:space="preserve"> </w:t>
      </w:r>
      <w:r w:rsidRPr="006C3C9E">
        <w:rPr>
          <w:rFonts w:ascii="Arial" w:hAnsi="Arial" w:cs="Arial"/>
        </w:rPr>
        <w:t>162 (Feb. 26, 2020); Case No. 19-1429-GA-ORD, Finding and Order, ¶</w:t>
      </w:r>
      <w:r w:rsidR="00D93F9E" w:rsidRPr="006C3C9E">
        <w:rPr>
          <w:rFonts w:ascii="Arial" w:hAnsi="Arial" w:cs="Arial"/>
        </w:rPr>
        <w:t xml:space="preserve"> </w:t>
      </w:r>
      <w:r w:rsidRPr="006C3C9E">
        <w:rPr>
          <w:rFonts w:ascii="Arial" w:hAnsi="Arial" w:cs="Arial"/>
        </w:rPr>
        <w:t>89 (Feb. 24, 2021); Case No. 18-0218-GA-GCR, Opinion and Order, ¶</w:t>
      </w:r>
      <w:r w:rsidR="00D93F9E" w:rsidRPr="006C3C9E">
        <w:rPr>
          <w:rFonts w:ascii="Arial" w:hAnsi="Arial" w:cs="Arial"/>
        </w:rPr>
        <w:t xml:space="preserve"> </w:t>
      </w:r>
      <w:r w:rsidRPr="006C3C9E">
        <w:rPr>
          <w:rFonts w:ascii="Arial" w:hAnsi="Arial" w:cs="Arial"/>
        </w:rPr>
        <w:t>52 (Dec. 18, 2019); Case No. 19-1593-GE-UNC, Finding and Order, ¶</w:t>
      </w:r>
      <w:r w:rsidR="00D93F9E" w:rsidRPr="006C3C9E">
        <w:rPr>
          <w:rFonts w:ascii="Arial" w:hAnsi="Arial" w:cs="Arial"/>
        </w:rPr>
        <w:t xml:space="preserve"> </w:t>
      </w:r>
      <w:r w:rsidRPr="006C3C9E">
        <w:rPr>
          <w:rFonts w:ascii="Arial" w:hAnsi="Arial" w:cs="Arial"/>
        </w:rPr>
        <w:t>35 (Dec. 18, 2019); Case No. 13-2225-GA-ORD, Finding and Order, ¶</w:t>
      </w:r>
      <w:r w:rsidR="00D93F9E" w:rsidRPr="006C3C9E">
        <w:rPr>
          <w:rFonts w:ascii="Arial" w:hAnsi="Arial" w:cs="Arial"/>
        </w:rPr>
        <w:t xml:space="preserve"> </w:t>
      </w:r>
      <w:r w:rsidRPr="006C3C9E">
        <w:rPr>
          <w:rFonts w:ascii="Arial" w:hAnsi="Arial" w:cs="Arial"/>
        </w:rPr>
        <w:t>44 (July 30, 2014); Case No. 12-925-GA-ORD, Entry on Rehearing, ¶</w:t>
      </w:r>
      <w:r w:rsidR="00D93F9E" w:rsidRPr="006C3C9E">
        <w:rPr>
          <w:rFonts w:ascii="Arial" w:hAnsi="Arial" w:cs="Arial"/>
        </w:rPr>
        <w:t xml:space="preserve"> </w:t>
      </w:r>
      <w:r w:rsidRPr="006C3C9E">
        <w:rPr>
          <w:rFonts w:ascii="Arial" w:hAnsi="Arial" w:cs="Arial"/>
        </w:rPr>
        <w:t>14 (Feb. 26, 2014).</w:t>
      </w:r>
    </w:p>
  </w:footnote>
  <w:footnote w:id="45">
    <w:p w14:paraId="51361EFD" w14:textId="1DE826F4" w:rsidR="002C1B07" w:rsidRPr="006C3C9E" w:rsidRDefault="002C1B0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Case No. 17-1842-EL-ORD, Entry on Rehearing (Jan. 27, 2021)</w:t>
      </w:r>
      <w:r w:rsidR="00D93F9E" w:rsidRPr="006C3C9E">
        <w:rPr>
          <w:rFonts w:ascii="Arial" w:hAnsi="Arial" w:cs="Arial"/>
        </w:rPr>
        <w:t xml:space="preserve"> at ¶ 35.</w:t>
      </w:r>
    </w:p>
  </w:footnote>
  <w:footnote w:id="46">
    <w:p w14:paraId="7D6868B9" w14:textId="03459BDE" w:rsidR="00657509" w:rsidRPr="006C3C9E" w:rsidRDefault="00657509"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3A3846" w:rsidRPr="006C3C9E">
        <w:rPr>
          <w:rFonts w:ascii="Arial" w:hAnsi="Arial" w:cs="Arial"/>
        </w:rPr>
        <w:t xml:space="preserve">OCC Initial Comments at 25-26.  </w:t>
      </w:r>
    </w:p>
  </w:footnote>
  <w:footnote w:id="47">
    <w:p w14:paraId="3D503B3B" w14:textId="70152CB0" w:rsidR="00195D74" w:rsidRPr="006C3C9E" w:rsidRDefault="00195D74"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4C5513" w:rsidRPr="006C3C9E">
        <w:rPr>
          <w:rFonts w:ascii="Arial" w:hAnsi="Arial" w:cs="Arial"/>
        </w:rPr>
        <w:t xml:space="preserve">Ohio Adm.Code </w:t>
      </w:r>
      <w:r w:rsidRPr="006C3C9E">
        <w:rPr>
          <w:rFonts w:ascii="Arial" w:hAnsi="Arial" w:cs="Arial"/>
        </w:rPr>
        <w:t>4901:1</w:t>
      </w:r>
      <w:r w:rsidR="006059D1" w:rsidRPr="006C3C9E">
        <w:rPr>
          <w:rFonts w:ascii="Arial" w:hAnsi="Arial" w:cs="Arial"/>
        </w:rPr>
        <w:t>-21-05</w:t>
      </w:r>
      <w:r w:rsidR="00945E26" w:rsidRPr="006C3C9E">
        <w:rPr>
          <w:rFonts w:ascii="Arial" w:hAnsi="Arial" w:cs="Arial"/>
        </w:rPr>
        <w:t>(C)</w:t>
      </w:r>
      <w:r w:rsidR="006059D1" w:rsidRPr="006C3C9E">
        <w:rPr>
          <w:rFonts w:ascii="Arial" w:hAnsi="Arial" w:cs="Arial"/>
        </w:rPr>
        <w:t>(</w:t>
      </w:r>
      <w:r w:rsidR="00736885" w:rsidRPr="006C3C9E">
        <w:rPr>
          <w:rFonts w:ascii="Arial" w:hAnsi="Arial" w:cs="Arial"/>
        </w:rPr>
        <w:t>5</w:t>
      </w:r>
      <w:r w:rsidR="006059D1" w:rsidRPr="006C3C9E">
        <w:rPr>
          <w:rFonts w:ascii="Arial" w:hAnsi="Arial" w:cs="Arial"/>
        </w:rPr>
        <w:t>)</w:t>
      </w:r>
      <w:r w:rsidR="00E2782C" w:rsidRPr="006C3C9E">
        <w:rPr>
          <w:rFonts w:ascii="Arial" w:hAnsi="Arial" w:cs="Arial"/>
        </w:rPr>
        <w:t>; Ohio Adm.Code</w:t>
      </w:r>
      <w:r w:rsidR="006059D1" w:rsidRPr="006C3C9E">
        <w:rPr>
          <w:rFonts w:ascii="Arial" w:hAnsi="Arial" w:cs="Arial"/>
        </w:rPr>
        <w:t xml:space="preserve"> </w:t>
      </w:r>
      <w:r w:rsidR="009F4B81" w:rsidRPr="006C3C9E">
        <w:rPr>
          <w:rFonts w:ascii="Arial" w:hAnsi="Arial" w:cs="Arial"/>
        </w:rPr>
        <w:t>4901</w:t>
      </w:r>
      <w:r w:rsidR="009E5129" w:rsidRPr="006C3C9E">
        <w:rPr>
          <w:rFonts w:ascii="Arial" w:hAnsi="Arial" w:cs="Arial"/>
        </w:rPr>
        <w:t>:1-29-05(D</w:t>
      </w:r>
      <w:r w:rsidR="00554E2E" w:rsidRPr="006C3C9E">
        <w:rPr>
          <w:rFonts w:ascii="Arial" w:hAnsi="Arial" w:cs="Arial"/>
        </w:rPr>
        <w:t>)(</w:t>
      </w:r>
      <w:r w:rsidR="00736885" w:rsidRPr="006C3C9E">
        <w:rPr>
          <w:rFonts w:ascii="Arial" w:hAnsi="Arial" w:cs="Arial"/>
        </w:rPr>
        <w:t>4</w:t>
      </w:r>
      <w:r w:rsidR="00554E2E" w:rsidRPr="006C3C9E">
        <w:rPr>
          <w:rFonts w:ascii="Arial" w:hAnsi="Arial" w:cs="Arial"/>
        </w:rPr>
        <w:t>).</w:t>
      </w:r>
    </w:p>
  </w:footnote>
  <w:footnote w:id="48">
    <w:p w14:paraId="7F056F42" w14:textId="1CE06937" w:rsidR="008B3F4D" w:rsidRPr="006C3C9E" w:rsidRDefault="008B3F4D"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4D3C6F" w:rsidRPr="006C3C9E">
        <w:rPr>
          <w:rFonts w:ascii="Arial" w:hAnsi="Arial" w:cs="Arial"/>
        </w:rPr>
        <w:t>OCC Initial Comments at 17-20.</w:t>
      </w:r>
    </w:p>
  </w:footnote>
  <w:footnote w:id="49">
    <w:p w14:paraId="6E657D47" w14:textId="3D8CD784" w:rsidR="000E1349" w:rsidRPr="006C3C9E" w:rsidRDefault="000E1349"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Ohio Adm.Code 4901:1-</w:t>
      </w:r>
      <w:r w:rsidR="00EA4BD0" w:rsidRPr="006C3C9E">
        <w:rPr>
          <w:rFonts w:ascii="Arial" w:hAnsi="Arial" w:cs="Arial"/>
        </w:rPr>
        <w:t>12-11(F)</w:t>
      </w:r>
      <w:r w:rsidR="00485ACE" w:rsidRPr="006C3C9E">
        <w:rPr>
          <w:rFonts w:ascii="Arial" w:hAnsi="Arial" w:cs="Arial"/>
        </w:rPr>
        <w:t xml:space="preserve">; Ohio Adm.Code </w:t>
      </w:r>
      <w:r w:rsidR="00110657" w:rsidRPr="006C3C9E">
        <w:rPr>
          <w:rFonts w:ascii="Arial" w:hAnsi="Arial" w:cs="Arial"/>
        </w:rPr>
        <w:t xml:space="preserve">4901:1-29-10(G). </w:t>
      </w:r>
    </w:p>
  </w:footnote>
  <w:footnote w:id="50">
    <w:p w14:paraId="5AC4C473" w14:textId="68FEF34D" w:rsidR="00B70423" w:rsidRPr="006C3C9E" w:rsidRDefault="00B70423"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Ohio Adm.Code 4901:1-12-11(F)(2) &amp; (3); Ohio Adm.Code 4901:1-29-10(G)(2) &amp; (3).</w:t>
      </w:r>
    </w:p>
  </w:footnote>
  <w:footnote w:id="51">
    <w:p w14:paraId="25EB566D" w14:textId="35E93B6E" w:rsidR="00485ACE" w:rsidRPr="006C3C9E" w:rsidRDefault="00485ACE"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EA68B8" w:rsidRPr="006C3C9E">
        <w:rPr>
          <w:rFonts w:ascii="Arial" w:hAnsi="Arial" w:cs="Arial"/>
          <w:i/>
          <w:iCs/>
        </w:rPr>
        <w:t>Id.</w:t>
      </w:r>
    </w:p>
  </w:footnote>
  <w:footnote w:id="52">
    <w:p w14:paraId="45072986" w14:textId="6C33CDF0" w:rsidR="009D18E7" w:rsidRPr="006C3C9E" w:rsidRDefault="009D18E7"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00010289" w:rsidRPr="006C3C9E">
        <w:rPr>
          <w:rFonts w:ascii="Arial" w:hAnsi="Arial" w:cs="Arial"/>
        </w:rPr>
        <w:t xml:space="preserve">See </w:t>
      </w:r>
      <w:r w:rsidR="00010289" w:rsidRPr="006C3C9E">
        <w:rPr>
          <w:rFonts w:ascii="Arial" w:hAnsi="Arial" w:cs="Arial"/>
          <w:i/>
        </w:rPr>
        <w:t>In the Matter of the Commission’s Review of its Rules for Competitive Retail Natural Gas Service Contained in Chapters 4901:1-27 through 4901:1-34 of the Ohio Administrative Code</w:t>
      </w:r>
      <w:r w:rsidR="00010289" w:rsidRPr="006C3C9E">
        <w:rPr>
          <w:rFonts w:ascii="Arial" w:hAnsi="Arial" w:cs="Arial"/>
        </w:rPr>
        <w:t>, Case No. 12-925-GA-ORD, Finding and Order (December 18, 2013) at ¶ 75; Entry on Rehearing (April 23, 2014) at ¶ 12.</w:t>
      </w:r>
    </w:p>
  </w:footnote>
  <w:footnote w:id="53">
    <w:p w14:paraId="5F86AC5B" w14:textId="112521FD" w:rsidR="004C7404" w:rsidRPr="006C3C9E" w:rsidRDefault="004C7404"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w:t>
      </w:r>
      <w:r w:rsidRPr="006C3C9E">
        <w:rPr>
          <w:rFonts w:ascii="Arial" w:hAnsi="Arial" w:cs="Arial"/>
          <w:i/>
          <w:iCs/>
        </w:rPr>
        <w:t>In the Matter of the Joint Application of Direct Energy Services, LLC, Direct Energy Business, LLC, Dominion Energy Solutions, Inc., Interstate Gas Supply, Inc., and Southstar Energy Services, LLC for a Waiver of a Provision of Rule 4901:1-29-06(E)(1) of the Ohio Administrative Code,</w:t>
      </w:r>
      <w:r w:rsidRPr="006C3C9E">
        <w:rPr>
          <w:rFonts w:ascii="Arial" w:hAnsi="Arial" w:cs="Arial"/>
        </w:rPr>
        <w:t xml:space="preserve"> Case No. 17-2358-GA-WVR, Entry (November 14, 2018).</w:t>
      </w:r>
    </w:p>
  </w:footnote>
  <w:footnote w:id="54">
    <w:p w14:paraId="05C8570B" w14:textId="04007972" w:rsidR="00144978" w:rsidRPr="006C3C9E" w:rsidRDefault="00144978" w:rsidP="006C3C9E">
      <w:pPr>
        <w:pStyle w:val="FootnoteText"/>
        <w:jc w:val="both"/>
        <w:rPr>
          <w:rFonts w:ascii="Arial" w:hAnsi="Arial" w:cs="Arial"/>
        </w:rPr>
      </w:pPr>
      <w:r w:rsidRPr="006C3C9E">
        <w:rPr>
          <w:rStyle w:val="FootnoteReference"/>
          <w:rFonts w:ascii="Arial" w:hAnsi="Arial" w:cs="Arial"/>
        </w:rPr>
        <w:footnoteRef/>
      </w:r>
      <w:r w:rsidRPr="006C3C9E">
        <w:rPr>
          <w:rFonts w:ascii="Arial" w:hAnsi="Arial" w:cs="Arial"/>
        </w:rPr>
        <w:t xml:space="preserve"> Ohio Adm.Code 4901:1-29-06(E)(1).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206E"/>
    <w:multiLevelType w:val="multilevel"/>
    <w:tmpl w:val="8B2A65B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AC65922"/>
    <w:multiLevelType w:val="multilevel"/>
    <w:tmpl w:val="B6985248"/>
    <w:lvl w:ilvl="0">
      <w:start w:val="1"/>
      <w:numFmt w:val="upperLetter"/>
      <w:pStyle w:val="Heading2"/>
      <w:lvlText w:val="%1."/>
      <w:lvlJc w:val="left"/>
      <w:pPr>
        <w:tabs>
          <w:tab w:val="num" w:pos="1080"/>
        </w:tabs>
        <w:ind w:left="1080" w:hanging="360"/>
      </w:pPr>
    </w:lvl>
    <w:lvl w:ilvl="1">
      <w:start w:val="1"/>
      <w:numFmt w:val="decimal"/>
      <w:pStyle w:val="Heading3"/>
      <w:lvlText w:val="%2."/>
      <w:lvlJc w:val="left"/>
      <w:pPr>
        <w:tabs>
          <w:tab w:val="num" w:pos="1800"/>
        </w:tabs>
        <w:ind w:left="1800" w:hanging="360"/>
      </w:pPr>
    </w:lvl>
    <w:lvl w:ilvl="2">
      <w:start w:val="1"/>
      <w:numFmt w:val="lowerLetter"/>
      <w:pStyle w:val="Heading4"/>
      <w:lvlText w:val="%3."/>
      <w:lvlJc w:val="left"/>
      <w:pPr>
        <w:tabs>
          <w:tab w:val="num" w:pos="2520"/>
        </w:tabs>
        <w:ind w:left="2520" w:hanging="360"/>
      </w:pPr>
    </w:lvl>
    <w:lvl w:ilvl="3">
      <w:start w:val="1"/>
      <w:numFmt w:val="decimal"/>
      <w:lvlText w:val="%4."/>
      <w:lvlJc w:val="left"/>
      <w:pPr>
        <w:ind w:left="3240" w:hanging="360"/>
      </w:pPr>
      <w:rPr>
        <w:rFonts w:hint="default"/>
      </w:r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 w15:restartNumberingAfterBreak="0">
    <w:nsid w:val="1B2E5FFE"/>
    <w:multiLevelType w:val="multilevel"/>
    <w:tmpl w:val="D9AA0FB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D110447"/>
    <w:multiLevelType w:val="multilevel"/>
    <w:tmpl w:val="D28A9F60"/>
    <w:lvl w:ilvl="0">
      <w:start w:val="1"/>
      <w:numFmt w:val="upperRoman"/>
      <w:lvlText w:val="%1."/>
      <w:lvlJc w:val="right"/>
      <w:pPr>
        <w:tabs>
          <w:tab w:val="num" w:pos="0"/>
        </w:tabs>
        <w:ind w:left="0" w:firstLine="0"/>
      </w:pPr>
      <w:rPr>
        <w:rFonts w:hint="default"/>
        <w:b/>
        <w:bCs/>
      </w:rPr>
    </w:lvl>
    <w:lvl w:ilvl="1">
      <w:start w:val="1"/>
      <w:numFmt w:val="upperRoman"/>
      <w:lvlText w:val="%2."/>
      <w:lvlJc w:val="right"/>
      <w:pPr>
        <w:tabs>
          <w:tab w:val="num" w:pos="720"/>
        </w:tabs>
        <w:ind w:left="720" w:hanging="360"/>
      </w:pPr>
      <w:rPr>
        <w:rFonts w:hint="default"/>
      </w:rPr>
    </w:lvl>
    <w:lvl w:ilvl="2">
      <w:start w:val="1"/>
      <w:numFmt w:val="upperRoman"/>
      <w:lvlText w:val="%3."/>
      <w:lvlJc w:val="right"/>
      <w:pPr>
        <w:tabs>
          <w:tab w:val="num" w:pos="1440"/>
        </w:tabs>
        <w:ind w:left="1440" w:hanging="360"/>
      </w:pPr>
      <w:rPr>
        <w:rFonts w:hint="default"/>
      </w:rPr>
    </w:lvl>
    <w:lvl w:ilvl="3">
      <w:start w:val="1"/>
      <w:numFmt w:val="upperRoman"/>
      <w:lvlText w:val="%4."/>
      <w:lvlJc w:val="right"/>
      <w:pPr>
        <w:tabs>
          <w:tab w:val="num" w:pos="2160"/>
        </w:tabs>
        <w:ind w:left="2160" w:hanging="360"/>
      </w:pPr>
      <w:rPr>
        <w:rFonts w:hint="default"/>
      </w:rPr>
    </w:lvl>
    <w:lvl w:ilvl="4">
      <w:start w:val="1"/>
      <w:numFmt w:val="upperRoman"/>
      <w:lvlText w:val="%5."/>
      <w:lvlJc w:val="right"/>
      <w:pPr>
        <w:tabs>
          <w:tab w:val="num" w:pos="2880"/>
        </w:tabs>
        <w:ind w:left="2880" w:hanging="360"/>
      </w:pPr>
      <w:rPr>
        <w:rFonts w:hint="default"/>
      </w:rPr>
    </w:lvl>
    <w:lvl w:ilvl="5">
      <w:start w:val="1"/>
      <w:numFmt w:val="upperRoman"/>
      <w:lvlText w:val="%6."/>
      <w:lvlJc w:val="right"/>
      <w:pPr>
        <w:tabs>
          <w:tab w:val="num" w:pos="3600"/>
        </w:tabs>
        <w:ind w:left="3600" w:hanging="360"/>
      </w:pPr>
      <w:rPr>
        <w:rFonts w:hint="default"/>
      </w:rPr>
    </w:lvl>
    <w:lvl w:ilvl="6">
      <w:start w:val="1"/>
      <w:numFmt w:val="upperRoman"/>
      <w:lvlText w:val="%7."/>
      <w:lvlJc w:val="right"/>
      <w:pPr>
        <w:tabs>
          <w:tab w:val="num" w:pos="4320"/>
        </w:tabs>
        <w:ind w:left="4320" w:hanging="360"/>
      </w:pPr>
      <w:rPr>
        <w:rFonts w:hint="default"/>
      </w:rPr>
    </w:lvl>
    <w:lvl w:ilvl="7">
      <w:start w:val="1"/>
      <w:numFmt w:val="upperRoman"/>
      <w:lvlText w:val="%8."/>
      <w:lvlJc w:val="right"/>
      <w:pPr>
        <w:tabs>
          <w:tab w:val="num" w:pos="5040"/>
        </w:tabs>
        <w:ind w:left="5040" w:hanging="360"/>
      </w:pPr>
      <w:rPr>
        <w:rFonts w:hint="default"/>
      </w:rPr>
    </w:lvl>
    <w:lvl w:ilvl="8">
      <w:start w:val="1"/>
      <w:numFmt w:val="upperRoman"/>
      <w:lvlText w:val="%9."/>
      <w:lvlJc w:val="right"/>
      <w:pPr>
        <w:tabs>
          <w:tab w:val="num" w:pos="5760"/>
        </w:tabs>
        <w:ind w:left="5760" w:hanging="360"/>
      </w:pPr>
      <w:rPr>
        <w:rFonts w:hint="default"/>
      </w:rPr>
    </w:lvl>
  </w:abstractNum>
  <w:abstractNum w:abstractNumId="4" w15:restartNumberingAfterBreak="0">
    <w:nsid w:val="406527D5"/>
    <w:multiLevelType w:val="multilevel"/>
    <w:tmpl w:val="9394379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1785092"/>
    <w:multiLevelType w:val="multilevel"/>
    <w:tmpl w:val="8E6EAE4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73928E9"/>
    <w:multiLevelType w:val="multilevel"/>
    <w:tmpl w:val="686E9C5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2985B4F"/>
    <w:multiLevelType w:val="multilevel"/>
    <w:tmpl w:val="406CFC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7DA0785"/>
    <w:multiLevelType w:val="hybridMultilevel"/>
    <w:tmpl w:val="320ECC24"/>
    <w:lvl w:ilvl="0" w:tplc="F77846B4">
      <w:start w:val="1"/>
      <w:numFmt w:val="upperRoman"/>
      <w:pStyle w:val="Heading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E92910"/>
    <w:multiLevelType w:val="multilevel"/>
    <w:tmpl w:val="FEE6898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D7D5E0F"/>
    <w:multiLevelType w:val="multilevel"/>
    <w:tmpl w:val="707E207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1FA74AE"/>
    <w:multiLevelType w:val="multilevel"/>
    <w:tmpl w:val="8B5244C6"/>
    <w:lvl w:ilvl="0">
      <w:start w:val="3"/>
      <w:numFmt w:val="upperRoman"/>
      <w:lvlText w:val="%1."/>
      <w:lvlJc w:val="right"/>
      <w:pPr>
        <w:tabs>
          <w:tab w:val="num" w:pos="0"/>
        </w:tabs>
        <w:ind w:left="0" w:hanging="360"/>
      </w:pPr>
      <w:rPr>
        <w:b/>
        <w:bCs/>
      </w:rPr>
    </w:lvl>
    <w:lvl w:ilvl="1" w:tentative="1">
      <w:start w:val="1"/>
      <w:numFmt w:val="upperRoman"/>
      <w:lvlText w:val="%2."/>
      <w:lvlJc w:val="right"/>
      <w:pPr>
        <w:tabs>
          <w:tab w:val="num" w:pos="720"/>
        </w:tabs>
        <w:ind w:left="720" w:hanging="360"/>
      </w:pPr>
    </w:lvl>
    <w:lvl w:ilvl="2" w:tentative="1">
      <w:start w:val="1"/>
      <w:numFmt w:val="upperRoman"/>
      <w:lvlText w:val="%3."/>
      <w:lvlJc w:val="right"/>
      <w:pPr>
        <w:tabs>
          <w:tab w:val="num" w:pos="1440"/>
        </w:tabs>
        <w:ind w:left="1440" w:hanging="360"/>
      </w:pPr>
    </w:lvl>
    <w:lvl w:ilvl="3" w:tentative="1">
      <w:start w:val="1"/>
      <w:numFmt w:val="upperRoman"/>
      <w:lvlText w:val="%4."/>
      <w:lvlJc w:val="right"/>
      <w:pPr>
        <w:tabs>
          <w:tab w:val="num" w:pos="2160"/>
        </w:tabs>
        <w:ind w:left="2160" w:hanging="360"/>
      </w:pPr>
    </w:lvl>
    <w:lvl w:ilvl="4" w:tentative="1">
      <w:start w:val="1"/>
      <w:numFmt w:val="upperRoman"/>
      <w:lvlText w:val="%5."/>
      <w:lvlJc w:val="right"/>
      <w:pPr>
        <w:tabs>
          <w:tab w:val="num" w:pos="2880"/>
        </w:tabs>
        <w:ind w:left="2880" w:hanging="360"/>
      </w:pPr>
    </w:lvl>
    <w:lvl w:ilvl="5" w:tentative="1">
      <w:start w:val="1"/>
      <w:numFmt w:val="upperRoman"/>
      <w:lvlText w:val="%6."/>
      <w:lvlJc w:val="right"/>
      <w:pPr>
        <w:tabs>
          <w:tab w:val="num" w:pos="3600"/>
        </w:tabs>
        <w:ind w:left="3600" w:hanging="360"/>
      </w:pPr>
    </w:lvl>
    <w:lvl w:ilvl="6" w:tentative="1">
      <w:start w:val="1"/>
      <w:numFmt w:val="upperRoman"/>
      <w:lvlText w:val="%7."/>
      <w:lvlJc w:val="right"/>
      <w:pPr>
        <w:tabs>
          <w:tab w:val="num" w:pos="4320"/>
        </w:tabs>
        <w:ind w:left="4320" w:hanging="360"/>
      </w:pPr>
    </w:lvl>
    <w:lvl w:ilvl="7" w:tentative="1">
      <w:start w:val="1"/>
      <w:numFmt w:val="upperRoman"/>
      <w:lvlText w:val="%8."/>
      <w:lvlJc w:val="right"/>
      <w:pPr>
        <w:tabs>
          <w:tab w:val="num" w:pos="5040"/>
        </w:tabs>
        <w:ind w:left="5040" w:hanging="360"/>
      </w:pPr>
    </w:lvl>
    <w:lvl w:ilvl="8" w:tentative="1">
      <w:start w:val="1"/>
      <w:numFmt w:val="upperRoman"/>
      <w:lvlText w:val="%9."/>
      <w:lvlJc w:val="right"/>
      <w:pPr>
        <w:tabs>
          <w:tab w:val="num" w:pos="5760"/>
        </w:tabs>
        <w:ind w:left="5760" w:hanging="360"/>
      </w:pPr>
    </w:lvl>
  </w:abstractNum>
  <w:abstractNum w:abstractNumId="12" w15:restartNumberingAfterBreak="0">
    <w:nsid w:val="62A81832"/>
    <w:multiLevelType w:val="multilevel"/>
    <w:tmpl w:val="54D4C3CC"/>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3" w15:restartNumberingAfterBreak="0">
    <w:nsid w:val="73B076C4"/>
    <w:multiLevelType w:val="multilevel"/>
    <w:tmpl w:val="18607F4C"/>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7"/>
  </w:num>
  <w:num w:numId="3">
    <w:abstractNumId w:val="1"/>
  </w:num>
  <w:num w:numId="4">
    <w:abstractNumId w:val="6"/>
  </w:num>
  <w:num w:numId="5">
    <w:abstractNumId w:val="10"/>
  </w:num>
  <w:num w:numId="6">
    <w:abstractNumId w:val="2"/>
  </w:num>
  <w:num w:numId="7">
    <w:abstractNumId w:val="5"/>
  </w:num>
  <w:num w:numId="8">
    <w:abstractNumId w:val="4"/>
  </w:num>
  <w:num w:numId="9">
    <w:abstractNumId w:val="9"/>
  </w:num>
  <w:num w:numId="10">
    <w:abstractNumId w:val="0"/>
  </w:num>
  <w:num w:numId="11">
    <w:abstractNumId w:val="13"/>
  </w:num>
  <w:num w:numId="12">
    <w:abstractNumId w:val="11"/>
  </w:num>
  <w:num w:numId="13">
    <w:abstractNumId w:val="12"/>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5F"/>
    <w:rsid w:val="0000150C"/>
    <w:rsid w:val="000023B2"/>
    <w:rsid w:val="00002709"/>
    <w:rsid w:val="00003F8E"/>
    <w:rsid w:val="00004124"/>
    <w:rsid w:val="000049F9"/>
    <w:rsid w:val="00005D92"/>
    <w:rsid w:val="000065E9"/>
    <w:rsid w:val="0000713B"/>
    <w:rsid w:val="00007CEC"/>
    <w:rsid w:val="00010289"/>
    <w:rsid w:val="00010852"/>
    <w:rsid w:val="00011CD8"/>
    <w:rsid w:val="00013AAE"/>
    <w:rsid w:val="000150F6"/>
    <w:rsid w:val="00015D89"/>
    <w:rsid w:val="00016AB3"/>
    <w:rsid w:val="00017421"/>
    <w:rsid w:val="00020D8F"/>
    <w:rsid w:val="0002186E"/>
    <w:rsid w:val="00021DD1"/>
    <w:rsid w:val="000229C5"/>
    <w:rsid w:val="0002390C"/>
    <w:rsid w:val="00025CE4"/>
    <w:rsid w:val="00026D94"/>
    <w:rsid w:val="00027168"/>
    <w:rsid w:val="00032581"/>
    <w:rsid w:val="0003459A"/>
    <w:rsid w:val="000345D2"/>
    <w:rsid w:val="00040003"/>
    <w:rsid w:val="0004005B"/>
    <w:rsid w:val="00040883"/>
    <w:rsid w:val="00040997"/>
    <w:rsid w:val="000430E0"/>
    <w:rsid w:val="000508AA"/>
    <w:rsid w:val="00051610"/>
    <w:rsid w:val="00051E53"/>
    <w:rsid w:val="000524D9"/>
    <w:rsid w:val="0005332B"/>
    <w:rsid w:val="00054CB6"/>
    <w:rsid w:val="0005544D"/>
    <w:rsid w:val="000557B3"/>
    <w:rsid w:val="00060A41"/>
    <w:rsid w:val="000610D3"/>
    <w:rsid w:val="000637B8"/>
    <w:rsid w:val="0006498D"/>
    <w:rsid w:val="00064FA5"/>
    <w:rsid w:val="000673B2"/>
    <w:rsid w:val="000675A8"/>
    <w:rsid w:val="00070099"/>
    <w:rsid w:val="0007015F"/>
    <w:rsid w:val="00074B6C"/>
    <w:rsid w:val="00076D26"/>
    <w:rsid w:val="0008048E"/>
    <w:rsid w:val="00081760"/>
    <w:rsid w:val="00081B2B"/>
    <w:rsid w:val="000861F8"/>
    <w:rsid w:val="000864FD"/>
    <w:rsid w:val="00087F51"/>
    <w:rsid w:val="0009125B"/>
    <w:rsid w:val="00091680"/>
    <w:rsid w:val="0009270D"/>
    <w:rsid w:val="00094E37"/>
    <w:rsid w:val="00094E6D"/>
    <w:rsid w:val="00095825"/>
    <w:rsid w:val="00095B6C"/>
    <w:rsid w:val="00096B87"/>
    <w:rsid w:val="00097881"/>
    <w:rsid w:val="000A1576"/>
    <w:rsid w:val="000A2A52"/>
    <w:rsid w:val="000A34E4"/>
    <w:rsid w:val="000A5814"/>
    <w:rsid w:val="000A6593"/>
    <w:rsid w:val="000B3AC7"/>
    <w:rsid w:val="000B4249"/>
    <w:rsid w:val="000B563B"/>
    <w:rsid w:val="000B5BFE"/>
    <w:rsid w:val="000B5ECC"/>
    <w:rsid w:val="000B7B8B"/>
    <w:rsid w:val="000C31D0"/>
    <w:rsid w:val="000C5CB2"/>
    <w:rsid w:val="000C6ACC"/>
    <w:rsid w:val="000D121D"/>
    <w:rsid w:val="000D456A"/>
    <w:rsid w:val="000D4D72"/>
    <w:rsid w:val="000D6BB7"/>
    <w:rsid w:val="000D75D3"/>
    <w:rsid w:val="000D7EC4"/>
    <w:rsid w:val="000E1349"/>
    <w:rsid w:val="000E2AEB"/>
    <w:rsid w:val="000E2F4E"/>
    <w:rsid w:val="000E3E6D"/>
    <w:rsid w:val="000E426A"/>
    <w:rsid w:val="000E60BC"/>
    <w:rsid w:val="000E71D4"/>
    <w:rsid w:val="000E71ED"/>
    <w:rsid w:val="000E766C"/>
    <w:rsid w:val="000F06CA"/>
    <w:rsid w:val="000F13B0"/>
    <w:rsid w:val="000F14CE"/>
    <w:rsid w:val="000F27D5"/>
    <w:rsid w:val="000F566B"/>
    <w:rsid w:val="000F701A"/>
    <w:rsid w:val="000F7120"/>
    <w:rsid w:val="000F78F7"/>
    <w:rsid w:val="000F7CB4"/>
    <w:rsid w:val="000F7E9E"/>
    <w:rsid w:val="00100AF9"/>
    <w:rsid w:val="00101D88"/>
    <w:rsid w:val="00102F6F"/>
    <w:rsid w:val="00103DEB"/>
    <w:rsid w:val="00106B83"/>
    <w:rsid w:val="001101E9"/>
    <w:rsid w:val="00110657"/>
    <w:rsid w:val="001133F8"/>
    <w:rsid w:val="00114477"/>
    <w:rsid w:val="001150DD"/>
    <w:rsid w:val="0011615E"/>
    <w:rsid w:val="00116B7B"/>
    <w:rsid w:val="00117A29"/>
    <w:rsid w:val="001206B7"/>
    <w:rsid w:val="001209E8"/>
    <w:rsid w:val="001250EC"/>
    <w:rsid w:val="00126445"/>
    <w:rsid w:val="00126BA3"/>
    <w:rsid w:val="00130234"/>
    <w:rsid w:val="00130B27"/>
    <w:rsid w:val="00132385"/>
    <w:rsid w:val="00133500"/>
    <w:rsid w:val="001341D6"/>
    <w:rsid w:val="00135EFC"/>
    <w:rsid w:val="00137F81"/>
    <w:rsid w:val="00141197"/>
    <w:rsid w:val="00144978"/>
    <w:rsid w:val="001450B4"/>
    <w:rsid w:val="0014640A"/>
    <w:rsid w:val="00147247"/>
    <w:rsid w:val="001511AF"/>
    <w:rsid w:val="00153F5A"/>
    <w:rsid w:val="00154776"/>
    <w:rsid w:val="00155FC6"/>
    <w:rsid w:val="00156486"/>
    <w:rsid w:val="001566C6"/>
    <w:rsid w:val="001573A2"/>
    <w:rsid w:val="00160C64"/>
    <w:rsid w:val="00163E96"/>
    <w:rsid w:val="00164A34"/>
    <w:rsid w:val="001666CB"/>
    <w:rsid w:val="001709A7"/>
    <w:rsid w:val="00172ADA"/>
    <w:rsid w:val="0017331B"/>
    <w:rsid w:val="00174DC8"/>
    <w:rsid w:val="00174F79"/>
    <w:rsid w:val="0017596D"/>
    <w:rsid w:val="00175E39"/>
    <w:rsid w:val="001762A7"/>
    <w:rsid w:val="00176304"/>
    <w:rsid w:val="00176FF8"/>
    <w:rsid w:val="00177207"/>
    <w:rsid w:val="00180D02"/>
    <w:rsid w:val="00181D29"/>
    <w:rsid w:val="00182062"/>
    <w:rsid w:val="00182533"/>
    <w:rsid w:val="00183185"/>
    <w:rsid w:val="00185DDD"/>
    <w:rsid w:val="00187E90"/>
    <w:rsid w:val="001903E8"/>
    <w:rsid w:val="00190B01"/>
    <w:rsid w:val="001932C3"/>
    <w:rsid w:val="00193C69"/>
    <w:rsid w:val="00193DA7"/>
    <w:rsid w:val="00195D74"/>
    <w:rsid w:val="001974F8"/>
    <w:rsid w:val="001A0271"/>
    <w:rsid w:val="001A0AB1"/>
    <w:rsid w:val="001A0D1D"/>
    <w:rsid w:val="001A0FDF"/>
    <w:rsid w:val="001A1F04"/>
    <w:rsid w:val="001A3B05"/>
    <w:rsid w:val="001A4371"/>
    <w:rsid w:val="001A4558"/>
    <w:rsid w:val="001A54A5"/>
    <w:rsid w:val="001A7653"/>
    <w:rsid w:val="001B09E4"/>
    <w:rsid w:val="001B3327"/>
    <w:rsid w:val="001B435D"/>
    <w:rsid w:val="001B4696"/>
    <w:rsid w:val="001B6E6E"/>
    <w:rsid w:val="001C2FD9"/>
    <w:rsid w:val="001C51C4"/>
    <w:rsid w:val="001C66B6"/>
    <w:rsid w:val="001D16D3"/>
    <w:rsid w:val="001D18AB"/>
    <w:rsid w:val="001D2FE1"/>
    <w:rsid w:val="001D33B9"/>
    <w:rsid w:val="001D367A"/>
    <w:rsid w:val="001D3B0D"/>
    <w:rsid w:val="001D5C53"/>
    <w:rsid w:val="001D5F67"/>
    <w:rsid w:val="001D7CDB"/>
    <w:rsid w:val="001E0726"/>
    <w:rsid w:val="001E0925"/>
    <w:rsid w:val="001E246F"/>
    <w:rsid w:val="001E3537"/>
    <w:rsid w:val="001E6473"/>
    <w:rsid w:val="001E655B"/>
    <w:rsid w:val="001F0B33"/>
    <w:rsid w:val="001F319A"/>
    <w:rsid w:val="001F3A8B"/>
    <w:rsid w:val="001F3CDB"/>
    <w:rsid w:val="001F42D6"/>
    <w:rsid w:val="001F5126"/>
    <w:rsid w:val="001F5C88"/>
    <w:rsid w:val="001F6DBD"/>
    <w:rsid w:val="001F7AC4"/>
    <w:rsid w:val="002001D3"/>
    <w:rsid w:val="0020285D"/>
    <w:rsid w:val="00202ADE"/>
    <w:rsid w:val="00202D06"/>
    <w:rsid w:val="002035CB"/>
    <w:rsid w:val="002046A1"/>
    <w:rsid w:val="00204978"/>
    <w:rsid w:val="0020691E"/>
    <w:rsid w:val="00206AE4"/>
    <w:rsid w:val="00210C20"/>
    <w:rsid w:val="002110A8"/>
    <w:rsid w:val="0021141E"/>
    <w:rsid w:val="0021148D"/>
    <w:rsid w:val="00212412"/>
    <w:rsid w:val="00213FA4"/>
    <w:rsid w:val="00214BCD"/>
    <w:rsid w:val="0021563F"/>
    <w:rsid w:val="00220E6A"/>
    <w:rsid w:val="00221EC0"/>
    <w:rsid w:val="00223458"/>
    <w:rsid w:val="00223667"/>
    <w:rsid w:val="002237D2"/>
    <w:rsid w:val="00223EAA"/>
    <w:rsid w:val="00225013"/>
    <w:rsid w:val="00225220"/>
    <w:rsid w:val="00227483"/>
    <w:rsid w:val="00227E25"/>
    <w:rsid w:val="0023152E"/>
    <w:rsid w:val="00232159"/>
    <w:rsid w:val="0023220F"/>
    <w:rsid w:val="00233181"/>
    <w:rsid w:val="0023532B"/>
    <w:rsid w:val="00235D93"/>
    <w:rsid w:val="00236387"/>
    <w:rsid w:val="00240164"/>
    <w:rsid w:val="002406FD"/>
    <w:rsid w:val="00240A9B"/>
    <w:rsid w:val="0024163A"/>
    <w:rsid w:val="002419F3"/>
    <w:rsid w:val="002420FF"/>
    <w:rsid w:val="002438F5"/>
    <w:rsid w:val="00243DCB"/>
    <w:rsid w:val="00244A6C"/>
    <w:rsid w:val="00246342"/>
    <w:rsid w:val="00247068"/>
    <w:rsid w:val="0024773E"/>
    <w:rsid w:val="00247C81"/>
    <w:rsid w:val="00247FC8"/>
    <w:rsid w:val="00251431"/>
    <w:rsid w:val="00253C12"/>
    <w:rsid w:val="00253E5F"/>
    <w:rsid w:val="00255E47"/>
    <w:rsid w:val="002563D7"/>
    <w:rsid w:val="002600D3"/>
    <w:rsid w:val="00261893"/>
    <w:rsid w:val="00262CEF"/>
    <w:rsid w:val="0026420D"/>
    <w:rsid w:val="0026421B"/>
    <w:rsid w:val="00265017"/>
    <w:rsid w:val="0026523A"/>
    <w:rsid w:val="002654A7"/>
    <w:rsid w:val="002665DE"/>
    <w:rsid w:val="002666A2"/>
    <w:rsid w:val="00266FF6"/>
    <w:rsid w:val="00267737"/>
    <w:rsid w:val="00267AB6"/>
    <w:rsid w:val="00267D09"/>
    <w:rsid w:val="00270A80"/>
    <w:rsid w:val="00270B56"/>
    <w:rsid w:val="00271DA0"/>
    <w:rsid w:val="002724EB"/>
    <w:rsid w:val="00273B8F"/>
    <w:rsid w:val="002740FF"/>
    <w:rsid w:val="0027480B"/>
    <w:rsid w:val="0027509F"/>
    <w:rsid w:val="00276C02"/>
    <w:rsid w:val="0027704A"/>
    <w:rsid w:val="0027742A"/>
    <w:rsid w:val="002816A8"/>
    <w:rsid w:val="002821E5"/>
    <w:rsid w:val="002834FA"/>
    <w:rsid w:val="00283EBF"/>
    <w:rsid w:val="002862D0"/>
    <w:rsid w:val="002866F3"/>
    <w:rsid w:val="00287365"/>
    <w:rsid w:val="0029188D"/>
    <w:rsid w:val="00292F46"/>
    <w:rsid w:val="00294A6A"/>
    <w:rsid w:val="002950CB"/>
    <w:rsid w:val="00295913"/>
    <w:rsid w:val="00297CCF"/>
    <w:rsid w:val="002A08F8"/>
    <w:rsid w:val="002A1321"/>
    <w:rsid w:val="002A2A08"/>
    <w:rsid w:val="002A557D"/>
    <w:rsid w:val="002A7B83"/>
    <w:rsid w:val="002B1B80"/>
    <w:rsid w:val="002B303B"/>
    <w:rsid w:val="002B48E8"/>
    <w:rsid w:val="002B6E1A"/>
    <w:rsid w:val="002C0A0A"/>
    <w:rsid w:val="002C1B07"/>
    <w:rsid w:val="002C2AB6"/>
    <w:rsid w:val="002C3568"/>
    <w:rsid w:val="002C6C6D"/>
    <w:rsid w:val="002D03DE"/>
    <w:rsid w:val="002D0F9E"/>
    <w:rsid w:val="002D13B2"/>
    <w:rsid w:val="002D18F8"/>
    <w:rsid w:val="002D2A7D"/>
    <w:rsid w:val="002D323C"/>
    <w:rsid w:val="002E039D"/>
    <w:rsid w:val="002E1045"/>
    <w:rsid w:val="002E16BA"/>
    <w:rsid w:val="002E19BB"/>
    <w:rsid w:val="002E37FC"/>
    <w:rsid w:val="002E606E"/>
    <w:rsid w:val="002E6AD8"/>
    <w:rsid w:val="002F1BD1"/>
    <w:rsid w:val="002F359C"/>
    <w:rsid w:val="002F671F"/>
    <w:rsid w:val="002F72D6"/>
    <w:rsid w:val="002F7FAA"/>
    <w:rsid w:val="00300B60"/>
    <w:rsid w:val="00301B22"/>
    <w:rsid w:val="00302220"/>
    <w:rsid w:val="00302A3A"/>
    <w:rsid w:val="00302E1A"/>
    <w:rsid w:val="00303960"/>
    <w:rsid w:val="003042C6"/>
    <w:rsid w:val="00306446"/>
    <w:rsid w:val="00306E91"/>
    <w:rsid w:val="00310798"/>
    <w:rsid w:val="00311D2B"/>
    <w:rsid w:val="00313AFD"/>
    <w:rsid w:val="00314746"/>
    <w:rsid w:val="0031559A"/>
    <w:rsid w:val="00315C41"/>
    <w:rsid w:val="00317841"/>
    <w:rsid w:val="00323105"/>
    <w:rsid w:val="0032321F"/>
    <w:rsid w:val="00323EC4"/>
    <w:rsid w:val="003240EA"/>
    <w:rsid w:val="003241FA"/>
    <w:rsid w:val="003265C2"/>
    <w:rsid w:val="0032674A"/>
    <w:rsid w:val="00327682"/>
    <w:rsid w:val="0033010F"/>
    <w:rsid w:val="0033069B"/>
    <w:rsid w:val="00331FD9"/>
    <w:rsid w:val="00335665"/>
    <w:rsid w:val="00336FE8"/>
    <w:rsid w:val="00337D8B"/>
    <w:rsid w:val="00340C2E"/>
    <w:rsid w:val="00342078"/>
    <w:rsid w:val="003467C4"/>
    <w:rsid w:val="00347FF6"/>
    <w:rsid w:val="00350066"/>
    <w:rsid w:val="003523E5"/>
    <w:rsid w:val="00352A28"/>
    <w:rsid w:val="00353DA4"/>
    <w:rsid w:val="00353FC0"/>
    <w:rsid w:val="00355407"/>
    <w:rsid w:val="00355A50"/>
    <w:rsid w:val="00357184"/>
    <w:rsid w:val="00361A58"/>
    <w:rsid w:val="00361DE1"/>
    <w:rsid w:val="00361DE5"/>
    <w:rsid w:val="00366313"/>
    <w:rsid w:val="003702A9"/>
    <w:rsid w:val="0037067A"/>
    <w:rsid w:val="00370703"/>
    <w:rsid w:val="003724AE"/>
    <w:rsid w:val="00373ED2"/>
    <w:rsid w:val="003763F7"/>
    <w:rsid w:val="00377503"/>
    <w:rsid w:val="003776D7"/>
    <w:rsid w:val="00380B89"/>
    <w:rsid w:val="003822E5"/>
    <w:rsid w:val="003825A3"/>
    <w:rsid w:val="00382D96"/>
    <w:rsid w:val="003830C8"/>
    <w:rsid w:val="00383FAF"/>
    <w:rsid w:val="003852CE"/>
    <w:rsid w:val="0038539C"/>
    <w:rsid w:val="003904A5"/>
    <w:rsid w:val="00391535"/>
    <w:rsid w:val="003916C5"/>
    <w:rsid w:val="00391B7E"/>
    <w:rsid w:val="00391D04"/>
    <w:rsid w:val="003926DC"/>
    <w:rsid w:val="003936A3"/>
    <w:rsid w:val="003936D7"/>
    <w:rsid w:val="00393944"/>
    <w:rsid w:val="00395A5F"/>
    <w:rsid w:val="00396E13"/>
    <w:rsid w:val="003974E6"/>
    <w:rsid w:val="003A04CD"/>
    <w:rsid w:val="003A1532"/>
    <w:rsid w:val="003A27FF"/>
    <w:rsid w:val="003A3846"/>
    <w:rsid w:val="003A3879"/>
    <w:rsid w:val="003A4273"/>
    <w:rsid w:val="003A5B81"/>
    <w:rsid w:val="003A653A"/>
    <w:rsid w:val="003A7244"/>
    <w:rsid w:val="003B1F89"/>
    <w:rsid w:val="003B2639"/>
    <w:rsid w:val="003B2E80"/>
    <w:rsid w:val="003B2EF1"/>
    <w:rsid w:val="003B3A30"/>
    <w:rsid w:val="003B3E71"/>
    <w:rsid w:val="003B463D"/>
    <w:rsid w:val="003B7333"/>
    <w:rsid w:val="003C0573"/>
    <w:rsid w:val="003C093D"/>
    <w:rsid w:val="003C13C4"/>
    <w:rsid w:val="003C268C"/>
    <w:rsid w:val="003C380C"/>
    <w:rsid w:val="003C4197"/>
    <w:rsid w:val="003C4D78"/>
    <w:rsid w:val="003C6E13"/>
    <w:rsid w:val="003C6EC9"/>
    <w:rsid w:val="003C6F26"/>
    <w:rsid w:val="003D2A02"/>
    <w:rsid w:val="003D35D1"/>
    <w:rsid w:val="003D569A"/>
    <w:rsid w:val="003D5D13"/>
    <w:rsid w:val="003D6A61"/>
    <w:rsid w:val="003D6AA0"/>
    <w:rsid w:val="003D6CDD"/>
    <w:rsid w:val="003D7A9B"/>
    <w:rsid w:val="003E064C"/>
    <w:rsid w:val="003E0A87"/>
    <w:rsid w:val="003E10F9"/>
    <w:rsid w:val="003E1396"/>
    <w:rsid w:val="003E1928"/>
    <w:rsid w:val="003E3759"/>
    <w:rsid w:val="003E3B48"/>
    <w:rsid w:val="003E740C"/>
    <w:rsid w:val="003E7E1E"/>
    <w:rsid w:val="003E7F86"/>
    <w:rsid w:val="003F001C"/>
    <w:rsid w:val="003F02CE"/>
    <w:rsid w:val="003F0510"/>
    <w:rsid w:val="003F0D7B"/>
    <w:rsid w:val="003F3380"/>
    <w:rsid w:val="003F3D2C"/>
    <w:rsid w:val="003F503F"/>
    <w:rsid w:val="003F5144"/>
    <w:rsid w:val="003F5326"/>
    <w:rsid w:val="003F70C5"/>
    <w:rsid w:val="003F716E"/>
    <w:rsid w:val="00401FC5"/>
    <w:rsid w:val="00402A1A"/>
    <w:rsid w:val="004036E6"/>
    <w:rsid w:val="004038D9"/>
    <w:rsid w:val="0040632F"/>
    <w:rsid w:val="004064E4"/>
    <w:rsid w:val="00406893"/>
    <w:rsid w:val="004104B9"/>
    <w:rsid w:val="004108F6"/>
    <w:rsid w:val="00413417"/>
    <w:rsid w:val="00415BBF"/>
    <w:rsid w:val="004200FD"/>
    <w:rsid w:val="00422DF5"/>
    <w:rsid w:val="00422E57"/>
    <w:rsid w:val="00423749"/>
    <w:rsid w:val="004262DB"/>
    <w:rsid w:val="00426CB3"/>
    <w:rsid w:val="004307FD"/>
    <w:rsid w:val="004342A5"/>
    <w:rsid w:val="00437BCB"/>
    <w:rsid w:val="00437E1F"/>
    <w:rsid w:val="00441115"/>
    <w:rsid w:val="00441380"/>
    <w:rsid w:val="004418CC"/>
    <w:rsid w:val="00442110"/>
    <w:rsid w:val="004421E0"/>
    <w:rsid w:val="0044238A"/>
    <w:rsid w:val="00442D9E"/>
    <w:rsid w:val="00443A00"/>
    <w:rsid w:val="00444446"/>
    <w:rsid w:val="00446A3D"/>
    <w:rsid w:val="004476F0"/>
    <w:rsid w:val="0045161F"/>
    <w:rsid w:val="00453F8E"/>
    <w:rsid w:val="00454364"/>
    <w:rsid w:val="004547A5"/>
    <w:rsid w:val="0045779A"/>
    <w:rsid w:val="00457A47"/>
    <w:rsid w:val="00457DDA"/>
    <w:rsid w:val="00461937"/>
    <w:rsid w:val="004619FE"/>
    <w:rsid w:val="004622A6"/>
    <w:rsid w:val="004622F6"/>
    <w:rsid w:val="004626B5"/>
    <w:rsid w:val="004635CB"/>
    <w:rsid w:val="004640E2"/>
    <w:rsid w:val="004649A4"/>
    <w:rsid w:val="00464CAB"/>
    <w:rsid w:val="00465F2B"/>
    <w:rsid w:val="00466A2E"/>
    <w:rsid w:val="00466DA6"/>
    <w:rsid w:val="004711E8"/>
    <w:rsid w:val="004756C0"/>
    <w:rsid w:val="00476385"/>
    <w:rsid w:val="0047667C"/>
    <w:rsid w:val="00476696"/>
    <w:rsid w:val="00476726"/>
    <w:rsid w:val="00477C7E"/>
    <w:rsid w:val="00480FBE"/>
    <w:rsid w:val="00482F96"/>
    <w:rsid w:val="00483257"/>
    <w:rsid w:val="00485741"/>
    <w:rsid w:val="00485ACE"/>
    <w:rsid w:val="0048619E"/>
    <w:rsid w:val="004865AC"/>
    <w:rsid w:val="0048767B"/>
    <w:rsid w:val="00491946"/>
    <w:rsid w:val="0049227C"/>
    <w:rsid w:val="00493311"/>
    <w:rsid w:val="00494C02"/>
    <w:rsid w:val="00495A29"/>
    <w:rsid w:val="00495D3B"/>
    <w:rsid w:val="00496B73"/>
    <w:rsid w:val="004A28AB"/>
    <w:rsid w:val="004A385F"/>
    <w:rsid w:val="004A41FA"/>
    <w:rsid w:val="004A5863"/>
    <w:rsid w:val="004A78DB"/>
    <w:rsid w:val="004B1931"/>
    <w:rsid w:val="004B4126"/>
    <w:rsid w:val="004B525A"/>
    <w:rsid w:val="004C0A7D"/>
    <w:rsid w:val="004C0C84"/>
    <w:rsid w:val="004C0DD5"/>
    <w:rsid w:val="004C13AE"/>
    <w:rsid w:val="004C2991"/>
    <w:rsid w:val="004C2CF5"/>
    <w:rsid w:val="004C439D"/>
    <w:rsid w:val="004C4A94"/>
    <w:rsid w:val="004C5513"/>
    <w:rsid w:val="004C7404"/>
    <w:rsid w:val="004C7867"/>
    <w:rsid w:val="004D00CB"/>
    <w:rsid w:val="004D0418"/>
    <w:rsid w:val="004D0C21"/>
    <w:rsid w:val="004D3C6F"/>
    <w:rsid w:val="004D3DE3"/>
    <w:rsid w:val="004D4B3D"/>
    <w:rsid w:val="004D6E75"/>
    <w:rsid w:val="004D72D4"/>
    <w:rsid w:val="004D7956"/>
    <w:rsid w:val="004D7CE8"/>
    <w:rsid w:val="004E0BBF"/>
    <w:rsid w:val="004E0C39"/>
    <w:rsid w:val="004E291F"/>
    <w:rsid w:val="004E5A81"/>
    <w:rsid w:val="004E5B0D"/>
    <w:rsid w:val="004F0035"/>
    <w:rsid w:val="004F020F"/>
    <w:rsid w:val="004F0781"/>
    <w:rsid w:val="004F1F0F"/>
    <w:rsid w:val="004F5980"/>
    <w:rsid w:val="004F787B"/>
    <w:rsid w:val="00501544"/>
    <w:rsid w:val="00502C8B"/>
    <w:rsid w:val="00503BC9"/>
    <w:rsid w:val="00503F8C"/>
    <w:rsid w:val="00504158"/>
    <w:rsid w:val="00505839"/>
    <w:rsid w:val="00507EEA"/>
    <w:rsid w:val="00510589"/>
    <w:rsid w:val="0051226E"/>
    <w:rsid w:val="005126BC"/>
    <w:rsid w:val="005129B6"/>
    <w:rsid w:val="005129EE"/>
    <w:rsid w:val="00512F0F"/>
    <w:rsid w:val="005131E2"/>
    <w:rsid w:val="00515E75"/>
    <w:rsid w:val="005167FA"/>
    <w:rsid w:val="00516A8D"/>
    <w:rsid w:val="00522018"/>
    <w:rsid w:val="00522CD2"/>
    <w:rsid w:val="00522FD2"/>
    <w:rsid w:val="005248C8"/>
    <w:rsid w:val="00524A3B"/>
    <w:rsid w:val="005260AA"/>
    <w:rsid w:val="005265D4"/>
    <w:rsid w:val="005266E1"/>
    <w:rsid w:val="005304A3"/>
    <w:rsid w:val="005319EA"/>
    <w:rsid w:val="00533124"/>
    <w:rsid w:val="005347C8"/>
    <w:rsid w:val="00534D40"/>
    <w:rsid w:val="00534E2C"/>
    <w:rsid w:val="005361B6"/>
    <w:rsid w:val="00536AE0"/>
    <w:rsid w:val="00537233"/>
    <w:rsid w:val="00541C29"/>
    <w:rsid w:val="00542633"/>
    <w:rsid w:val="00542C64"/>
    <w:rsid w:val="005436A0"/>
    <w:rsid w:val="00544D1B"/>
    <w:rsid w:val="0054581C"/>
    <w:rsid w:val="00545A02"/>
    <w:rsid w:val="00546975"/>
    <w:rsid w:val="00546A91"/>
    <w:rsid w:val="0054700F"/>
    <w:rsid w:val="0054786D"/>
    <w:rsid w:val="00547E97"/>
    <w:rsid w:val="005503CC"/>
    <w:rsid w:val="00553141"/>
    <w:rsid w:val="0055396A"/>
    <w:rsid w:val="00554414"/>
    <w:rsid w:val="00554A33"/>
    <w:rsid w:val="00554E2E"/>
    <w:rsid w:val="0055508D"/>
    <w:rsid w:val="0055689B"/>
    <w:rsid w:val="00556D12"/>
    <w:rsid w:val="00556DF4"/>
    <w:rsid w:val="00557E0D"/>
    <w:rsid w:val="00560AF6"/>
    <w:rsid w:val="0056629D"/>
    <w:rsid w:val="00566DC7"/>
    <w:rsid w:val="00566EB5"/>
    <w:rsid w:val="00567CDF"/>
    <w:rsid w:val="00567F75"/>
    <w:rsid w:val="00570E62"/>
    <w:rsid w:val="00571262"/>
    <w:rsid w:val="0057137A"/>
    <w:rsid w:val="0057212F"/>
    <w:rsid w:val="0057590D"/>
    <w:rsid w:val="00575CFF"/>
    <w:rsid w:val="00576058"/>
    <w:rsid w:val="00576798"/>
    <w:rsid w:val="00577501"/>
    <w:rsid w:val="00577B60"/>
    <w:rsid w:val="005834C7"/>
    <w:rsid w:val="00584860"/>
    <w:rsid w:val="005915FC"/>
    <w:rsid w:val="005923A9"/>
    <w:rsid w:val="00592A95"/>
    <w:rsid w:val="00592B57"/>
    <w:rsid w:val="0059302A"/>
    <w:rsid w:val="0059306B"/>
    <w:rsid w:val="0059313C"/>
    <w:rsid w:val="0059554C"/>
    <w:rsid w:val="005971DA"/>
    <w:rsid w:val="005972B4"/>
    <w:rsid w:val="0059784F"/>
    <w:rsid w:val="00597E4B"/>
    <w:rsid w:val="00597FD0"/>
    <w:rsid w:val="00597FDD"/>
    <w:rsid w:val="005A0E58"/>
    <w:rsid w:val="005A1E8B"/>
    <w:rsid w:val="005A3A79"/>
    <w:rsid w:val="005A5BF5"/>
    <w:rsid w:val="005A6498"/>
    <w:rsid w:val="005A7FF5"/>
    <w:rsid w:val="005B0134"/>
    <w:rsid w:val="005B22A3"/>
    <w:rsid w:val="005B2611"/>
    <w:rsid w:val="005B2AFD"/>
    <w:rsid w:val="005B5B86"/>
    <w:rsid w:val="005B5BCA"/>
    <w:rsid w:val="005B6842"/>
    <w:rsid w:val="005B68BA"/>
    <w:rsid w:val="005C07BE"/>
    <w:rsid w:val="005C2058"/>
    <w:rsid w:val="005C2FF1"/>
    <w:rsid w:val="005C44AD"/>
    <w:rsid w:val="005C49D6"/>
    <w:rsid w:val="005C4A47"/>
    <w:rsid w:val="005C5AF7"/>
    <w:rsid w:val="005C5BE5"/>
    <w:rsid w:val="005C66AD"/>
    <w:rsid w:val="005C704B"/>
    <w:rsid w:val="005C706C"/>
    <w:rsid w:val="005C7FCF"/>
    <w:rsid w:val="005D0B45"/>
    <w:rsid w:val="005D14E1"/>
    <w:rsid w:val="005D1C94"/>
    <w:rsid w:val="005D26EC"/>
    <w:rsid w:val="005D3190"/>
    <w:rsid w:val="005D60B2"/>
    <w:rsid w:val="005D7070"/>
    <w:rsid w:val="005E1541"/>
    <w:rsid w:val="005E1E52"/>
    <w:rsid w:val="005E23C3"/>
    <w:rsid w:val="005E3754"/>
    <w:rsid w:val="005E6784"/>
    <w:rsid w:val="005F1080"/>
    <w:rsid w:val="005F1813"/>
    <w:rsid w:val="005F189A"/>
    <w:rsid w:val="005F1958"/>
    <w:rsid w:val="005F1CF1"/>
    <w:rsid w:val="005F312A"/>
    <w:rsid w:val="005F3574"/>
    <w:rsid w:val="005F548E"/>
    <w:rsid w:val="005F5733"/>
    <w:rsid w:val="005F5952"/>
    <w:rsid w:val="005F5C0A"/>
    <w:rsid w:val="005F5E6B"/>
    <w:rsid w:val="005F6313"/>
    <w:rsid w:val="005F6EAA"/>
    <w:rsid w:val="005F7CFF"/>
    <w:rsid w:val="005F7D63"/>
    <w:rsid w:val="00600293"/>
    <w:rsid w:val="006012F5"/>
    <w:rsid w:val="00603C6E"/>
    <w:rsid w:val="00603D23"/>
    <w:rsid w:val="00604F28"/>
    <w:rsid w:val="00605460"/>
    <w:rsid w:val="006059B4"/>
    <w:rsid w:val="006059D1"/>
    <w:rsid w:val="006064E5"/>
    <w:rsid w:val="006067F9"/>
    <w:rsid w:val="006110AB"/>
    <w:rsid w:val="00614497"/>
    <w:rsid w:val="00615A28"/>
    <w:rsid w:val="00617DD8"/>
    <w:rsid w:val="00622753"/>
    <w:rsid w:val="00622D38"/>
    <w:rsid w:val="00625684"/>
    <w:rsid w:val="0062598C"/>
    <w:rsid w:val="00625B4A"/>
    <w:rsid w:val="006308A0"/>
    <w:rsid w:val="006351B1"/>
    <w:rsid w:val="00637355"/>
    <w:rsid w:val="00640F7C"/>
    <w:rsid w:val="00642AED"/>
    <w:rsid w:val="00643979"/>
    <w:rsid w:val="00643EAC"/>
    <w:rsid w:val="006456B8"/>
    <w:rsid w:val="00645CD1"/>
    <w:rsid w:val="006477B2"/>
    <w:rsid w:val="00650610"/>
    <w:rsid w:val="0065075F"/>
    <w:rsid w:val="00650AB5"/>
    <w:rsid w:val="00651774"/>
    <w:rsid w:val="00651DA9"/>
    <w:rsid w:val="00654B2F"/>
    <w:rsid w:val="00657509"/>
    <w:rsid w:val="00657951"/>
    <w:rsid w:val="00660208"/>
    <w:rsid w:val="00660E28"/>
    <w:rsid w:val="006621A2"/>
    <w:rsid w:val="00663932"/>
    <w:rsid w:val="006647C3"/>
    <w:rsid w:val="00666BA9"/>
    <w:rsid w:val="00670501"/>
    <w:rsid w:val="0067097F"/>
    <w:rsid w:val="00673080"/>
    <w:rsid w:val="006730B9"/>
    <w:rsid w:val="006733AD"/>
    <w:rsid w:val="0067428E"/>
    <w:rsid w:val="0067562D"/>
    <w:rsid w:val="0067582A"/>
    <w:rsid w:val="00680411"/>
    <w:rsid w:val="0068091B"/>
    <w:rsid w:val="00681787"/>
    <w:rsid w:val="006834A6"/>
    <w:rsid w:val="00684F10"/>
    <w:rsid w:val="00685354"/>
    <w:rsid w:val="006861F8"/>
    <w:rsid w:val="0068628E"/>
    <w:rsid w:val="0068763D"/>
    <w:rsid w:val="00690001"/>
    <w:rsid w:val="006903B4"/>
    <w:rsid w:val="0069061F"/>
    <w:rsid w:val="0069133C"/>
    <w:rsid w:val="00691CBD"/>
    <w:rsid w:val="00693420"/>
    <w:rsid w:val="00696B97"/>
    <w:rsid w:val="006972C2"/>
    <w:rsid w:val="00697DC2"/>
    <w:rsid w:val="006A003E"/>
    <w:rsid w:val="006A0786"/>
    <w:rsid w:val="006A2683"/>
    <w:rsid w:val="006A2F66"/>
    <w:rsid w:val="006A4B19"/>
    <w:rsid w:val="006A61BE"/>
    <w:rsid w:val="006A6371"/>
    <w:rsid w:val="006A6EB0"/>
    <w:rsid w:val="006B22DF"/>
    <w:rsid w:val="006B7A05"/>
    <w:rsid w:val="006B7D63"/>
    <w:rsid w:val="006C0E41"/>
    <w:rsid w:val="006C1255"/>
    <w:rsid w:val="006C2188"/>
    <w:rsid w:val="006C23DC"/>
    <w:rsid w:val="006C2C29"/>
    <w:rsid w:val="006C36CC"/>
    <w:rsid w:val="006C37E1"/>
    <w:rsid w:val="006C3904"/>
    <w:rsid w:val="006C3C9E"/>
    <w:rsid w:val="006C4590"/>
    <w:rsid w:val="006C71D2"/>
    <w:rsid w:val="006D01A2"/>
    <w:rsid w:val="006D0388"/>
    <w:rsid w:val="006D1190"/>
    <w:rsid w:val="006D1545"/>
    <w:rsid w:val="006D1658"/>
    <w:rsid w:val="006D2248"/>
    <w:rsid w:val="006D5405"/>
    <w:rsid w:val="006D68A6"/>
    <w:rsid w:val="006D6981"/>
    <w:rsid w:val="006D7BD4"/>
    <w:rsid w:val="006E0DDC"/>
    <w:rsid w:val="006E1910"/>
    <w:rsid w:val="006E2381"/>
    <w:rsid w:val="006E312A"/>
    <w:rsid w:val="006E49F2"/>
    <w:rsid w:val="006E6CB1"/>
    <w:rsid w:val="006E7320"/>
    <w:rsid w:val="006F1CEC"/>
    <w:rsid w:val="006F1E7F"/>
    <w:rsid w:val="006F1F0F"/>
    <w:rsid w:val="006F20F2"/>
    <w:rsid w:val="006F3AC7"/>
    <w:rsid w:val="00701E99"/>
    <w:rsid w:val="007024A0"/>
    <w:rsid w:val="00702A01"/>
    <w:rsid w:val="00703054"/>
    <w:rsid w:val="00703FB1"/>
    <w:rsid w:val="00704ABD"/>
    <w:rsid w:val="00704C2C"/>
    <w:rsid w:val="00704F29"/>
    <w:rsid w:val="0070575C"/>
    <w:rsid w:val="007066D9"/>
    <w:rsid w:val="00707601"/>
    <w:rsid w:val="00710C95"/>
    <w:rsid w:val="00710EF3"/>
    <w:rsid w:val="00711267"/>
    <w:rsid w:val="007113FE"/>
    <w:rsid w:val="00711D40"/>
    <w:rsid w:val="0071240A"/>
    <w:rsid w:val="00712893"/>
    <w:rsid w:val="0071307E"/>
    <w:rsid w:val="007143B7"/>
    <w:rsid w:val="0071667A"/>
    <w:rsid w:val="00716EDC"/>
    <w:rsid w:val="0072098B"/>
    <w:rsid w:val="00720B10"/>
    <w:rsid w:val="00720B37"/>
    <w:rsid w:val="00721BC2"/>
    <w:rsid w:val="00721DEC"/>
    <w:rsid w:val="0072293F"/>
    <w:rsid w:val="00723692"/>
    <w:rsid w:val="00723969"/>
    <w:rsid w:val="00723F63"/>
    <w:rsid w:val="00725396"/>
    <w:rsid w:val="00726B9B"/>
    <w:rsid w:val="00730441"/>
    <w:rsid w:val="007318BD"/>
    <w:rsid w:val="00733E8F"/>
    <w:rsid w:val="0073420C"/>
    <w:rsid w:val="007351DC"/>
    <w:rsid w:val="00735D6E"/>
    <w:rsid w:val="00736027"/>
    <w:rsid w:val="00736885"/>
    <w:rsid w:val="00736C79"/>
    <w:rsid w:val="00736E80"/>
    <w:rsid w:val="00741513"/>
    <w:rsid w:val="00741B34"/>
    <w:rsid w:val="00742788"/>
    <w:rsid w:val="00742916"/>
    <w:rsid w:val="00742F1D"/>
    <w:rsid w:val="007437A7"/>
    <w:rsid w:val="00743E3E"/>
    <w:rsid w:val="00744E34"/>
    <w:rsid w:val="007456B6"/>
    <w:rsid w:val="00746524"/>
    <w:rsid w:val="00747688"/>
    <w:rsid w:val="00753DB7"/>
    <w:rsid w:val="00756BAD"/>
    <w:rsid w:val="00757D02"/>
    <w:rsid w:val="0076158B"/>
    <w:rsid w:val="00763ACF"/>
    <w:rsid w:val="00763D24"/>
    <w:rsid w:val="00764140"/>
    <w:rsid w:val="00765477"/>
    <w:rsid w:val="00766181"/>
    <w:rsid w:val="00767D04"/>
    <w:rsid w:val="00773A81"/>
    <w:rsid w:val="00774FD1"/>
    <w:rsid w:val="00775025"/>
    <w:rsid w:val="00776425"/>
    <w:rsid w:val="00777075"/>
    <w:rsid w:val="00777527"/>
    <w:rsid w:val="00780874"/>
    <w:rsid w:val="00780E27"/>
    <w:rsid w:val="0078232C"/>
    <w:rsid w:val="0078254B"/>
    <w:rsid w:val="0078346A"/>
    <w:rsid w:val="00783705"/>
    <w:rsid w:val="007841E8"/>
    <w:rsid w:val="007857A5"/>
    <w:rsid w:val="00785D96"/>
    <w:rsid w:val="0078605F"/>
    <w:rsid w:val="00787328"/>
    <w:rsid w:val="0078777A"/>
    <w:rsid w:val="0079009D"/>
    <w:rsid w:val="007919DF"/>
    <w:rsid w:val="007949C4"/>
    <w:rsid w:val="00794F7A"/>
    <w:rsid w:val="007A073C"/>
    <w:rsid w:val="007A15AF"/>
    <w:rsid w:val="007A1B8C"/>
    <w:rsid w:val="007A305A"/>
    <w:rsid w:val="007A330E"/>
    <w:rsid w:val="007A4B66"/>
    <w:rsid w:val="007A4D4E"/>
    <w:rsid w:val="007A79A0"/>
    <w:rsid w:val="007B2152"/>
    <w:rsid w:val="007B5C54"/>
    <w:rsid w:val="007B61C0"/>
    <w:rsid w:val="007B6C4F"/>
    <w:rsid w:val="007B7AC2"/>
    <w:rsid w:val="007C01BD"/>
    <w:rsid w:val="007C1428"/>
    <w:rsid w:val="007C15AC"/>
    <w:rsid w:val="007C1C23"/>
    <w:rsid w:val="007C2295"/>
    <w:rsid w:val="007C2BC8"/>
    <w:rsid w:val="007C3C06"/>
    <w:rsid w:val="007C4EB7"/>
    <w:rsid w:val="007C5A46"/>
    <w:rsid w:val="007C65A3"/>
    <w:rsid w:val="007C6BC9"/>
    <w:rsid w:val="007D0CC4"/>
    <w:rsid w:val="007D0D49"/>
    <w:rsid w:val="007D1427"/>
    <w:rsid w:val="007D25FC"/>
    <w:rsid w:val="007D45C4"/>
    <w:rsid w:val="007D69C9"/>
    <w:rsid w:val="007D7786"/>
    <w:rsid w:val="007E1332"/>
    <w:rsid w:val="007E18C9"/>
    <w:rsid w:val="007E216F"/>
    <w:rsid w:val="007E5FE7"/>
    <w:rsid w:val="007F01E9"/>
    <w:rsid w:val="007F05C8"/>
    <w:rsid w:val="007F1960"/>
    <w:rsid w:val="007F552F"/>
    <w:rsid w:val="008000B4"/>
    <w:rsid w:val="00800A7F"/>
    <w:rsid w:val="00802058"/>
    <w:rsid w:val="008029D7"/>
    <w:rsid w:val="0080383A"/>
    <w:rsid w:val="00805A07"/>
    <w:rsid w:val="00805A96"/>
    <w:rsid w:val="00806C2F"/>
    <w:rsid w:val="0081247C"/>
    <w:rsid w:val="008133E9"/>
    <w:rsid w:val="00814621"/>
    <w:rsid w:val="0081595A"/>
    <w:rsid w:val="008168E4"/>
    <w:rsid w:val="00820151"/>
    <w:rsid w:val="00821924"/>
    <w:rsid w:val="00822707"/>
    <w:rsid w:val="008237D1"/>
    <w:rsid w:val="0082381C"/>
    <w:rsid w:val="00824319"/>
    <w:rsid w:val="00824AD2"/>
    <w:rsid w:val="00824E55"/>
    <w:rsid w:val="0082571D"/>
    <w:rsid w:val="0082656D"/>
    <w:rsid w:val="0082773A"/>
    <w:rsid w:val="00827EC1"/>
    <w:rsid w:val="00835B5E"/>
    <w:rsid w:val="008371DC"/>
    <w:rsid w:val="00842E70"/>
    <w:rsid w:val="00845FCE"/>
    <w:rsid w:val="008471B9"/>
    <w:rsid w:val="008478DB"/>
    <w:rsid w:val="00850E3C"/>
    <w:rsid w:val="008526A7"/>
    <w:rsid w:val="00854D1B"/>
    <w:rsid w:val="0085515F"/>
    <w:rsid w:val="00855F0D"/>
    <w:rsid w:val="0085712F"/>
    <w:rsid w:val="00857495"/>
    <w:rsid w:val="00857D83"/>
    <w:rsid w:val="008603A2"/>
    <w:rsid w:val="00861290"/>
    <w:rsid w:val="00864272"/>
    <w:rsid w:val="0086428A"/>
    <w:rsid w:val="00865EB5"/>
    <w:rsid w:val="00871715"/>
    <w:rsid w:val="00871C31"/>
    <w:rsid w:val="0087208B"/>
    <w:rsid w:val="00874DE6"/>
    <w:rsid w:val="00875B12"/>
    <w:rsid w:val="00877586"/>
    <w:rsid w:val="00877F86"/>
    <w:rsid w:val="00881291"/>
    <w:rsid w:val="00882AFE"/>
    <w:rsid w:val="00883F43"/>
    <w:rsid w:val="00884FA1"/>
    <w:rsid w:val="00885DB5"/>
    <w:rsid w:val="008860E8"/>
    <w:rsid w:val="0088618C"/>
    <w:rsid w:val="00886DF9"/>
    <w:rsid w:val="00887226"/>
    <w:rsid w:val="00887BBB"/>
    <w:rsid w:val="00891CE0"/>
    <w:rsid w:val="00893276"/>
    <w:rsid w:val="00894671"/>
    <w:rsid w:val="00895267"/>
    <w:rsid w:val="00895BFE"/>
    <w:rsid w:val="00895C7E"/>
    <w:rsid w:val="00895DA5"/>
    <w:rsid w:val="00896DB3"/>
    <w:rsid w:val="00897BF6"/>
    <w:rsid w:val="008A41DB"/>
    <w:rsid w:val="008A7AE8"/>
    <w:rsid w:val="008B0309"/>
    <w:rsid w:val="008B083A"/>
    <w:rsid w:val="008B109A"/>
    <w:rsid w:val="008B3F4D"/>
    <w:rsid w:val="008B45F5"/>
    <w:rsid w:val="008B520B"/>
    <w:rsid w:val="008B57E9"/>
    <w:rsid w:val="008B5B24"/>
    <w:rsid w:val="008C0963"/>
    <w:rsid w:val="008C1863"/>
    <w:rsid w:val="008C2930"/>
    <w:rsid w:val="008C469D"/>
    <w:rsid w:val="008C6A25"/>
    <w:rsid w:val="008D189C"/>
    <w:rsid w:val="008D276C"/>
    <w:rsid w:val="008D5E05"/>
    <w:rsid w:val="008D600D"/>
    <w:rsid w:val="008D7A01"/>
    <w:rsid w:val="008E0868"/>
    <w:rsid w:val="008E0E3B"/>
    <w:rsid w:val="008E1299"/>
    <w:rsid w:val="008E72ED"/>
    <w:rsid w:val="008E73AF"/>
    <w:rsid w:val="008E752C"/>
    <w:rsid w:val="008F017B"/>
    <w:rsid w:val="008F03EE"/>
    <w:rsid w:val="008F1978"/>
    <w:rsid w:val="008F250A"/>
    <w:rsid w:val="008F4A29"/>
    <w:rsid w:val="008F65EC"/>
    <w:rsid w:val="008F6BBF"/>
    <w:rsid w:val="0090064E"/>
    <w:rsid w:val="0090113D"/>
    <w:rsid w:val="00905115"/>
    <w:rsid w:val="00905591"/>
    <w:rsid w:val="009060C5"/>
    <w:rsid w:val="0090621F"/>
    <w:rsid w:val="00906CFC"/>
    <w:rsid w:val="009127DE"/>
    <w:rsid w:val="009127F3"/>
    <w:rsid w:val="009134F5"/>
    <w:rsid w:val="00914133"/>
    <w:rsid w:val="009145AE"/>
    <w:rsid w:val="00917D46"/>
    <w:rsid w:val="0092046E"/>
    <w:rsid w:val="009219E3"/>
    <w:rsid w:val="00921BDC"/>
    <w:rsid w:val="00926617"/>
    <w:rsid w:val="00926710"/>
    <w:rsid w:val="0093057E"/>
    <w:rsid w:val="00932E67"/>
    <w:rsid w:val="009330F2"/>
    <w:rsid w:val="00933B12"/>
    <w:rsid w:val="00934332"/>
    <w:rsid w:val="009346E5"/>
    <w:rsid w:val="00936D75"/>
    <w:rsid w:val="0093750E"/>
    <w:rsid w:val="00940B3C"/>
    <w:rsid w:val="0094250E"/>
    <w:rsid w:val="00945E26"/>
    <w:rsid w:val="00946F6F"/>
    <w:rsid w:val="00950F27"/>
    <w:rsid w:val="00951A30"/>
    <w:rsid w:val="009528C3"/>
    <w:rsid w:val="0095365B"/>
    <w:rsid w:val="00954C95"/>
    <w:rsid w:val="009560EA"/>
    <w:rsid w:val="00956150"/>
    <w:rsid w:val="00960D9D"/>
    <w:rsid w:val="00962271"/>
    <w:rsid w:val="009633B6"/>
    <w:rsid w:val="00964660"/>
    <w:rsid w:val="009654FD"/>
    <w:rsid w:val="009667B2"/>
    <w:rsid w:val="009668DF"/>
    <w:rsid w:val="0096734B"/>
    <w:rsid w:val="00967AAF"/>
    <w:rsid w:val="00970111"/>
    <w:rsid w:val="0097448C"/>
    <w:rsid w:val="00976AEE"/>
    <w:rsid w:val="00981E1B"/>
    <w:rsid w:val="00982168"/>
    <w:rsid w:val="00982874"/>
    <w:rsid w:val="00983511"/>
    <w:rsid w:val="009838BB"/>
    <w:rsid w:val="00987038"/>
    <w:rsid w:val="009922EE"/>
    <w:rsid w:val="0099345B"/>
    <w:rsid w:val="009940FF"/>
    <w:rsid w:val="0099436A"/>
    <w:rsid w:val="00994404"/>
    <w:rsid w:val="009944C8"/>
    <w:rsid w:val="0099453A"/>
    <w:rsid w:val="00995F8E"/>
    <w:rsid w:val="0099692C"/>
    <w:rsid w:val="009A154E"/>
    <w:rsid w:val="009A16FE"/>
    <w:rsid w:val="009A1C54"/>
    <w:rsid w:val="009A2A0D"/>
    <w:rsid w:val="009A407E"/>
    <w:rsid w:val="009A6D20"/>
    <w:rsid w:val="009B24D1"/>
    <w:rsid w:val="009B498A"/>
    <w:rsid w:val="009B55CE"/>
    <w:rsid w:val="009B6D80"/>
    <w:rsid w:val="009B77AD"/>
    <w:rsid w:val="009B7D34"/>
    <w:rsid w:val="009C0258"/>
    <w:rsid w:val="009C1505"/>
    <w:rsid w:val="009C39CD"/>
    <w:rsid w:val="009C4157"/>
    <w:rsid w:val="009C7020"/>
    <w:rsid w:val="009C7FA9"/>
    <w:rsid w:val="009C7FCF"/>
    <w:rsid w:val="009D05B3"/>
    <w:rsid w:val="009D18DA"/>
    <w:rsid w:val="009D18E7"/>
    <w:rsid w:val="009D3968"/>
    <w:rsid w:val="009D4929"/>
    <w:rsid w:val="009D59B2"/>
    <w:rsid w:val="009D695A"/>
    <w:rsid w:val="009D7239"/>
    <w:rsid w:val="009D7DE9"/>
    <w:rsid w:val="009E064D"/>
    <w:rsid w:val="009E0A2A"/>
    <w:rsid w:val="009E13AB"/>
    <w:rsid w:val="009E18BC"/>
    <w:rsid w:val="009E1D47"/>
    <w:rsid w:val="009E40AC"/>
    <w:rsid w:val="009E4551"/>
    <w:rsid w:val="009E4DD9"/>
    <w:rsid w:val="009E5051"/>
    <w:rsid w:val="009E5129"/>
    <w:rsid w:val="009E60E1"/>
    <w:rsid w:val="009E753F"/>
    <w:rsid w:val="009F043B"/>
    <w:rsid w:val="009F0A93"/>
    <w:rsid w:val="009F111D"/>
    <w:rsid w:val="009F2556"/>
    <w:rsid w:val="009F283E"/>
    <w:rsid w:val="009F32B5"/>
    <w:rsid w:val="009F4B81"/>
    <w:rsid w:val="009F706E"/>
    <w:rsid w:val="009F7859"/>
    <w:rsid w:val="00A023C6"/>
    <w:rsid w:val="00A03B63"/>
    <w:rsid w:val="00A042AF"/>
    <w:rsid w:val="00A07335"/>
    <w:rsid w:val="00A11BC5"/>
    <w:rsid w:val="00A15306"/>
    <w:rsid w:val="00A15908"/>
    <w:rsid w:val="00A16E56"/>
    <w:rsid w:val="00A171EC"/>
    <w:rsid w:val="00A2116B"/>
    <w:rsid w:val="00A21837"/>
    <w:rsid w:val="00A23296"/>
    <w:rsid w:val="00A23C08"/>
    <w:rsid w:val="00A252CF"/>
    <w:rsid w:val="00A252DE"/>
    <w:rsid w:val="00A25550"/>
    <w:rsid w:val="00A25DB8"/>
    <w:rsid w:val="00A26381"/>
    <w:rsid w:val="00A265F2"/>
    <w:rsid w:val="00A33BE1"/>
    <w:rsid w:val="00A33F2B"/>
    <w:rsid w:val="00A34554"/>
    <w:rsid w:val="00A355E2"/>
    <w:rsid w:val="00A35CFE"/>
    <w:rsid w:val="00A36656"/>
    <w:rsid w:val="00A37EA8"/>
    <w:rsid w:val="00A41317"/>
    <w:rsid w:val="00A42192"/>
    <w:rsid w:val="00A421CC"/>
    <w:rsid w:val="00A42399"/>
    <w:rsid w:val="00A426CA"/>
    <w:rsid w:val="00A427B5"/>
    <w:rsid w:val="00A42BA8"/>
    <w:rsid w:val="00A43937"/>
    <w:rsid w:val="00A44DA7"/>
    <w:rsid w:val="00A4535C"/>
    <w:rsid w:val="00A457C9"/>
    <w:rsid w:val="00A47188"/>
    <w:rsid w:val="00A51086"/>
    <w:rsid w:val="00A516F6"/>
    <w:rsid w:val="00A536D7"/>
    <w:rsid w:val="00A560E6"/>
    <w:rsid w:val="00A56A11"/>
    <w:rsid w:val="00A57552"/>
    <w:rsid w:val="00A61412"/>
    <w:rsid w:val="00A61973"/>
    <w:rsid w:val="00A61B75"/>
    <w:rsid w:val="00A62D78"/>
    <w:rsid w:val="00A62F8D"/>
    <w:rsid w:val="00A630D7"/>
    <w:rsid w:val="00A63531"/>
    <w:rsid w:val="00A647F1"/>
    <w:rsid w:val="00A66CAD"/>
    <w:rsid w:val="00A66E4E"/>
    <w:rsid w:val="00A66F96"/>
    <w:rsid w:val="00A7008B"/>
    <w:rsid w:val="00A713A3"/>
    <w:rsid w:val="00A71DAB"/>
    <w:rsid w:val="00A726F4"/>
    <w:rsid w:val="00A74D51"/>
    <w:rsid w:val="00A75809"/>
    <w:rsid w:val="00A80756"/>
    <w:rsid w:val="00A8269D"/>
    <w:rsid w:val="00A840C1"/>
    <w:rsid w:val="00A850B7"/>
    <w:rsid w:val="00A86213"/>
    <w:rsid w:val="00A86FF8"/>
    <w:rsid w:val="00A87B2C"/>
    <w:rsid w:val="00A90407"/>
    <w:rsid w:val="00A90A39"/>
    <w:rsid w:val="00A914E3"/>
    <w:rsid w:val="00A916EF"/>
    <w:rsid w:val="00A92333"/>
    <w:rsid w:val="00A93E66"/>
    <w:rsid w:val="00A95DA5"/>
    <w:rsid w:val="00AA1DAA"/>
    <w:rsid w:val="00AA4EAC"/>
    <w:rsid w:val="00AA543D"/>
    <w:rsid w:val="00AA5526"/>
    <w:rsid w:val="00AA5ED2"/>
    <w:rsid w:val="00AA743A"/>
    <w:rsid w:val="00AB1B55"/>
    <w:rsid w:val="00AB288A"/>
    <w:rsid w:val="00AB2BE1"/>
    <w:rsid w:val="00AB3902"/>
    <w:rsid w:val="00AB4922"/>
    <w:rsid w:val="00AC591E"/>
    <w:rsid w:val="00AC5F8C"/>
    <w:rsid w:val="00AC623C"/>
    <w:rsid w:val="00AC6515"/>
    <w:rsid w:val="00AD1AD4"/>
    <w:rsid w:val="00AD291D"/>
    <w:rsid w:val="00AD3884"/>
    <w:rsid w:val="00AD3A45"/>
    <w:rsid w:val="00AD3A83"/>
    <w:rsid w:val="00AE09F5"/>
    <w:rsid w:val="00AE15E6"/>
    <w:rsid w:val="00AE176C"/>
    <w:rsid w:val="00AE3E1C"/>
    <w:rsid w:val="00AE4AB3"/>
    <w:rsid w:val="00AE6645"/>
    <w:rsid w:val="00AE6BA9"/>
    <w:rsid w:val="00AF12BB"/>
    <w:rsid w:val="00AF15FF"/>
    <w:rsid w:val="00AF23C7"/>
    <w:rsid w:val="00AF3669"/>
    <w:rsid w:val="00AF4396"/>
    <w:rsid w:val="00AF45C2"/>
    <w:rsid w:val="00AF5891"/>
    <w:rsid w:val="00AF5A69"/>
    <w:rsid w:val="00AF662A"/>
    <w:rsid w:val="00AF7E30"/>
    <w:rsid w:val="00B0521C"/>
    <w:rsid w:val="00B06FD0"/>
    <w:rsid w:val="00B1034F"/>
    <w:rsid w:val="00B10C8D"/>
    <w:rsid w:val="00B119E2"/>
    <w:rsid w:val="00B123CF"/>
    <w:rsid w:val="00B12742"/>
    <w:rsid w:val="00B12867"/>
    <w:rsid w:val="00B12B33"/>
    <w:rsid w:val="00B12F44"/>
    <w:rsid w:val="00B14412"/>
    <w:rsid w:val="00B1608B"/>
    <w:rsid w:val="00B16268"/>
    <w:rsid w:val="00B2035E"/>
    <w:rsid w:val="00B20AD3"/>
    <w:rsid w:val="00B20D1B"/>
    <w:rsid w:val="00B21C62"/>
    <w:rsid w:val="00B241DE"/>
    <w:rsid w:val="00B26DF1"/>
    <w:rsid w:val="00B27F67"/>
    <w:rsid w:val="00B30003"/>
    <w:rsid w:val="00B30953"/>
    <w:rsid w:val="00B3095B"/>
    <w:rsid w:val="00B31001"/>
    <w:rsid w:val="00B3381F"/>
    <w:rsid w:val="00B344E7"/>
    <w:rsid w:val="00B36B47"/>
    <w:rsid w:val="00B36D00"/>
    <w:rsid w:val="00B36F65"/>
    <w:rsid w:val="00B41471"/>
    <w:rsid w:val="00B42FD2"/>
    <w:rsid w:val="00B45024"/>
    <w:rsid w:val="00B46AB8"/>
    <w:rsid w:val="00B519F4"/>
    <w:rsid w:val="00B559FB"/>
    <w:rsid w:val="00B569BB"/>
    <w:rsid w:val="00B56F79"/>
    <w:rsid w:val="00B570EC"/>
    <w:rsid w:val="00B5725F"/>
    <w:rsid w:val="00B60B7A"/>
    <w:rsid w:val="00B61200"/>
    <w:rsid w:val="00B62059"/>
    <w:rsid w:val="00B676D0"/>
    <w:rsid w:val="00B70423"/>
    <w:rsid w:val="00B704FA"/>
    <w:rsid w:val="00B70D8A"/>
    <w:rsid w:val="00B70DA8"/>
    <w:rsid w:val="00B71870"/>
    <w:rsid w:val="00B724BC"/>
    <w:rsid w:val="00B7350A"/>
    <w:rsid w:val="00B73898"/>
    <w:rsid w:val="00B74528"/>
    <w:rsid w:val="00B75106"/>
    <w:rsid w:val="00B7732F"/>
    <w:rsid w:val="00B81DC7"/>
    <w:rsid w:val="00B81FA1"/>
    <w:rsid w:val="00B82D6F"/>
    <w:rsid w:val="00B834A6"/>
    <w:rsid w:val="00B83DF5"/>
    <w:rsid w:val="00B8404A"/>
    <w:rsid w:val="00B84138"/>
    <w:rsid w:val="00B84A67"/>
    <w:rsid w:val="00B84BFA"/>
    <w:rsid w:val="00B86691"/>
    <w:rsid w:val="00B8781B"/>
    <w:rsid w:val="00B91BE1"/>
    <w:rsid w:val="00B94404"/>
    <w:rsid w:val="00BA218B"/>
    <w:rsid w:val="00BA2415"/>
    <w:rsid w:val="00BA2685"/>
    <w:rsid w:val="00BA4415"/>
    <w:rsid w:val="00BA4C77"/>
    <w:rsid w:val="00BA55F7"/>
    <w:rsid w:val="00BA5C9C"/>
    <w:rsid w:val="00BB094F"/>
    <w:rsid w:val="00BB21D0"/>
    <w:rsid w:val="00BB2459"/>
    <w:rsid w:val="00BB3140"/>
    <w:rsid w:val="00BB31B2"/>
    <w:rsid w:val="00BB395F"/>
    <w:rsid w:val="00BB4420"/>
    <w:rsid w:val="00BB76A9"/>
    <w:rsid w:val="00BC0872"/>
    <w:rsid w:val="00BC130C"/>
    <w:rsid w:val="00BC1713"/>
    <w:rsid w:val="00BC209F"/>
    <w:rsid w:val="00BC334D"/>
    <w:rsid w:val="00BC427B"/>
    <w:rsid w:val="00BD0B2D"/>
    <w:rsid w:val="00BD0B61"/>
    <w:rsid w:val="00BD0EA7"/>
    <w:rsid w:val="00BD188D"/>
    <w:rsid w:val="00BD2BF1"/>
    <w:rsid w:val="00BD2FC6"/>
    <w:rsid w:val="00BD3706"/>
    <w:rsid w:val="00BD3892"/>
    <w:rsid w:val="00BD5CE6"/>
    <w:rsid w:val="00BD75D8"/>
    <w:rsid w:val="00BE1EA7"/>
    <w:rsid w:val="00BE261F"/>
    <w:rsid w:val="00BE2722"/>
    <w:rsid w:val="00BE351E"/>
    <w:rsid w:val="00BE352B"/>
    <w:rsid w:val="00BE51FC"/>
    <w:rsid w:val="00BE6772"/>
    <w:rsid w:val="00BE6E29"/>
    <w:rsid w:val="00BF1332"/>
    <w:rsid w:val="00BF203B"/>
    <w:rsid w:val="00BF4A21"/>
    <w:rsid w:val="00BF5854"/>
    <w:rsid w:val="00BF63EA"/>
    <w:rsid w:val="00BF6F79"/>
    <w:rsid w:val="00BF756A"/>
    <w:rsid w:val="00BF7FFC"/>
    <w:rsid w:val="00C0028D"/>
    <w:rsid w:val="00C01B48"/>
    <w:rsid w:val="00C02D8D"/>
    <w:rsid w:val="00C06C10"/>
    <w:rsid w:val="00C06D11"/>
    <w:rsid w:val="00C072BA"/>
    <w:rsid w:val="00C07B3A"/>
    <w:rsid w:val="00C10B15"/>
    <w:rsid w:val="00C13524"/>
    <w:rsid w:val="00C14C2C"/>
    <w:rsid w:val="00C14FCF"/>
    <w:rsid w:val="00C1593D"/>
    <w:rsid w:val="00C163DA"/>
    <w:rsid w:val="00C1745B"/>
    <w:rsid w:val="00C230F9"/>
    <w:rsid w:val="00C27567"/>
    <w:rsid w:val="00C32225"/>
    <w:rsid w:val="00C325BF"/>
    <w:rsid w:val="00C328BF"/>
    <w:rsid w:val="00C3791B"/>
    <w:rsid w:val="00C37AC4"/>
    <w:rsid w:val="00C37E0C"/>
    <w:rsid w:val="00C414DB"/>
    <w:rsid w:val="00C41F6B"/>
    <w:rsid w:val="00C42D03"/>
    <w:rsid w:val="00C42EAD"/>
    <w:rsid w:val="00C44615"/>
    <w:rsid w:val="00C450C6"/>
    <w:rsid w:val="00C45808"/>
    <w:rsid w:val="00C4692C"/>
    <w:rsid w:val="00C474BD"/>
    <w:rsid w:val="00C475BB"/>
    <w:rsid w:val="00C476DA"/>
    <w:rsid w:val="00C47BE1"/>
    <w:rsid w:val="00C47D25"/>
    <w:rsid w:val="00C527D6"/>
    <w:rsid w:val="00C527F4"/>
    <w:rsid w:val="00C545AC"/>
    <w:rsid w:val="00C54D4F"/>
    <w:rsid w:val="00C57158"/>
    <w:rsid w:val="00C57C6A"/>
    <w:rsid w:val="00C60A97"/>
    <w:rsid w:val="00C60D56"/>
    <w:rsid w:val="00C616DA"/>
    <w:rsid w:val="00C62F65"/>
    <w:rsid w:val="00C63330"/>
    <w:rsid w:val="00C6496F"/>
    <w:rsid w:val="00C67403"/>
    <w:rsid w:val="00C701DA"/>
    <w:rsid w:val="00C717F5"/>
    <w:rsid w:val="00C72063"/>
    <w:rsid w:val="00C72FAD"/>
    <w:rsid w:val="00C7361C"/>
    <w:rsid w:val="00C739F9"/>
    <w:rsid w:val="00C740EF"/>
    <w:rsid w:val="00C75B9E"/>
    <w:rsid w:val="00C77BFA"/>
    <w:rsid w:val="00C82756"/>
    <w:rsid w:val="00C83698"/>
    <w:rsid w:val="00C85282"/>
    <w:rsid w:val="00C914F6"/>
    <w:rsid w:val="00C91FAB"/>
    <w:rsid w:val="00C9242E"/>
    <w:rsid w:val="00C9309D"/>
    <w:rsid w:val="00C94586"/>
    <w:rsid w:val="00C97BC7"/>
    <w:rsid w:val="00CA00A9"/>
    <w:rsid w:val="00CA09C2"/>
    <w:rsid w:val="00CA09F9"/>
    <w:rsid w:val="00CA1921"/>
    <w:rsid w:val="00CA2872"/>
    <w:rsid w:val="00CA353B"/>
    <w:rsid w:val="00CA3F8A"/>
    <w:rsid w:val="00CA3FCB"/>
    <w:rsid w:val="00CA4190"/>
    <w:rsid w:val="00CA5D24"/>
    <w:rsid w:val="00CA684A"/>
    <w:rsid w:val="00CA6EA7"/>
    <w:rsid w:val="00CA79FE"/>
    <w:rsid w:val="00CB0371"/>
    <w:rsid w:val="00CB1CDD"/>
    <w:rsid w:val="00CB2C70"/>
    <w:rsid w:val="00CB2D5D"/>
    <w:rsid w:val="00CB32EB"/>
    <w:rsid w:val="00CB4600"/>
    <w:rsid w:val="00CB52C4"/>
    <w:rsid w:val="00CB7289"/>
    <w:rsid w:val="00CC0DAD"/>
    <w:rsid w:val="00CC105F"/>
    <w:rsid w:val="00CC4FDF"/>
    <w:rsid w:val="00CC773E"/>
    <w:rsid w:val="00CD033C"/>
    <w:rsid w:val="00CD0685"/>
    <w:rsid w:val="00CD0B5A"/>
    <w:rsid w:val="00CD0C0A"/>
    <w:rsid w:val="00CD2315"/>
    <w:rsid w:val="00CD5C59"/>
    <w:rsid w:val="00CD5EC6"/>
    <w:rsid w:val="00CE09C3"/>
    <w:rsid w:val="00CE2918"/>
    <w:rsid w:val="00CE3941"/>
    <w:rsid w:val="00CE492B"/>
    <w:rsid w:val="00CE4B06"/>
    <w:rsid w:val="00CE52ED"/>
    <w:rsid w:val="00CE5835"/>
    <w:rsid w:val="00CE7B2F"/>
    <w:rsid w:val="00CF0EF3"/>
    <w:rsid w:val="00CF3A4E"/>
    <w:rsid w:val="00CF6D6C"/>
    <w:rsid w:val="00D003E5"/>
    <w:rsid w:val="00D0091A"/>
    <w:rsid w:val="00D00F3B"/>
    <w:rsid w:val="00D01168"/>
    <w:rsid w:val="00D01B1D"/>
    <w:rsid w:val="00D01B5C"/>
    <w:rsid w:val="00D03CC7"/>
    <w:rsid w:val="00D05D98"/>
    <w:rsid w:val="00D0722F"/>
    <w:rsid w:val="00D07EC3"/>
    <w:rsid w:val="00D10626"/>
    <w:rsid w:val="00D10ADC"/>
    <w:rsid w:val="00D11301"/>
    <w:rsid w:val="00D12F9B"/>
    <w:rsid w:val="00D13C9C"/>
    <w:rsid w:val="00D13CFF"/>
    <w:rsid w:val="00D13DEF"/>
    <w:rsid w:val="00D155EF"/>
    <w:rsid w:val="00D168AC"/>
    <w:rsid w:val="00D16D85"/>
    <w:rsid w:val="00D17709"/>
    <w:rsid w:val="00D21169"/>
    <w:rsid w:val="00D212C9"/>
    <w:rsid w:val="00D2178A"/>
    <w:rsid w:val="00D21FC4"/>
    <w:rsid w:val="00D25420"/>
    <w:rsid w:val="00D275EC"/>
    <w:rsid w:val="00D31F23"/>
    <w:rsid w:val="00D33C62"/>
    <w:rsid w:val="00D357FE"/>
    <w:rsid w:val="00D40A24"/>
    <w:rsid w:val="00D40AF3"/>
    <w:rsid w:val="00D441E8"/>
    <w:rsid w:val="00D45F5D"/>
    <w:rsid w:val="00D46713"/>
    <w:rsid w:val="00D47FF0"/>
    <w:rsid w:val="00D509E0"/>
    <w:rsid w:val="00D519E3"/>
    <w:rsid w:val="00D523F6"/>
    <w:rsid w:val="00D5365B"/>
    <w:rsid w:val="00D55120"/>
    <w:rsid w:val="00D560EE"/>
    <w:rsid w:val="00D562E2"/>
    <w:rsid w:val="00D57EAF"/>
    <w:rsid w:val="00D645FC"/>
    <w:rsid w:val="00D65E7E"/>
    <w:rsid w:val="00D65F31"/>
    <w:rsid w:val="00D70A91"/>
    <w:rsid w:val="00D71D15"/>
    <w:rsid w:val="00D738A2"/>
    <w:rsid w:val="00D76097"/>
    <w:rsid w:val="00D765B5"/>
    <w:rsid w:val="00D76D49"/>
    <w:rsid w:val="00D803F7"/>
    <w:rsid w:val="00D8096F"/>
    <w:rsid w:val="00D821A8"/>
    <w:rsid w:val="00D82D29"/>
    <w:rsid w:val="00D83B52"/>
    <w:rsid w:val="00D84325"/>
    <w:rsid w:val="00D85C92"/>
    <w:rsid w:val="00D90E15"/>
    <w:rsid w:val="00D928B8"/>
    <w:rsid w:val="00D93F9E"/>
    <w:rsid w:val="00D94E13"/>
    <w:rsid w:val="00D963E4"/>
    <w:rsid w:val="00D97445"/>
    <w:rsid w:val="00DA0340"/>
    <w:rsid w:val="00DA1D00"/>
    <w:rsid w:val="00DA2E37"/>
    <w:rsid w:val="00DA3991"/>
    <w:rsid w:val="00DA50F9"/>
    <w:rsid w:val="00DA5A6B"/>
    <w:rsid w:val="00DA7145"/>
    <w:rsid w:val="00DB19A8"/>
    <w:rsid w:val="00DB1D03"/>
    <w:rsid w:val="00DB2196"/>
    <w:rsid w:val="00DB5ECE"/>
    <w:rsid w:val="00DC12AA"/>
    <w:rsid w:val="00DC1522"/>
    <w:rsid w:val="00DC2E61"/>
    <w:rsid w:val="00DC33C9"/>
    <w:rsid w:val="00DC47AB"/>
    <w:rsid w:val="00DC4908"/>
    <w:rsid w:val="00DC4ECF"/>
    <w:rsid w:val="00DC6CDC"/>
    <w:rsid w:val="00DC7458"/>
    <w:rsid w:val="00DD1303"/>
    <w:rsid w:val="00DD1CCE"/>
    <w:rsid w:val="00DD386C"/>
    <w:rsid w:val="00DD47EC"/>
    <w:rsid w:val="00DD5024"/>
    <w:rsid w:val="00DD522F"/>
    <w:rsid w:val="00DD586A"/>
    <w:rsid w:val="00DD671B"/>
    <w:rsid w:val="00DD68E6"/>
    <w:rsid w:val="00DD76F3"/>
    <w:rsid w:val="00DE1132"/>
    <w:rsid w:val="00DE2A3C"/>
    <w:rsid w:val="00DE3A33"/>
    <w:rsid w:val="00DE4334"/>
    <w:rsid w:val="00DE46F6"/>
    <w:rsid w:val="00DE5E8C"/>
    <w:rsid w:val="00DE6D7D"/>
    <w:rsid w:val="00DE73CA"/>
    <w:rsid w:val="00DF21A7"/>
    <w:rsid w:val="00DF22A1"/>
    <w:rsid w:val="00DF2BF2"/>
    <w:rsid w:val="00DF436C"/>
    <w:rsid w:val="00DF595C"/>
    <w:rsid w:val="00DF5D99"/>
    <w:rsid w:val="00DF5D9A"/>
    <w:rsid w:val="00E0072E"/>
    <w:rsid w:val="00E01C28"/>
    <w:rsid w:val="00E01D39"/>
    <w:rsid w:val="00E04854"/>
    <w:rsid w:val="00E064B7"/>
    <w:rsid w:val="00E107A3"/>
    <w:rsid w:val="00E10E38"/>
    <w:rsid w:val="00E123D8"/>
    <w:rsid w:val="00E127DC"/>
    <w:rsid w:val="00E128FD"/>
    <w:rsid w:val="00E13056"/>
    <w:rsid w:val="00E13D28"/>
    <w:rsid w:val="00E155B1"/>
    <w:rsid w:val="00E15CB5"/>
    <w:rsid w:val="00E171E0"/>
    <w:rsid w:val="00E21682"/>
    <w:rsid w:val="00E248A1"/>
    <w:rsid w:val="00E24AE9"/>
    <w:rsid w:val="00E24FC2"/>
    <w:rsid w:val="00E272AC"/>
    <w:rsid w:val="00E2782C"/>
    <w:rsid w:val="00E27DAF"/>
    <w:rsid w:val="00E27E6A"/>
    <w:rsid w:val="00E30A8E"/>
    <w:rsid w:val="00E30C66"/>
    <w:rsid w:val="00E31DCC"/>
    <w:rsid w:val="00E31F08"/>
    <w:rsid w:val="00E32A77"/>
    <w:rsid w:val="00E35211"/>
    <w:rsid w:val="00E35F06"/>
    <w:rsid w:val="00E36922"/>
    <w:rsid w:val="00E37F02"/>
    <w:rsid w:val="00E40E1A"/>
    <w:rsid w:val="00E419C5"/>
    <w:rsid w:val="00E420DF"/>
    <w:rsid w:val="00E428D7"/>
    <w:rsid w:val="00E435B3"/>
    <w:rsid w:val="00E43AF5"/>
    <w:rsid w:val="00E44D99"/>
    <w:rsid w:val="00E463C3"/>
    <w:rsid w:val="00E47433"/>
    <w:rsid w:val="00E47CAD"/>
    <w:rsid w:val="00E47CAE"/>
    <w:rsid w:val="00E5150A"/>
    <w:rsid w:val="00E535FA"/>
    <w:rsid w:val="00E55433"/>
    <w:rsid w:val="00E60DFF"/>
    <w:rsid w:val="00E61C20"/>
    <w:rsid w:val="00E63054"/>
    <w:rsid w:val="00E704BB"/>
    <w:rsid w:val="00E704EB"/>
    <w:rsid w:val="00E7077D"/>
    <w:rsid w:val="00E70A9D"/>
    <w:rsid w:val="00E72A73"/>
    <w:rsid w:val="00E7348C"/>
    <w:rsid w:val="00E738B8"/>
    <w:rsid w:val="00E75261"/>
    <w:rsid w:val="00E75DA4"/>
    <w:rsid w:val="00E76DE9"/>
    <w:rsid w:val="00E76EF4"/>
    <w:rsid w:val="00E77371"/>
    <w:rsid w:val="00E81324"/>
    <w:rsid w:val="00E81ECB"/>
    <w:rsid w:val="00E8326D"/>
    <w:rsid w:val="00E85CD1"/>
    <w:rsid w:val="00E90A4A"/>
    <w:rsid w:val="00E90BE2"/>
    <w:rsid w:val="00E927F1"/>
    <w:rsid w:val="00E931FE"/>
    <w:rsid w:val="00E9361B"/>
    <w:rsid w:val="00E938DA"/>
    <w:rsid w:val="00E9577E"/>
    <w:rsid w:val="00E95B0A"/>
    <w:rsid w:val="00E97DFF"/>
    <w:rsid w:val="00EA00C8"/>
    <w:rsid w:val="00EA0F14"/>
    <w:rsid w:val="00EA2FAB"/>
    <w:rsid w:val="00EA3350"/>
    <w:rsid w:val="00EA4BD0"/>
    <w:rsid w:val="00EA68B8"/>
    <w:rsid w:val="00EA7FF9"/>
    <w:rsid w:val="00EB0262"/>
    <w:rsid w:val="00EB0B00"/>
    <w:rsid w:val="00EB2A07"/>
    <w:rsid w:val="00EB2A59"/>
    <w:rsid w:val="00EB3FAF"/>
    <w:rsid w:val="00EC0A0E"/>
    <w:rsid w:val="00EC2564"/>
    <w:rsid w:val="00EC357C"/>
    <w:rsid w:val="00EC3F07"/>
    <w:rsid w:val="00EC5C06"/>
    <w:rsid w:val="00EC657D"/>
    <w:rsid w:val="00EC6A38"/>
    <w:rsid w:val="00EC7926"/>
    <w:rsid w:val="00ED0147"/>
    <w:rsid w:val="00ED1985"/>
    <w:rsid w:val="00ED25BB"/>
    <w:rsid w:val="00ED327B"/>
    <w:rsid w:val="00ED3720"/>
    <w:rsid w:val="00ED5065"/>
    <w:rsid w:val="00ED519B"/>
    <w:rsid w:val="00ED6510"/>
    <w:rsid w:val="00ED6E29"/>
    <w:rsid w:val="00ED7779"/>
    <w:rsid w:val="00ED7957"/>
    <w:rsid w:val="00EE3DA1"/>
    <w:rsid w:val="00EE3E1E"/>
    <w:rsid w:val="00EE422B"/>
    <w:rsid w:val="00EE4BA7"/>
    <w:rsid w:val="00EE5D52"/>
    <w:rsid w:val="00EE65D3"/>
    <w:rsid w:val="00EE68B1"/>
    <w:rsid w:val="00EE6D44"/>
    <w:rsid w:val="00EF1484"/>
    <w:rsid w:val="00EF21A3"/>
    <w:rsid w:val="00EF2482"/>
    <w:rsid w:val="00EF36E1"/>
    <w:rsid w:val="00EF70F9"/>
    <w:rsid w:val="00EF7888"/>
    <w:rsid w:val="00EF7BC4"/>
    <w:rsid w:val="00EF7E3F"/>
    <w:rsid w:val="00F01C08"/>
    <w:rsid w:val="00F04212"/>
    <w:rsid w:val="00F04CD2"/>
    <w:rsid w:val="00F1031D"/>
    <w:rsid w:val="00F14768"/>
    <w:rsid w:val="00F16264"/>
    <w:rsid w:val="00F16303"/>
    <w:rsid w:val="00F16BB3"/>
    <w:rsid w:val="00F17015"/>
    <w:rsid w:val="00F20975"/>
    <w:rsid w:val="00F21AC8"/>
    <w:rsid w:val="00F225D9"/>
    <w:rsid w:val="00F22FCB"/>
    <w:rsid w:val="00F23D61"/>
    <w:rsid w:val="00F2404A"/>
    <w:rsid w:val="00F24D04"/>
    <w:rsid w:val="00F2675D"/>
    <w:rsid w:val="00F278BF"/>
    <w:rsid w:val="00F27BD9"/>
    <w:rsid w:val="00F311DE"/>
    <w:rsid w:val="00F3309F"/>
    <w:rsid w:val="00F337C3"/>
    <w:rsid w:val="00F33ABB"/>
    <w:rsid w:val="00F3585A"/>
    <w:rsid w:val="00F36053"/>
    <w:rsid w:val="00F40644"/>
    <w:rsid w:val="00F41587"/>
    <w:rsid w:val="00F42462"/>
    <w:rsid w:val="00F4427A"/>
    <w:rsid w:val="00F47EEA"/>
    <w:rsid w:val="00F5035D"/>
    <w:rsid w:val="00F5242C"/>
    <w:rsid w:val="00F52739"/>
    <w:rsid w:val="00F55E4A"/>
    <w:rsid w:val="00F55E5C"/>
    <w:rsid w:val="00F55FEA"/>
    <w:rsid w:val="00F56A15"/>
    <w:rsid w:val="00F57C2E"/>
    <w:rsid w:val="00F63655"/>
    <w:rsid w:val="00F640D2"/>
    <w:rsid w:val="00F6602D"/>
    <w:rsid w:val="00F663FC"/>
    <w:rsid w:val="00F674AB"/>
    <w:rsid w:val="00F71347"/>
    <w:rsid w:val="00F775A2"/>
    <w:rsid w:val="00F776D2"/>
    <w:rsid w:val="00F80F76"/>
    <w:rsid w:val="00F81BC0"/>
    <w:rsid w:val="00F8248F"/>
    <w:rsid w:val="00F839CC"/>
    <w:rsid w:val="00F83D8A"/>
    <w:rsid w:val="00F84BCC"/>
    <w:rsid w:val="00F861FC"/>
    <w:rsid w:val="00F877A3"/>
    <w:rsid w:val="00F91BE0"/>
    <w:rsid w:val="00F9268D"/>
    <w:rsid w:val="00F92D3C"/>
    <w:rsid w:val="00F935C2"/>
    <w:rsid w:val="00F9360A"/>
    <w:rsid w:val="00F93873"/>
    <w:rsid w:val="00F95A0F"/>
    <w:rsid w:val="00F97B7B"/>
    <w:rsid w:val="00FA2A5D"/>
    <w:rsid w:val="00FA323C"/>
    <w:rsid w:val="00FA3CAE"/>
    <w:rsid w:val="00FA4581"/>
    <w:rsid w:val="00FA62F4"/>
    <w:rsid w:val="00FB0F58"/>
    <w:rsid w:val="00FB12F4"/>
    <w:rsid w:val="00FB2B2C"/>
    <w:rsid w:val="00FB3B5D"/>
    <w:rsid w:val="00FB3DE6"/>
    <w:rsid w:val="00FB4564"/>
    <w:rsid w:val="00FB45E6"/>
    <w:rsid w:val="00FB5636"/>
    <w:rsid w:val="00FB6AEB"/>
    <w:rsid w:val="00FB79DC"/>
    <w:rsid w:val="00FC1F2E"/>
    <w:rsid w:val="00FC24FA"/>
    <w:rsid w:val="00FC5751"/>
    <w:rsid w:val="00FC6163"/>
    <w:rsid w:val="00FD186C"/>
    <w:rsid w:val="00FD4AA2"/>
    <w:rsid w:val="00FD4E9A"/>
    <w:rsid w:val="00FD4EA8"/>
    <w:rsid w:val="00FD5BDB"/>
    <w:rsid w:val="00FD6545"/>
    <w:rsid w:val="00FD77F1"/>
    <w:rsid w:val="00FD7BFB"/>
    <w:rsid w:val="00FE179C"/>
    <w:rsid w:val="00FE19D9"/>
    <w:rsid w:val="00FE3E2C"/>
    <w:rsid w:val="00FF14B4"/>
    <w:rsid w:val="00FF1656"/>
    <w:rsid w:val="00FF17EF"/>
    <w:rsid w:val="00FF2E4D"/>
    <w:rsid w:val="00FF7D17"/>
    <w:rsid w:val="310C0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6291"/>
  <w15:chartTrackingRefBased/>
  <w15:docId w15:val="{C8393804-9038-4EDE-8216-A923A8CF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45024"/>
    <w:pPr>
      <w:numPr>
        <w:numId w:val="14"/>
      </w:numPr>
      <w:spacing w:after="240" w:line="240" w:lineRule="auto"/>
      <w:textAlignment w:val="baseline"/>
      <w:outlineLvl w:val="0"/>
    </w:pPr>
    <w:rPr>
      <w:rFonts w:ascii="Arial" w:eastAsia="Times New Roman" w:hAnsi="Arial" w:cs="Arial"/>
      <w:b/>
      <w:bCs/>
      <w:sz w:val="24"/>
      <w:szCs w:val="24"/>
    </w:rPr>
  </w:style>
  <w:style w:type="paragraph" w:styleId="Heading2">
    <w:name w:val="heading 2"/>
    <w:basedOn w:val="NoSpacing"/>
    <w:next w:val="Normal"/>
    <w:link w:val="Heading2Char"/>
    <w:uiPriority w:val="9"/>
    <w:unhideWhenUsed/>
    <w:qFormat/>
    <w:rsid w:val="00B45024"/>
    <w:pPr>
      <w:numPr>
        <w:numId w:val="3"/>
      </w:numPr>
      <w:spacing w:after="240"/>
      <w:outlineLvl w:val="1"/>
    </w:pPr>
    <w:rPr>
      <w:rFonts w:ascii="Arial" w:hAnsi="Arial" w:cs="Arial"/>
      <w:b/>
      <w:bCs/>
      <w:sz w:val="24"/>
      <w:szCs w:val="24"/>
    </w:rPr>
  </w:style>
  <w:style w:type="paragraph" w:styleId="Heading3">
    <w:name w:val="heading 3"/>
    <w:basedOn w:val="NoSpacing"/>
    <w:next w:val="Normal"/>
    <w:link w:val="Heading3Char"/>
    <w:uiPriority w:val="9"/>
    <w:unhideWhenUsed/>
    <w:qFormat/>
    <w:rsid w:val="00B45024"/>
    <w:pPr>
      <w:numPr>
        <w:ilvl w:val="1"/>
        <w:numId w:val="3"/>
      </w:numPr>
      <w:spacing w:after="240"/>
      <w:outlineLvl w:val="2"/>
    </w:pPr>
    <w:rPr>
      <w:rFonts w:ascii="Arial" w:hAnsi="Arial" w:cs="Arial"/>
      <w:b/>
      <w:bCs/>
      <w:i/>
      <w:iCs/>
      <w:sz w:val="24"/>
      <w:szCs w:val="24"/>
    </w:rPr>
  </w:style>
  <w:style w:type="paragraph" w:styleId="Heading4">
    <w:name w:val="heading 4"/>
    <w:basedOn w:val="Normal"/>
    <w:next w:val="Normal"/>
    <w:link w:val="Heading4Char"/>
    <w:uiPriority w:val="9"/>
    <w:unhideWhenUsed/>
    <w:qFormat/>
    <w:rsid w:val="007C6BC9"/>
    <w:pPr>
      <w:numPr>
        <w:ilvl w:val="2"/>
        <w:numId w:val="3"/>
      </w:numPr>
      <w:spacing w:after="240" w:line="240" w:lineRule="auto"/>
      <w:jc w:val="both"/>
      <w:textAlignment w:val="baseline"/>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95F"/>
    <w:rPr>
      <w:rFonts w:ascii="Segoe UI" w:hAnsi="Segoe UI" w:cs="Segoe UI"/>
      <w:sz w:val="18"/>
      <w:szCs w:val="18"/>
    </w:rPr>
  </w:style>
  <w:style w:type="paragraph" w:styleId="FootnoteText">
    <w:name w:val="footnote text"/>
    <w:basedOn w:val="Normal"/>
    <w:link w:val="FootnoteTextChar"/>
    <w:uiPriority w:val="99"/>
    <w:unhideWhenUsed/>
    <w:rsid w:val="00BE352B"/>
    <w:pPr>
      <w:spacing w:after="0" w:line="240" w:lineRule="auto"/>
    </w:pPr>
    <w:rPr>
      <w:sz w:val="20"/>
      <w:szCs w:val="20"/>
    </w:rPr>
  </w:style>
  <w:style w:type="character" w:customStyle="1" w:styleId="FootnoteTextChar">
    <w:name w:val="Footnote Text Char"/>
    <w:basedOn w:val="DefaultParagraphFont"/>
    <w:link w:val="FootnoteText"/>
    <w:uiPriority w:val="99"/>
    <w:rsid w:val="00BE352B"/>
    <w:rPr>
      <w:sz w:val="20"/>
      <w:szCs w:val="20"/>
    </w:rPr>
  </w:style>
  <w:style w:type="character" w:styleId="FootnoteReference">
    <w:name w:val="footnote reference"/>
    <w:basedOn w:val="DefaultParagraphFont"/>
    <w:uiPriority w:val="99"/>
    <w:semiHidden/>
    <w:unhideWhenUsed/>
    <w:rsid w:val="00BE352B"/>
    <w:rPr>
      <w:vertAlign w:val="superscript"/>
    </w:rPr>
  </w:style>
  <w:style w:type="paragraph" w:styleId="ListParagraph">
    <w:name w:val="List Paragraph"/>
    <w:basedOn w:val="Normal"/>
    <w:uiPriority w:val="34"/>
    <w:qFormat/>
    <w:rsid w:val="000B5BFE"/>
    <w:pPr>
      <w:ind w:left="720"/>
      <w:contextualSpacing/>
    </w:pPr>
  </w:style>
  <w:style w:type="table" w:styleId="TableGrid">
    <w:name w:val="Table Grid"/>
    <w:basedOn w:val="TableNormal"/>
    <w:uiPriority w:val="39"/>
    <w:rsid w:val="004D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72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24EB"/>
  </w:style>
  <w:style w:type="character" w:customStyle="1" w:styleId="eop">
    <w:name w:val="eop"/>
    <w:basedOn w:val="DefaultParagraphFont"/>
    <w:rsid w:val="002724EB"/>
  </w:style>
  <w:style w:type="character" w:styleId="Hyperlink">
    <w:name w:val="Hyperlink"/>
    <w:basedOn w:val="DefaultParagraphFont"/>
    <w:uiPriority w:val="99"/>
    <w:unhideWhenUsed/>
    <w:rsid w:val="002724EB"/>
    <w:rPr>
      <w:color w:val="0563C1" w:themeColor="hyperlink"/>
      <w:u w:val="single"/>
    </w:rPr>
  </w:style>
  <w:style w:type="character" w:styleId="UnresolvedMention">
    <w:name w:val="Unresolved Mention"/>
    <w:basedOn w:val="DefaultParagraphFont"/>
    <w:uiPriority w:val="99"/>
    <w:semiHidden/>
    <w:unhideWhenUsed/>
    <w:rsid w:val="002724EB"/>
    <w:rPr>
      <w:color w:val="605E5C"/>
      <w:shd w:val="clear" w:color="auto" w:fill="E1DFDD"/>
    </w:rPr>
  </w:style>
  <w:style w:type="character" w:customStyle="1" w:styleId="Heading1Char">
    <w:name w:val="Heading 1 Char"/>
    <w:basedOn w:val="DefaultParagraphFont"/>
    <w:link w:val="Heading1"/>
    <w:uiPriority w:val="9"/>
    <w:rsid w:val="00B45024"/>
    <w:rPr>
      <w:rFonts w:ascii="Arial" w:eastAsia="Times New Roman" w:hAnsi="Arial" w:cs="Arial"/>
      <w:b/>
      <w:bCs/>
      <w:sz w:val="24"/>
      <w:szCs w:val="24"/>
    </w:rPr>
  </w:style>
  <w:style w:type="paragraph" w:styleId="Header">
    <w:name w:val="header"/>
    <w:basedOn w:val="Normal"/>
    <w:link w:val="HeaderChar"/>
    <w:uiPriority w:val="99"/>
    <w:unhideWhenUsed/>
    <w:rsid w:val="003F5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03F"/>
  </w:style>
  <w:style w:type="paragraph" w:styleId="Footer">
    <w:name w:val="footer"/>
    <w:basedOn w:val="Normal"/>
    <w:link w:val="FooterChar"/>
    <w:uiPriority w:val="99"/>
    <w:unhideWhenUsed/>
    <w:rsid w:val="003F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03F"/>
  </w:style>
  <w:style w:type="paragraph" w:styleId="NoSpacing">
    <w:name w:val="No Spacing"/>
    <w:uiPriority w:val="1"/>
    <w:qFormat/>
    <w:rsid w:val="003F503F"/>
    <w:pPr>
      <w:spacing w:after="0" w:line="240" w:lineRule="auto"/>
    </w:pPr>
  </w:style>
  <w:style w:type="character" w:customStyle="1" w:styleId="Heading2Char">
    <w:name w:val="Heading 2 Char"/>
    <w:basedOn w:val="DefaultParagraphFont"/>
    <w:link w:val="Heading2"/>
    <w:uiPriority w:val="9"/>
    <w:rsid w:val="00B45024"/>
    <w:rPr>
      <w:rFonts w:ascii="Arial" w:hAnsi="Arial" w:cs="Arial"/>
      <w:b/>
      <w:bCs/>
      <w:sz w:val="24"/>
      <w:szCs w:val="24"/>
    </w:rPr>
  </w:style>
  <w:style w:type="character" w:customStyle="1" w:styleId="Heading3Char">
    <w:name w:val="Heading 3 Char"/>
    <w:basedOn w:val="DefaultParagraphFont"/>
    <w:link w:val="Heading3"/>
    <w:uiPriority w:val="9"/>
    <w:rsid w:val="00B45024"/>
    <w:rPr>
      <w:rFonts w:ascii="Arial" w:hAnsi="Arial" w:cs="Arial"/>
      <w:b/>
      <w:bCs/>
      <w:i/>
      <w:iCs/>
      <w:sz w:val="24"/>
      <w:szCs w:val="24"/>
    </w:rPr>
  </w:style>
  <w:style w:type="character" w:customStyle="1" w:styleId="Heading4Char">
    <w:name w:val="Heading 4 Char"/>
    <w:basedOn w:val="DefaultParagraphFont"/>
    <w:link w:val="Heading4"/>
    <w:uiPriority w:val="9"/>
    <w:rsid w:val="007C6BC9"/>
    <w:rPr>
      <w:rFonts w:ascii="Arial" w:eastAsia="Times New Roman" w:hAnsi="Arial" w:cs="Arial"/>
      <w:i/>
      <w:iCs/>
      <w:sz w:val="24"/>
      <w:szCs w:val="24"/>
    </w:rPr>
  </w:style>
  <w:style w:type="character" w:styleId="CommentReference">
    <w:name w:val="annotation reference"/>
    <w:basedOn w:val="DefaultParagraphFont"/>
    <w:uiPriority w:val="99"/>
    <w:semiHidden/>
    <w:unhideWhenUsed/>
    <w:rsid w:val="005319EA"/>
    <w:rPr>
      <w:sz w:val="16"/>
      <w:szCs w:val="16"/>
    </w:rPr>
  </w:style>
  <w:style w:type="paragraph" w:styleId="CommentText">
    <w:name w:val="annotation text"/>
    <w:basedOn w:val="Normal"/>
    <w:link w:val="CommentTextChar"/>
    <w:uiPriority w:val="99"/>
    <w:unhideWhenUsed/>
    <w:rsid w:val="005319EA"/>
    <w:pPr>
      <w:spacing w:line="240" w:lineRule="auto"/>
    </w:pPr>
    <w:rPr>
      <w:sz w:val="20"/>
      <w:szCs w:val="20"/>
    </w:rPr>
  </w:style>
  <w:style w:type="character" w:customStyle="1" w:styleId="CommentTextChar">
    <w:name w:val="Comment Text Char"/>
    <w:basedOn w:val="DefaultParagraphFont"/>
    <w:link w:val="CommentText"/>
    <w:uiPriority w:val="99"/>
    <w:rsid w:val="005319EA"/>
    <w:rPr>
      <w:sz w:val="20"/>
      <w:szCs w:val="20"/>
    </w:rPr>
  </w:style>
  <w:style w:type="paragraph" w:styleId="CommentSubject">
    <w:name w:val="annotation subject"/>
    <w:basedOn w:val="CommentText"/>
    <w:next w:val="CommentText"/>
    <w:link w:val="CommentSubjectChar"/>
    <w:uiPriority w:val="99"/>
    <w:semiHidden/>
    <w:unhideWhenUsed/>
    <w:rsid w:val="005319EA"/>
    <w:rPr>
      <w:b/>
      <w:bCs/>
    </w:rPr>
  </w:style>
  <w:style w:type="character" w:customStyle="1" w:styleId="CommentSubjectChar">
    <w:name w:val="Comment Subject Char"/>
    <w:basedOn w:val="CommentTextChar"/>
    <w:link w:val="CommentSubject"/>
    <w:uiPriority w:val="99"/>
    <w:semiHidden/>
    <w:rsid w:val="005319EA"/>
    <w:rPr>
      <w:b/>
      <w:bCs/>
      <w:sz w:val="20"/>
      <w:szCs w:val="20"/>
    </w:rPr>
  </w:style>
  <w:style w:type="paragraph" w:customStyle="1" w:styleId="first-paragraph">
    <w:name w:val="first-paragraph"/>
    <w:basedOn w:val="Normal"/>
    <w:rsid w:val="005319E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C7020"/>
    <w:rPr>
      <w:color w:val="954F72" w:themeColor="followedHyperlink"/>
      <w:u w:val="single"/>
    </w:rPr>
  </w:style>
  <w:style w:type="paragraph" w:styleId="TOC2">
    <w:name w:val="toc 2"/>
    <w:basedOn w:val="Normal"/>
    <w:next w:val="Normal"/>
    <w:autoRedefine/>
    <w:uiPriority w:val="39"/>
    <w:unhideWhenUsed/>
    <w:rsid w:val="00C616DA"/>
    <w:pPr>
      <w:tabs>
        <w:tab w:val="right" w:leader="dot" w:pos="9350"/>
      </w:tabs>
      <w:spacing w:before="120" w:after="120"/>
      <w:ind w:left="936" w:right="576" w:hanging="720"/>
      <w:jc w:val="both"/>
    </w:pPr>
    <w:rPr>
      <w:rFonts w:ascii="Arial" w:hAnsi="Arial" w:cstheme="minorHAnsi"/>
      <w:b/>
      <w:iCs/>
      <w:sz w:val="24"/>
      <w:szCs w:val="20"/>
    </w:rPr>
  </w:style>
  <w:style w:type="paragraph" w:styleId="TOC1">
    <w:name w:val="toc 1"/>
    <w:basedOn w:val="Normal"/>
    <w:next w:val="Normal"/>
    <w:autoRedefine/>
    <w:uiPriority w:val="39"/>
    <w:unhideWhenUsed/>
    <w:rsid w:val="001666CB"/>
    <w:pPr>
      <w:spacing w:before="120" w:after="120" w:line="240" w:lineRule="auto"/>
    </w:pPr>
    <w:rPr>
      <w:rFonts w:ascii="Arial" w:hAnsi="Arial" w:cstheme="minorHAnsi"/>
      <w:b/>
      <w:bCs/>
      <w:sz w:val="24"/>
      <w:szCs w:val="20"/>
    </w:rPr>
  </w:style>
  <w:style w:type="paragraph" w:styleId="TOC3">
    <w:name w:val="toc 3"/>
    <w:basedOn w:val="Normal"/>
    <w:next w:val="Normal"/>
    <w:autoRedefine/>
    <w:uiPriority w:val="39"/>
    <w:unhideWhenUsed/>
    <w:rsid w:val="00B26DF1"/>
    <w:pPr>
      <w:spacing w:after="120" w:line="240" w:lineRule="auto"/>
      <w:ind w:left="1166" w:right="576" w:hanging="720"/>
      <w:jc w:val="both"/>
    </w:pPr>
    <w:rPr>
      <w:rFonts w:ascii="Arial" w:hAnsi="Arial" w:cstheme="minorHAnsi"/>
      <w:i/>
      <w:sz w:val="24"/>
      <w:szCs w:val="20"/>
    </w:rPr>
  </w:style>
  <w:style w:type="paragraph" w:styleId="TOC4">
    <w:name w:val="toc 4"/>
    <w:basedOn w:val="Normal"/>
    <w:next w:val="Normal"/>
    <w:autoRedefine/>
    <w:uiPriority w:val="39"/>
    <w:unhideWhenUsed/>
    <w:rsid w:val="001209E8"/>
    <w:pPr>
      <w:spacing w:after="0"/>
      <w:ind w:left="660"/>
    </w:pPr>
    <w:rPr>
      <w:rFonts w:cstheme="minorHAnsi"/>
      <w:sz w:val="20"/>
      <w:szCs w:val="20"/>
    </w:rPr>
  </w:style>
  <w:style w:type="paragraph" w:styleId="TOC5">
    <w:name w:val="toc 5"/>
    <w:basedOn w:val="Normal"/>
    <w:next w:val="Normal"/>
    <w:autoRedefine/>
    <w:uiPriority w:val="39"/>
    <w:unhideWhenUsed/>
    <w:rsid w:val="001209E8"/>
    <w:pPr>
      <w:spacing w:after="0"/>
      <w:ind w:left="880"/>
    </w:pPr>
    <w:rPr>
      <w:rFonts w:cstheme="minorHAnsi"/>
      <w:sz w:val="20"/>
      <w:szCs w:val="20"/>
    </w:rPr>
  </w:style>
  <w:style w:type="paragraph" w:styleId="TOC6">
    <w:name w:val="toc 6"/>
    <w:basedOn w:val="Normal"/>
    <w:next w:val="Normal"/>
    <w:autoRedefine/>
    <w:uiPriority w:val="39"/>
    <w:unhideWhenUsed/>
    <w:rsid w:val="001209E8"/>
    <w:pPr>
      <w:spacing w:after="0"/>
      <w:ind w:left="1100"/>
    </w:pPr>
    <w:rPr>
      <w:rFonts w:cstheme="minorHAnsi"/>
      <w:sz w:val="20"/>
      <w:szCs w:val="20"/>
    </w:rPr>
  </w:style>
  <w:style w:type="paragraph" w:styleId="TOC7">
    <w:name w:val="toc 7"/>
    <w:basedOn w:val="Normal"/>
    <w:next w:val="Normal"/>
    <w:autoRedefine/>
    <w:uiPriority w:val="39"/>
    <w:unhideWhenUsed/>
    <w:rsid w:val="001209E8"/>
    <w:pPr>
      <w:spacing w:after="0"/>
      <w:ind w:left="1320"/>
    </w:pPr>
    <w:rPr>
      <w:rFonts w:cstheme="minorHAnsi"/>
      <w:sz w:val="20"/>
      <w:szCs w:val="20"/>
    </w:rPr>
  </w:style>
  <w:style w:type="paragraph" w:styleId="TOC8">
    <w:name w:val="toc 8"/>
    <w:basedOn w:val="Normal"/>
    <w:next w:val="Normal"/>
    <w:autoRedefine/>
    <w:uiPriority w:val="39"/>
    <w:unhideWhenUsed/>
    <w:rsid w:val="001209E8"/>
    <w:pPr>
      <w:spacing w:after="0"/>
      <w:ind w:left="1540"/>
    </w:pPr>
    <w:rPr>
      <w:rFonts w:cstheme="minorHAnsi"/>
      <w:sz w:val="20"/>
      <w:szCs w:val="20"/>
    </w:rPr>
  </w:style>
  <w:style w:type="paragraph" w:styleId="TOC9">
    <w:name w:val="toc 9"/>
    <w:basedOn w:val="Normal"/>
    <w:next w:val="Normal"/>
    <w:autoRedefine/>
    <w:uiPriority w:val="39"/>
    <w:unhideWhenUsed/>
    <w:rsid w:val="001209E8"/>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2053">
      <w:bodyDiv w:val="1"/>
      <w:marLeft w:val="0"/>
      <w:marRight w:val="0"/>
      <w:marTop w:val="0"/>
      <w:marBottom w:val="0"/>
      <w:divBdr>
        <w:top w:val="none" w:sz="0" w:space="0" w:color="auto"/>
        <w:left w:val="none" w:sz="0" w:space="0" w:color="auto"/>
        <w:bottom w:val="none" w:sz="0" w:space="0" w:color="auto"/>
        <w:right w:val="none" w:sz="0" w:space="0" w:color="auto"/>
      </w:divBdr>
    </w:div>
    <w:div w:id="692347168">
      <w:bodyDiv w:val="1"/>
      <w:marLeft w:val="0"/>
      <w:marRight w:val="0"/>
      <w:marTop w:val="0"/>
      <w:marBottom w:val="0"/>
      <w:divBdr>
        <w:top w:val="none" w:sz="0" w:space="0" w:color="auto"/>
        <w:left w:val="none" w:sz="0" w:space="0" w:color="auto"/>
        <w:bottom w:val="none" w:sz="0" w:space="0" w:color="auto"/>
        <w:right w:val="none" w:sz="0" w:space="0" w:color="auto"/>
      </w:divBdr>
      <w:divsChild>
        <w:div w:id="141774948">
          <w:marLeft w:val="0"/>
          <w:marRight w:val="0"/>
          <w:marTop w:val="0"/>
          <w:marBottom w:val="0"/>
          <w:divBdr>
            <w:top w:val="none" w:sz="0" w:space="0" w:color="auto"/>
            <w:left w:val="none" w:sz="0" w:space="0" w:color="auto"/>
            <w:bottom w:val="none" w:sz="0" w:space="0" w:color="auto"/>
            <w:right w:val="none" w:sz="0" w:space="0" w:color="auto"/>
          </w:divBdr>
        </w:div>
        <w:div w:id="247346434">
          <w:marLeft w:val="0"/>
          <w:marRight w:val="0"/>
          <w:marTop w:val="0"/>
          <w:marBottom w:val="0"/>
          <w:divBdr>
            <w:top w:val="none" w:sz="0" w:space="0" w:color="auto"/>
            <w:left w:val="none" w:sz="0" w:space="0" w:color="auto"/>
            <w:bottom w:val="none" w:sz="0" w:space="0" w:color="auto"/>
            <w:right w:val="none" w:sz="0" w:space="0" w:color="auto"/>
          </w:divBdr>
        </w:div>
        <w:div w:id="253901251">
          <w:marLeft w:val="0"/>
          <w:marRight w:val="0"/>
          <w:marTop w:val="0"/>
          <w:marBottom w:val="0"/>
          <w:divBdr>
            <w:top w:val="none" w:sz="0" w:space="0" w:color="auto"/>
            <w:left w:val="none" w:sz="0" w:space="0" w:color="auto"/>
            <w:bottom w:val="none" w:sz="0" w:space="0" w:color="auto"/>
            <w:right w:val="none" w:sz="0" w:space="0" w:color="auto"/>
          </w:divBdr>
          <w:divsChild>
            <w:div w:id="68813917">
              <w:marLeft w:val="0"/>
              <w:marRight w:val="0"/>
              <w:marTop w:val="0"/>
              <w:marBottom w:val="0"/>
              <w:divBdr>
                <w:top w:val="none" w:sz="0" w:space="0" w:color="auto"/>
                <w:left w:val="none" w:sz="0" w:space="0" w:color="auto"/>
                <w:bottom w:val="none" w:sz="0" w:space="0" w:color="auto"/>
                <w:right w:val="none" w:sz="0" w:space="0" w:color="auto"/>
              </w:divBdr>
            </w:div>
            <w:div w:id="102116918">
              <w:marLeft w:val="0"/>
              <w:marRight w:val="0"/>
              <w:marTop w:val="0"/>
              <w:marBottom w:val="0"/>
              <w:divBdr>
                <w:top w:val="none" w:sz="0" w:space="0" w:color="auto"/>
                <w:left w:val="none" w:sz="0" w:space="0" w:color="auto"/>
                <w:bottom w:val="none" w:sz="0" w:space="0" w:color="auto"/>
                <w:right w:val="none" w:sz="0" w:space="0" w:color="auto"/>
              </w:divBdr>
            </w:div>
            <w:div w:id="212161282">
              <w:marLeft w:val="0"/>
              <w:marRight w:val="0"/>
              <w:marTop w:val="0"/>
              <w:marBottom w:val="0"/>
              <w:divBdr>
                <w:top w:val="none" w:sz="0" w:space="0" w:color="auto"/>
                <w:left w:val="none" w:sz="0" w:space="0" w:color="auto"/>
                <w:bottom w:val="none" w:sz="0" w:space="0" w:color="auto"/>
                <w:right w:val="none" w:sz="0" w:space="0" w:color="auto"/>
              </w:divBdr>
            </w:div>
            <w:div w:id="1678851790">
              <w:marLeft w:val="0"/>
              <w:marRight w:val="0"/>
              <w:marTop w:val="0"/>
              <w:marBottom w:val="0"/>
              <w:divBdr>
                <w:top w:val="none" w:sz="0" w:space="0" w:color="auto"/>
                <w:left w:val="none" w:sz="0" w:space="0" w:color="auto"/>
                <w:bottom w:val="none" w:sz="0" w:space="0" w:color="auto"/>
                <w:right w:val="none" w:sz="0" w:space="0" w:color="auto"/>
              </w:divBdr>
            </w:div>
            <w:div w:id="1907958573">
              <w:marLeft w:val="0"/>
              <w:marRight w:val="0"/>
              <w:marTop w:val="0"/>
              <w:marBottom w:val="0"/>
              <w:divBdr>
                <w:top w:val="none" w:sz="0" w:space="0" w:color="auto"/>
                <w:left w:val="none" w:sz="0" w:space="0" w:color="auto"/>
                <w:bottom w:val="none" w:sz="0" w:space="0" w:color="auto"/>
                <w:right w:val="none" w:sz="0" w:space="0" w:color="auto"/>
              </w:divBdr>
            </w:div>
          </w:divsChild>
        </w:div>
        <w:div w:id="290945952">
          <w:marLeft w:val="0"/>
          <w:marRight w:val="0"/>
          <w:marTop w:val="0"/>
          <w:marBottom w:val="0"/>
          <w:divBdr>
            <w:top w:val="none" w:sz="0" w:space="0" w:color="auto"/>
            <w:left w:val="none" w:sz="0" w:space="0" w:color="auto"/>
            <w:bottom w:val="none" w:sz="0" w:space="0" w:color="auto"/>
            <w:right w:val="none" w:sz="0" w:space="0" w:color="auto"/>
          </w:divBdr>
        </w:div>
        <w:div w:id="307592262">
          <w:marLeft w:val="0"/>
          <w:marRight w:val="0"/>
          <w:marTop w:val="0"/>
          <w:marBottom w:val="0"/>
          <w:divBdr>
            <w:top w:val="none" w:sz="0" w:space="0" w:color="auto"/>
            <w:left w:val="none" w:sz="0" w:space="0" w:color="auto"/>
            <w:bottom w:val="none" w:sz="0" w:space="0" w:color="auto"/>
            <w:right w:val="none" w:sz="0" w:space="0" w:color="auto"/>
          </w:divBdr>
        </w:div>
        <w:div w:id="375592328">
          <w:marLeft w:val="0"/>
          <w:marRight w:val="0"/>
          <w:marTop w:val="0"/>
          <w:marBottom w:val="0"/>
          <w:divBdr>
            <w:top w:val="none" w:sz="0" w:space="0" w:color="auto"/>
            <w:left w:val="none" w:sz="0" w:space="0" w:color="auto"/>
            <w:bottom w:val="none" w:sz="0" w:space="0" w:color="auto"/>
            <w:right w:val="none" w:sz="0" w:space="0" w:color="auto"/>
          </w:divBdr>
        </w:div>
        <w:div w:id="387148278">
          <w:marLeft w:val="0"/>
          <w:marRight w:val="0"/>
          <w:marTop w:val="0"/>
          <w:marBottom w:val="0"/>
          <w:divBdr>
            <w:top w:val="none" w:sz="0" w:space="0" w:color="auto"/>
            <w:left w:val="none" w:sz="0" w:space="0" w:color="auto"/>
            <w:bottom w:val="none" w:sz="0" w:space="0" w:color="auto"/>
            <w:right w:val="none" w:sz="0" w:space="0" w:color="auto"/>
          </w:divBdr>
        </w:div>
        <w:div w:id="428047466">
          <w:marLeft w:val="0"/>
          <w:marRight w:val="0"/>
          <w:marTop w:val="0"/>
          <w:marBottom w:val="0"/>
          <w:divBdr>
            <w:top w:val="none" w:sz="0" w:space="0" w:color="auto"/>
            <w:left w:val="none" w:sz="0" w:space="0" w:color="auto"/>
            <w:bottom w:val="none" w:sz="0" w:space="0" w:color="auto"/>
            <w:right w:val="none" w:sz="0" w:space="0" w:color="auto"/>
          </w:divBdr>
        </w:div>
        <w:div w:id="445082639">
          <w:marLeft w:val="0"/>
          <w:marRight w:val="0"/>
          <w:marTop w:val="0"/>
          <w:marBottom w:val="0"/>
          <w:divBdr>
            <w:top w:val="none" w:sz="0" w:space="0" w:color="auto"/>
            <w:left w:val="none" w:sz="0" w:space="0" w:color="auto"/>
            <w:bottom w:val="none" w:sz="0" w:space="0" w:color="auto"/>
            <w:right w:val="none" w:sz="0" w:space="0" w:color="auto"/>
          </w:divBdr>
        </w:div>
        <w:div w:id="447434065">
          <w:marLeft w:val="0"/>
          <w:marRight w:val="0"/>
          <w:marTop w:val="0"/>
          <w:marBottom w:val="0"/>
          <w:divBdr>
            <w:top w:val="none" w:sz="0" w:space="0" w:color="auto"/>
            <w:left w:val="none" w:sz="0" w:space="0" w:color="auto"/>
            <w:bottom w:val="none" w:sz="0" w:space="0" w:color="auto"/>
            <w:right w:val="none" w:sz="0" w:space="0" w:color="auto"/>
          </w:divBdr>
        </w:div>
        <w:div w:id="493030436">
          <w:marLeft w:val="0"/>
          <w:marRight w:val="0"/>
          <w:marTop w:val="0"/>
          <w:marBottom w:val="0"/>
          <w:divBdr>
            <w:top w:val="none" w:sz="0" w:space="0" w:color="auto"/>
            <w:left w:val="none" w:sz="0" w:space="0" w:color="auto"/>
            <w:bottom w:val="none" w:sz="0" w:space="0" w:color="auto"/>
            <w:right w:val="none" w:sz="0" w:space="0" w:color="auto"/>
          </w:divBdr>
        </w:div>
        <w:div w:id="517743289">
          <w:marLeft w:val="0"/>
          <w:marRight w:val="0"/>
          <w:marTop w:val="0"/>
          <w:marBottom w:val="0"/>
          <w:divBdr>
            <w:top w:val="none" w:sz="0" w:space="0" w:color="auto"/>
            <w:left w:val="none" w:sz="0" w:space="0" w:color="auto"/>
            <w:bottom w:val="none" w:sz="0" w:space="0" w:color="auto"/>
            <w:right w:val="none" w:sz="0" w:space="0" w:color="auto"/>
          </w:divBdr>
        </w:div>
        <w:div w:id="589393995">
          <w:marLeft w:val="0"/>
          <w:marRight w:val="0"/>
          <w:marTop w:val="0"/>
          <w:marBottom w:val="0"/>
          <w:divBdr>
            <w:top w:val="none" w:sz="0" w:space="0" w:color="auto"/>
            <w:left w:val="none" w:sz="0" w:space="0" w:color="auto"/>
            <w:bottom w:val="none" w:sz="0" w:space="0" w:color="auto"/>
            <w:right w:val="none" w:sz="0" w:space="0" w:color="auto"/>
          </w:divBdr>
          <w:divsChild>
            <w:div w:id="248006992">
              <w:marLeft w:val="0"/>
              <w:marRight w:val="0"/>
              <w:marTop w:val="0"/>
              <w:marBottom w:val="0"/>
              <w:divBdr>
                <w:top w:val="none" w:sz="0" w:space="0" w:color="auto"/>
                <w:left w:val="none" w:sz="0" w:space="0" w:color="auto"/>
                <w:bottom w:val="none" w:sz="0" w:space="0" w:color="auto"/>
                <w:right w:val="none" w:sz="0" w:space="0" w:color="auto"/>
              </w:divBdr>
            </w:div>
            <w:div w:id="352264438">
              <w:marLeft w:val="0"/>
              <w:marRight w:val="0"/>
              <w:marTop w:val="0"/>
              <w:marBottom w:val="0"/>
              <w:divBdr>
                <w:top w:val="none" w:sz="0" w:space="0" w:color="auto"/>
                <w:left w:val="none" w:sz="0" w:space="0" w:color="auto"/>
                <w:bottom w:val="none" w:sz="0" w:space="0" w:color="auto"/>
                <w:right w:val="none" w:sz="0" w:space="0" w:color="auto"/>
              </w:divBdr>
            </w:div>
            <w:div w:id="389575016">
              <w:marLeft w:val="0"/>
              <w:marRight w:val="0"/>
              <w:marTop w:val="0"/>
              <w:marBottom w:val="0"/>
              <w:divBdr>
                <w:top w:val="none" w:sz="0" w:space="0" w:color="auto"/>
                <w:left w:val="none" w:sz="0" w:space="0" w:color="auto"/>
                <w:bottom w:val="none" w:sz="0" w:space="0" w:color="auto"/>
                <w:right w:val="none" w:sz="0" w:space="0" w:color="auto"/>
              </w:divBdr>
            </w:div>
            <w:div w:id="427240959">
              <w:marLeft w:val="0"/>
              <w:marRight w:val="0"/>
              <w:marTop w:val="0"/>
              <w:marBottom w:val="0"/>
              <w:divBdr>
                <w:top w:val="none" w:sz="0" w:space="0" w:color="auto"/>
                <w:left w:val="none" w:sz="0" w:space="0" w:color="auto"/>
                <w:bottom w:val="none" w:sz="0" w:space="0" w:color="auto"/>
                <w:right w:val="none" w:sz="0" w:space="0" w:color="auto"/>
              </w:divBdr>
            </w:div>
            <w:div w:id="1345865448">
              <w:marLeft w:val="0"/>
              <w:marRight w:val="0"/>
              <w:marTop w:val="0"/>
              <w:marBottom w:val="0"/>
              <w:divBdr>
                <w:top w:val="none" w:sz="0" w:space="0" w:color="auto"/>
                <w:left w:val="none" w:sz="0" w:space="0" w:color="auto"/>
                <w:bottom w:val="none" w:sz="0" w:space="0" w:color="auto"/>
                <w:right w:val="none" w:sz="0" w:space="0" w:color="auto"/>
              </w:divBdr>
            </w:div>
          </w:divsChild>
        </w:div>
        <w:div w:id="592400330">
          <w:marLeft w:val="0"/>
          <w:marRight w:val="0"/>
          <w:marTop w:val="0"/>
          <w:marBottom w:val="0"/>
          <w:divBdr>
            <w:top w:val="none" w:sz="0" w:space="0" w:color="auto"/>
            <w:left w:val="none" w:sz="0" w:space="0" w:color="auto"/>
            <w:bottom w:val="none" w:sz="0" w:space="0" w:color="auto"/>
            <w:right w:val="none" w:sz="0" w:space="0" w:color="auto"/>
          </w:divBdr>
          <w:divsChild>
            <w:div w:id="121384676">
              <w:marLeft w:val="0"/>
              <w:marRight w:val="0"/>
              <w:marTop w:val="0"/>
              <w:marBottom w:val="0"/>
              <w:divBdr>
                <w:top w:val="none" w:sz="0" w:space="0" w:color="auto"/>
                <w:left w:val="none" w:sz="0" w:space="0" w:color="auto"/>
                <w:bottom w:val="none" w:sz="0" w:space="0" w:color="auto"/>
                <w:right w:val="none" w:sz="0" w:space="0" w:color="auto"/>
              </w:divBdr>
            </w:div>
            <w:div w:id="431701690">
              <w:marLeft w:val="0"/>
              <w:marRight w:val="0"/>
              <w:marTop w:val="0"/>
              <w:marBottom w:val="0"/>
              <w:divBdr>
                <w:top w:val="none" w:sz="0" w:space="0" w:color="auto"/>
                <w:left w:val="none" w:sz="0" w:space="0" w:color="auto"/>
                <w:bottom w:val="none" w:sz="0" w:space="0" w:color="auto"/>
                <w:right w:val="none" w:sz="0" w:space="0" w:color="auto"/>
              </w:divBdr>
            </w:div>
            <w:div w:id="770782729">
              <w:marLeft w:val="0"/>
              <w:marRight w:val="0"/>
              <w:marTop w:val="0"/>
              <w:marBottom w:val="0"/>
              <w:divBdr>
                <w:top w:val="none" w:sz="0" w:space="0" w:color="auto"/>
                <w:left w:val="none" w:sz="0" w:space="0" w:color="auto"/>
                <w:bottom w:val="none" w:sz="0" w:space="0" w:color="auto"/>
                <w:right w:val="none" w:sz="0" w:space="0" w:color="auto"/>
              </w:divBdr>
            </w:div>
            <w:div w:id="1738630047">
              <w:marLeft w:val="0"/>
              <w:marRight w:val="0"/>
              <w:marTop w:val="0"/>
              <w:marBottom w:val="0"/>
              <w:divBdr>
                <w:top w:val="none" w:sz="0" w:space="0" w:color="auto"/>
                <w:left w:val="none" w:sz="0" w:space="0" w:color="auto"/>
                <w:bottom w:val="none" w:sz="0" w:space="0" w:color="auto"/>
                <w:right w:val="none" w:sz="0" w:space="0" w:color="auto"/>
              </w:divBdr>
            </w:div>
            <w:div w:id="2094013696">
              <w:marLeft w:val="0"/>
              <w:marRight w:val="0"/>
              <w:marTop w:val="0"/>
              <w:marBottom w:val="0"/>
              <w:divBdr>
                <w:top w:val="none" w:sz="0" w:space="0" w:color="auto"/>
                <w:left w:val="none" w:sz="0" w:space="0" w:color="auto"/>
                <w:bottom w:val="none" w:sz="0" w:space="0" w:color="auto"/>
                <w:right w:val="none" w:sz="0" w:space="0" w:color="auto"/>
              </w:divBdr>
            </w:div>
          </w:divsChild>
        </w:div>
        <w:div w:id="610091025">
          <w:marLeft w:val="0"/>
          <w:marRight w:val="0"/>
          <w:marTop w:val="0"/>
          <w:marBottom w:val="0"/>
          <w:divBdr>
            <w:top w:val="none" w:sz="0" w:space="0" w:color="auto"/>
            <w:left w:val="none" w:sz="0" w:space="0" w:color="auto"/>
            <w:bottom w:val="none" w:sz="0" w:space="0" w:color="auto"/>
            <w:right w:val="none" w:sz="0" w:space="0" w:color="auto"/>
          </w:divBdr>
          <w:divsChild>
            <w:div w:id="234055431">
              <w:marLeft w:val="0"/>
              <w:marRight w:val="0"/>
              <w:marTop w:val="0"/>
              <w:marBottom w:val="0"/>
              <w:divBdr>
                <w:top w:val="none" w:sz="0" w:space="0" w:color="auto"/>
                <w:left w:val="none" w:sz="0" w:space="0" w:color="auto"/>
                <w:bottom w:val="none" w:sz="0" w:space="0" w:color="auto"/>
                <w:right w:val="none" w:sz="0" w:space="0" w:color="auto"/>
              </w:divBdr>
            </w:div>
            <w:div w:id="715739747">
              <w:marLeft w:val="0"/>
              <w:marRight w:val="0"/>
              <w:marTop w:val="0"/>
              <w:marBottom w:val="0"/>
              <w:divBdr>
                <w:top w:val="none" w:sz="0" w:space="0" w:color="auto"/>
                <w:left w:val="none" w:sz="0" w:space="0" w:color="auto"/>
                <w:bottom w:val="none" w:sz="0" w:space="0" w:color="auto"/>
                <w:right w:val="none" w:sz="0" w:space="0" w:color="auto"/>
              </w:divBdr>
            </w:div>
            <w:div w:id="1217665592">
              <w:marLeft w:val="0"/>
              <w:marRight w:val="0"/>
              <w:marTop w:val="0"/>
              <w:marBottom w:val="0"/>
              <w:divBdr>
                <w:top w:val="none" w:sz="0" w:space="0" w:color="auto"/>
                <w:left w:val="none" w:sz="0" w:space="0" w:color="auto"/>
                <w:bottom w:val="none" w:sz="0" w:space="0" w:color="auto"/>
                <w:right w:val="none" w:sz="0" w:space="0" w:color="auto"/>
              </w:divBdr>
            </w:div>
            <w:div w:id="1882673067">
              <w:marLeft w:val="0"/>
              <w:marRight w:val="0"/>
              <w:marTop w:val="0"/>
              <w:marBottom w:val="0"/>
              <w:divBdr>
                <w:top w:val="none" w:sz="0" w:space="0" w:color="auto"/>
                <w:left w:val="none" w:sz="0" w:space="0" w:color="auto"/>
                <w:bottom w:val="none" w:sz="0" w:space="0" w:color="auto"/>
                <w:right w:val="none" w:sz="0" w:space="0" w:color="auto"/>
              </w:divBdr>
            </w:div>
            <w:div w:id="2048066921">
              <w:marLeft w:val="0"/>
              <w:marRight w:val="0"/>
              <w:marTop w:val="0"/>
              <w:marBottom w:val="0"/>
              <w:divBdr>
                <w:top w:val="none" w:sz="0" w:space="0" w:color="auto"/>
                <w:left w:val="none" w:sz="0" w:space="0" w:color="auto"/>
                <w:bottom w:val="none" w:sz="0" w:space="0" w:color="auto"/>
                <w:right w:val="none" w:sz="0" w:space="0" w:color="auto"/>
              </w:divBdr>
            </w:div>
          </w:divsChild>
        </w:div>
        <w:div w:id="645821699">
          <w:marLeft w:val="0"/>
          <w:marRight w:val="0"/>
          <w:marTop w:val="0"/>
          <w:marBottom w:val="0"/>
          <w:divBdr>
            <w:top w:val="none" w:sz="0" w:space="0" w:color="auto"/>
            <w:left w:val="none" w:sz="0" w:space="0" w:color="auto"/>
            <w:bottom w:val="none" w:sz="0" w:space="0" w:color="auto"/>
            <w:right w:val="none" w:sz="0" w:space="0" w:color="auto"/>
          </w:divBdr>
        </w:div>
        <w:div w:id="669455764">
          <w:marLeft w:val="0"/>
          <w:marRight w:val="0"/>
          <w:marTop w:val="0"/>
          <w:marBottom w:val="0"/>
          <w:divBdr>
            <w:top w:val="none" w:sz="0" w:space="0" w:color="auto"/>
            <w:left w:val="none" w:sz="0" w:space="0" w:color="auto"/>
            <w:bottom w:val="none" w:sz="0" w:space="0" w:color="auto"/>
            <w:right w:val="none" w:sz="0" w:space="0" w:color="auto"/>
          </w:divBdr>
        </w:div>
        <w:div w:id="731467828">
          <w:marLeft w:val="0"/>
          <w:marRight w:val="0"/>
          <w:marTop w:val="0"/>
          <w:marBottom w:val="0"/>
          <w:divBdr>
            <w:top w:val="none" w:sz="0" w:space="0" w:color="auto"/>
            <w:left w:val="none" w:sz="0" w:space="0" w:color="auto"/>
            <w:bottom w:val="none" w:sz="0" w:space="0" w:color="auto"/>
            <w:right w:val="none" w:sz="0" w:space="0" w:color="auto"/>
          </w:divBdr>
        </w:div>
        <w:div w:id="802041388">
          <w:marLeft w:val="0"/>
          <w:marRight w:val="0"/>
          <w:marTop w:val="0"/>
          <w:marBottom w:val="0"/>
          <w:divBdr>
            <w:top w:val="none" w:sz="0" w:space="0" w:color="auto"/>
            <w:left w:val="none" w:sz="0" w:space="0" w:color="auto"/>
            <w:bottom w:val="none" w:sz="0" w:space="0" w:color="auto"/>
            <w:right w:val="none" w:sz="0" w:space="0" w:color="auto"/>
          </w:divBdr>
        </w:div>
        <w:div w:id="900871386">
          <w:marLeft w:val="0"/>
          <w:marRight w:val="0"/>
          <w:marTop w:val="0"/>
          <w:marBottom w:val="0"/>
          <w:divBdr>
            <w:top w:val="none" w:sz="0" w:space="0" w:color="auto"/>
            <w:left w:val="none" w:sz="0" w:space="0" w:color="auto"/>
            <w:bottom w:val="none" w:sz="0" w:space="0" w:color="auto"/>
            <w:right w:val="none" w:sz="0" w:space="0" w:color="auto"/>
          </w:divBdr>
        </w:div>
        <w:div w:id="945619906">
          <w:marLeft w:val="0"/>
          <w:marRight w:val="0"/>
          <w:marTop w:val="0"/>
          <w:marBottom w:val="0"/>
          <w:divBdr>
            <w:top w:val="none" w:sz="0" w:space="0" w:color="auto"/>
            <w:left w:val="none" w:sz="0" w:space="0" w:color="auto"/>
            <w:bottom w:val="none" w:sz="0" w:space="0" w:color="auto"/>
            <w:right w:val="none" w:sz="0" w:space="0" w:color="auto"/>
          </w:divBdr>
        </w:div>
        <w:div w:id="951479459">
          <w:marLeft w:val="0"/>
          <w:marRight w:val="0"/>
          <w:marTop w:val="0"/>
          <w:marBottom w:val="0"/>
          <w:divBdr>
            <w:top w:val="none" w:sz="0" w:space="0" w:color="auto"/>
            <w:left w:val="none" w:sz="0" w:space="0" w:color="auto"/>
            <w:bottom w:val="none" w:sz="0" w:space="0" w:color="auto"/>
            <w:right w:val="none" w:sz="0" w:space="0" w:color="auto"/>
          </w:divBdr>
        </w:div>
        <w:div w:id="953291644">
          <w:marLeft w:val="0"/>
          <w:marRight w:val="0"/>
          <w:marTop w:val="0"/>
          <w:marBottom w:val="0"/>
          <w:divBdr>
            <w:top w:val="none" w:sz="0" w:space="0" w:color="auto"/>
            <w:left w:val="none" w:sz="0" w:space="0" w:color="auto"/>
            <w:bottom w:val="none" w:sz="0" w:space="0" w:color="auto"/>
            <w:right w:val="none" w:sz="0" w:space="0" w:color="auto"/>
          </w:divBdr>
          <w:divsChild>
            <w:div w:id="135493697">
              <w:marLeft w:val="0"/>
              <w:marRight w:val="0"/>
              <w:marTop w:val="0"/>
              <w:marBottom w:val="0"/>
              <w:divBdr>
                <w:top w:val="none" w:sz="0" w:space="0" w:color="auto"/>
                <w:left w:val="none" w:sz="0" w:space="0" w:color="auto"/>
                <w:bottom w:val="none" w:sz="0" w:space="0" w:color="auto"/>
                <w:right w:val="none" w:sz="0" w:space="0" w:color="auto"/>
              </w:divBdr>
            </w:div>
            <w:div w:id="845826855">
              <w:marLeft w:val="0"/>
              <w:marRight w:val="0"/>
              <w:marTop w:val="0"/>
              <w:marBottom w:val="0"/>
              <w:divBdr>
                <w:top w:val="none" w:sz="0" w:space="0" w:color="auto"/>
                <w:left w:val="none" w:sz="0" w:space="0" w:color="auto"/>
                <w:bottom w:val="none" w:sz="0" w:space="0" w:color="auto"/>
                <w:right w:val="none" w:sz="0" w:space="0" w:color="auto"/>
              </w:divBdr>
            </w:div>
            <w:div w:id="849372838">
              <w:marLeft w:val="0"/>
              <w:marRight w:val="0"/>
              <w:marTop w:val="0"/>
              <w:marBottom w:val="0"/>
              <w:divBdr>
                <w:top w:val="none" w:sz="0" w:space="0" w:color="auto"/>
                <w:left w:val="none" w:sz="0" w:space="0" w:color="auto"/>
                <w:bottom w:val="none" w:sz="0" w:space="0" w:color="auto"/>
                <w:right w:val="none" w:sz="0" w:space="0" w:color="auto"/>
              </w:divBdr>
            </w:div>
            <w:div w:id="1264336785">
              <w:marLeft w:val="0"/>
              <w:marRight w:val="0"/>
              <w:marTop w:val="0"/>
              <w:marBottom w:val="0"/>
              <w:divBdr>
                <w:top w:val="none" w:sz="0" w:space="0" w:color="auto"/>
                <w:left w:val="none" w:sz="0" w:space="0" w:color="auto"/>
                <w:bottom w:val="none" w:sz="0" w:space="0" w:color="auto"/>
                <w:right w:val="none" w:sz="0" w:space="0" w:color="auto"/>
              </w:divBdr>
            </w:div>
            <w:div w:id="1756396410">
              <w:marLeft w:val="0"/>
              <w:marRight w:val="0"/>
              <w:marTop w:val="0"/>
              <w:marBottom w:val="0"/>
              <w:divBdr>
                <w:top w:val="none" w:sz="0" w:space="0" w:color="auto"/>
                <w:left w:val="none" w:sz="0" w:space="0" w:color="auto"/>
                <w:bottom w:val="none" w:sz="0" w:space="0" w:color="auto"/>
                <w:right w:val="none" w:sz="0" w:space="0" w:color="auto"/>
              </w:divBdr>
            </w:div>
          </w:divsChild>
        </w:div>
        <w:div w:id="1001422830">
          <w:marLeft w:val="0"/>
          <w:marRight w:val="0"/>
          <w:marTop w:val="0"/>
          <w:marBottom w:val="0"/>
          <w:divBdr>
            <w:top w:val="none" w:sz="0" w:space="0" w:color="auto"/>
            <w:left w:val="none" w:sz="0" w:space="0" w:color="auto"/>
            <w:bottom w:val="none" w:sz="0" w:space="0" w:color="auto"/>
            <w:right w:val="none" w:sz="0" w:space="0" w:color="auto"/>
          </w:divBdr>
        </w:div>
        <w:div w:id="1031149189">
          <w:marLeft w:val="0"/>
          <w:marRight w:val="0"/>
          <w:marTop w:val="0"/>
          <w:marBottom w:val="0"/>
          <w:divBdr>
            <w:top w:val="none" w:sz="0" w:space="0" w:color="auto"/>
            <w:left w:val="none" w:sz="0" w:space="0" w:color="auto"/>
            <w:bottom w:val="none" w:sz="0" w:space="0" w:color="auto"/>
            <w:right w:val="none" w:sz="0" w:space="0" w:color="auto"/>
          </w:divBdr>
        </w:div>
        <w:div w:id="1059549637">
          <w:marLeft w:val="0"/>
          <w:marRight w:val="0"/>
          <w:marTop w:val="0"/>
          <w:marBottom w:val="0"/>
          <w:divBdr>
            <w:top w:val="none" w:sz="0" w:space="0" w:color="auto"/>
            <w:left w:val="none" w:sz="0" w:space="0" w:color="auto"/>
            <w:bottom w:val="none" w:sz="0" w:space="0" w:color="auto"/>
            <w:right w:val="none" w:sz="0" w:space="0" w:color="auto"/>
          </w:divBdr>
        </w:div>
        <w:div w:id="1092513624">
          <w:marLeft w:val="0"/>
          <w:marRight w:val="0"/>
          <w:marTop w:val="0"/>
          <w:marBottom w:val="0"/>
          <w:divBdr>
            <w:top w:val="none" w:sz="0" w:space="0" w:color="auto"/>
            <w:left w:val="none" w:sz="0" w:space="0" w:color="auto"/>
            <w:bottom w:val="none" w:sz="0" w:space="0" w:color="auto"/>
            <w:right w:val="none" w:sz="0" w:space="0" w:color="auto"/>
          </w:divBdr>
        </w:div>
        <w:div w:id="1112941433">
          <w:marLeft w:val="0"/>
          <w:marRight w:val="0"/>
          <w:marTop w:val="0"/>
          <w:marBottom w:val="0"/>
          <w:divBdr>
            <w:top w:val="none" w:sz="0" w:space="0" w:color="auto"/>
            <w:left w:val="none" w:sz="0" w:space="0" w:color="auto"/>
            <w:bottom w:val="none" w:sz="0" w:space="0" w:color="auto"/>
            <w:right w:val="none" w:sz="0" w:space="0" w:color="auto"/>
          </w:divBdr>
          <w:divsChild>
            <w:div w:id="835077176">
              <w:marLeft w:val="0"/>
              <w:marRight w:val="0"/>
              <w:marTop w:val="0"/>
              <w:marBottom w:val="0"/>
              <w:divBdr>
                <w:top w:val="none" w:sz="0" w:space="0" w:color="auto"/>
                <w:left w:val="none" w:sz="0" w:space="0" w:color="auto"/>
                <w:bottom w:val="none" w:sz="0" w:space="0" w:color="auto"/>
                <w:right w:val="none" w:sz="0" w:space="0" w:color="auto"/>
              </w:divBdr>
            </w:div>
            <w:div w:id="838153643">
              <w:marLeft w:val="0"/>
              <w:marRight w:val="0"/>
              <w:marTop w:val="0"/>
              <w:marBottom w:val="0"/>
              <w:divBdr>
                <w:top w:val="none" w:sz="0" w:space="0" w:color="auto"/>
                <w:left w:val="none" w:sz="0" w:space="0" w:color="auto"/>
                <w:bottom w:val="none" w:sz="0" w:space="0" w:color="auto"/>
                <w:right w:val="none" w:sz="0" w:space="0" w:color="auto"/>
              </w:divBdr>
            </w:div>
            <w:div w:id="1135945573">
              <w:marLeft w:val="0"/>
              <w:marRight w:val="0"/>
              <w:marTop w:val="0"/>
              <w:marBottom w:val="0"/>
              <w:divBdr>
                <w:top w:val="none" w:sz="0" w:space="0" w:color="auto"/>
                <w:left w:val="none" w:sz="0" w:space="0" w:color="auto"/>
                <w:bottom w:val="none" w:sz="0" w:space="0" w:color="auto"/>
                <w:right w:val="none" w:sz="0" w:space="0" w:color="auto"/>
              </w:divBdr>
            </w:div>
            <w:div w:id="1441955476">
              <w:marLeft w:val="0"/>
              <w:marRight w:val="0"/>
              <w:marTop w:val="0"/>
              <w:marBottom w:val="0"/>
              <w:divBdr>
                <w:top w:val="none" w:sz="0" w:space="0" w:color="auto"/>
                <w:left w:val="none" w:sz="0" w:space="0" w:color="auto"/>
                <w:bottom w:val="none" w:sz="0" w:space="0" w:color="auto"/>
                <w:right w:val="none" w:sz="0" w:space="0" w:color="auto"/>
              </w:divBdr>
            </w:div>
            <w:div w:id="1767339688">
              <w:marLeft w:val="0"/>
              <w:marRight w:val="0"/>
              <w:marTop w:val="0"/>
              <w:marBottom w:val="0"/>
              <w:divBdr>
                <w:top w:val="none" w:sz="0" w:space="0" w:color="auto"/>
                <w:left w:val="none" w:sz="0" w:space="0" w:color="auto"/>
                <w:bottom w:val="none" w:sz="0" w:space="0" w:color="auto"/>
                <w:right w:val="none" w:sz="0" w:space="0" w:color="auto"/>
              </w:divBdr>
            </w:div>
          </w:divsChild>
        </w:div>
        <w:div w:id="1306424371">
          <w:marLeft w:val="0"/>
          <w:marRight w:val="0"/>
          <w:marTop w:val="0"/>
          <w:marBottom w:val="0"/>
          <w:divBdr>
            <w:top w:val="none" w:sz="0" w:space="0" w:color="auto"/>
            <w:left w:val="none" w:sz="0" w:space="0" w:color="auto"/>
            <w:bottom w:val="none" w:sz="0" w:space="0" w:color="auto"/>
            <w:right w:val="none" w:sz="0" w:space="0" w:color="auto"/>
          </w:divBdr>
        </w:div>
        <w:div w:id="1307004391">
          <w:marLeft w:val="0"/>
          <w:marRight w:val="0"/>
          <w:marTop w:val="0"/>
          <w:marBottom w:val="0"/>
          <w:divBdr>
            <w:top w:val="none" w:sz="0" w:space="0" w:color="auto"/>
            <w:left w:val="none" w:sz="0" w:space="0" w:color="auto"/>
            <w:bottom w:val="none" w:sz="0" w:space="0" w:color="auto"/>
            <w:right w:val="none" w:sz="0" w:space="0" w:color="auto"/>
          </w:divBdr>
        </w:div>
        <w:div w:id="1441223634">
          <w:marLeft w:val="0"/>
          <w:marRight w:val="0"/>
          <w:marTop w:val="0"/>
          <w:marBottom w:val="0"/>
          <w:divBdr>
            <w:top w:val="none" w:sz="0" w:space="0" w:color="auto"/>
            <w:left w:val="none" w:sz="0" w:space="0" w:color="auto"/>
            <w:bottom w:val="none" w:sz="0" w:space="0" w:color="auto"/>
            <w:right w:val="none" w:sz="0" w:space="0" w:color="auto"/>
          </w:divBdr>
          <w:divsChild>
            <w:div w:id="153574042">
              <w:marLeft w:val="0"/>
              <w:marRight w:val="0"/>
              <w:marTop w:val="0"/>
              <w:marBottom w:val="0"/>
              <w:divBdr>
                <w:top w:val="none" w:sz="0" w:space="0" w:color="auto"/>
                <w:left w:val="none" w:sz="0" w:space="0" w:color="auto"/>
                <w:bottom w:val="none" w:sz="0" w:space="0" w:color="auto"/>
                <w:right w:val="none" w:sz="0" w:space="0" w:color="auto"/>
              </w:divBdr>
            </w:div>
            <w:div w:id="448857471">
              <w:marLeft w:val="0"/>
              <w:marRight w:val="0"/>
              <w:marTop w:val="0"/>
              <w:marBottom w:val="0"/>
              <w:divBdr>
                <w:top w:val="none" w:sz="0" w:space="0" w:color="auto"/>
                <w:left w:val="none" w:sz="0" w:space="0" w:color="auto"/>
                <w:bottom w:val="none" w:sz="0" w:space="0" w:color="auto"/>
                <w:right w:val="none" w:sz="0" w:space="0" w:color="auto"/>
              </w:divBdr>
            </w:div>
            <w:div w:id="1918397811">
              <w:marLeft w:val="0"/>
              <w:marRight w:val="0"/>
              <w:marTop w:val="0"/>
              <w:marBottom w:val="0"/>
              <w:divBdr>
                <w:top w:val="none" w:sz="0" w:space="0" w:color="auto"/>
                <w:left w:val="none" w:sz="0" w:space="0" w:color="auto"/>
                <w:bottom w:val="none" w:sz="0" w:space="0" w:color="auto"/>
                <w:right w:val="none" w:sz="0" w:space="0" w:color="auto"/>
              </w:divBdr>
            </w:div>
            <w:div w:id="1983655753">
              <w:marLeft w:val="0"/>
              <w:marRight w:val="0"/>
              <w:marTop w:val="0"/>
              <w:marBottom w:val="0"/>
              <w:divBdr>
                <w:top w:val="none" w:sz="0" w:space="0" w:color="auto"/>
                <w:left w:val="none" w:sz="0" w:space="0" w:color="auto"/>
                <w:bottom w:val="none" w:sz="0" w:space="0" w:color="auto"/>
                <w:right w:val="none" w:sz="0" w:space="0" w:color="auto"/>
              </w:divBdr>
            </w:div>
            <w:div w:id="2076589026">
              <w:marLeft w:val="0"/>
              <w:marRight w:val="0"/>
              <w:marTop w:val="0"/>
              <w:marBottom w:val="0"/>
              <w:divBdr>
                <w:top w:val="none" w:sz="0" w:space="0" w:color="auto"/>
                <w:left w:val="none" w:sz="0" w:space="0" w:color="auto"/>
                <w:bottom w:val="none" w:sz="0" w:space="0" w:color="auto"/>
                <w:right w:val="none" w:sz="0" w:space="0" w:color="auto"/>
              </w:divBdr>
            </w:div>
          </w:divsChild>
        </w:div>
        <w:div w:id="1472013912">
          <w:marLeft w:val="0"/>
          <w:marRight w:val="0"/>
          <w:marTop w:val="0"/>
          <w:marBottom w:val="0"/>
          <w:divBdr>
            <w:top w:val="none" w:sz="0" w:space="0" w:color="auto"/>
            <w:left w:val="none" w:sz="0" w:space="0" w:color="auto"/>
            <w:bottom w:val="none" w:sz="0" w:space="0" w:color="auto"/>
            <w:right w:val="none" w:sz="0" w:space="0" w:color="auto"/>
          </w:divBdr>
        </w:div>
        <w:div w:id="1489246865">
          <w:marLeft w:val="0"/>
          <w:marRight w:val="0"/>
          <w:marTop w:val="0"/>
          <w:marBottom w:val="0"/>
          <w:divBdr>
            <w:top w:val="none" w:sz="0" w:space="0" w:color="auto"/>
            <w:left w:val="none" w:sz="0" w:space="0" w:color="auto"/>
            <w:bottom w:val="none" w:sz="0" w:space="0" w:color="auto"/>
            <w:right w:val="none" w:sz="0" w:space="0" w:color="auto"/>
          </w:divBdr>
        </w:div>
        <w:div w:id="1524706585">
          <w:marLeft w:val="0"/>
          <w:marRight w:val="0"/>
          <w:marTop w:val="0"/>
          <w:marBottom w:val="0"/>
          <w:divBdr>
            <w:top w:val="none" w:sz="0" w:space="0" w:color="auto"/>
            <w:left w:val="none" w:sz="0" w:space="0" w:color="auto"/>
            <w:bottom w:val="none" w:sz="0" w:space="0" w:color="auto"/>
            <w:right w:val="none" w:sz="0" w:space="0" w:color="auto"/>
          </w:divBdr>
        </w:div>
        <w:div w:id="1553735216">
          <w:marLeft w:val="0"/>
          <w:marRight w:val="0"/>
          <w:marTop w:val="0"/>
          <w:marBottom w:val="0"/>
          <w:divBdr>
            <w:top w:val="none" w:sz="0" w:space="0" w:color="auto"/>
            <w:left w:val="none" w:sz="0" w:space="0" w:color="auto"/>
            <w:bottom w:val="none" w:sz="0" w:space="0" w:color="auto"/>
            <w:right w:val="none" w:sz="0" w:space="0" w:color="auto"/>
          </w:divBdr>
        </w:div>
        <w:div w:id="1563757696">
          <w:marLeft w:val="0"/>
          <w:marRight w:val="0"/>
          <w:marTop w:val="0"/>
          <w:marBottom w:val="0"/>
          <w:divBdr>
            <w:top w:val="none" w:sz="0" w:space="0" w:color="auto"/>
            <w:left w:val="none" w:sz="0" w:space="0" w:color="auto"/>
            <w:bottom w:val="none" w:sz="0" w:space="0" w:color="auto"/>
            <w:right w:val="none" w:sz="0" w:space="0" w:color="auto"/>
          </w:divBdr>
        </w:div>
        <w:div w:id="1573662249">
          <w:marLeft w:val="0"/>
          <w:marRight w:val="0"/>
          <w:marTop w:val="0"/>
          <w:marBottom w:val="0"/>
          <w:divBdr>
            <w:top w:val="none" w:sz="0" w:space="0" w:color="auto"/>
            <w:left w:val="none" w:sz="0" w:space="0" w:color="auto"/>
            <w:bottom w:val="none" w:sz="0" w:space="0" w:color="auto"/>
            <w:right w:val="none" w:sz="0" w:space="0" w:color="auto"/>
          </w:divBdr>
        </w:div>
        <w:div w:id="1576629420">
          <w:marLeft w:val="0"/>
          <w:marRight w:val="0"/>
          <w:marTop w:val="0"/>
          <w:marBottom w:val="0"/>
          <w:divBdr>
            <w:top w:val="none" w:sz="0" w:space="0" w:color="auto"/>
            <w:left w:val="none" w:sz="0" w:space="0" w:color="auto"/>
            <w:bottom w:val="none" w:sz="0" w:space="0" w:color="auto"/>
            <w:right w:val="none" w:sz="0" w:space="0" w:color="auto"/>
          </w:divBdr>
          <w:divsChild>
            <w:div w:id="330834004">
              <w:marLeft w:val="0"/>
              <w:marRight w:val="0"/>
              <w:marTop w:val="0"/>
              <w:marBottom w:val="0"/>
              <w:divBdr>
                <w:top w:val="none" w:sz="0" w:space="0" w:color="auto"/>
                <w:left w:val="none" w:sz="0" w:space="0" w:color="auto"/>
                <w:bottom w:val="none" w:sz="0" w:space="0" w:color="auto"/>
                <w:right w:val="none" w:sz="0" w:space="0" w:color="auto"/>
              </w:divBdr>
            </w:div>
            <w:div w:id="551616575">
              <w:marLeft w:val="0"/>
              <w:marRight w:val="0"/>
              <w:marTop w:val="0"/>
              <w:marBottom w:val="0"/>
              <w:divBdr>
                <w:top w:val="none" w:sz="0" w:space="0" w:color="auto"/>
                <w:left w:val="none" w:sz="0" w:space="0" w:color="auto"/>
                <w:bottom w:val="none" w:sz="0" w:space="0" w:color="auto"/>
                <w:right w:val="none" w:sz="0" w:space="0" w:color="auto"/>
              </w:divBdr>
            </w:div>
            <w:div w:id="1312907140">
              <w:marLeft w:val="0"/>
              <w:marRight w:val="0"/>
              <w:marTop w:val="0"/>
              <w:marBottom w:val="0"/>
              <w:divBdr>
                <w:top w:val="none" w:sz="0" w:space="0" w:color="auto"/>
                <w:left w:val="none" w:sz="0" w:space="0" w:color="auto"/>
                <w:bottom w:val="none" w:sz="0" w:space="0" w:color="auto"/>
                <w:right w:val="none" w:sz="0" w:space="0" w:color="auto"/>
              </w:divBdr>
            </w:div>
            <w:div w:id="1956324323">
              <w:marLeft w:val="0"/>
              <w:marRight w:val="0"/>
              <w:marTop w:val="0"/>
              <w:marBottom w:val="0"/>
              <w:divBdr>
                <w:top w:val="none" w:sz="0" w:space="0" w:color="auto"/>
                <w:left w:val="none" w:sz="0" w:space="0" w:color="auto"/>
                <w:bottom w:val="none" w:sz="0" w:space="0" w:color="auto"/>
                <w:right w:val="none" w:sz="0" w:space="0" w:color="auto"/>
              </w:divBdr>
            </w:div>
            <w:div w:id="1965652828">
              <w:marLeft w:val="0"/>
              <w:marRight w:val="0"/>
              <w:marTop w:val="0"/>
              <w:marBottom w:val="0"/>
              <w:divBdr>
                <w:top w:val="none" w:sz="0" w:space="0" w:color="auto"/>
                <w:left w:val="none" w:sz="0" w:space="0" w:color="auto"/>
                <w:bottom w:val="none" w:sz="0" w:space="0" w:color="auto"/>
                <w:right w:val="none" w:sz="0" w:space="0" w:color="auto"/>
              </w:divBdr>
            </w:div>
          </w:divsChild>
        </w:div>
        <w:div w:id="1687903587">
          <w:marLeft w:val="0"/>
          <w:marRight w:val="0"/>
          <w:marTop w:val="0"/>
          <w:marBottom w:val="0"/>
          <w:divBdr>
            <w:top w:val="none" w:sz="0" w:space="0" w:color="auto"/>
            <w:left w:val="none" w:sz="0" w:space="0" w:color="auto"/>
            <w:bottom w:val="none" w:sz="0" w:space="0" w:color="auto"/>
            <w:right w:val="none" w:sz="0" w:space="0" w:color="auto"/>
          </w:divBdr>
        </w:div>
        <w:div w:id="1741322489">
          <w:marLeft w:val="0"/>
          <w:marRight w:val="0"/>
          <w:marTop w:val="0"/>
          <w:marBottom w:val="0"/>
          <w:divBdr>
            <w:top w:val="none" w:sz="0" w:space="0" w:color="auto"/>
            <w:left w:val="none" w:sz="0" w:space="0" w:color="auto"/>
            <w:bottom w:val="none" w:sz="0" w:space="0" w:color="auto"/>
            <w:right w:val="none" w:sz="0" w:space="0" w:color="auto"/>
          </w:divBdr>
        </w:div>
        <w:div w:id="1788894154">
          <w:marLeft w:val="0"/>
          <w:marRight w:val="0"/>
          <w:marTop w:val="0"/>
          <w:marBottom w:val="0"/>
          <w:divBdr>
            <w:top w:val="none" w:sz="0" w:space="0" w:color="auto"/>
            <w:left w:val="none" w:sz="0" w:space="0" w:color="auto"/>
            <w:bottom w:val="none" w:sz="0" w:space="0" w:color="auto"/>
            <w:right w:val="none" w:sz="0" w:space="0" w:color="auto"/>
          </w:divBdr>
        </w:div>
        <w:div w:id="1803570567">
          <w:marLeft w:val="0"/>
          <w:marRight w:val="0"/>
          <w:marTop w:val="0"/>
          <w:marBottom w:val="0"/>
          <w:divBdr>
            <w:top w:val="none" w:sz="0" w:space="0" w:color="auto"/>
            <w:left w:val="none" w:sz="0" w:space="0" w:color="auto"/>
            <w:bottom w:val="none" w:sz="0" w:space="0" w:color="auto"/>
            <w:right w:val="none" w:sz="0" w:space="0" w:color="auto"/>
          </w:divBdr>
        </w:div>
        <w:div w:id="1841120095">
          <w:marLeft w:val="0"/>
          <w:marRight w:val="0"/>
          <w:marTop w:val="0"/>
          <w:marBottom w:val="0"/>
          <w:divBdr>
            <w:top w:val="none" w:sz="0" w:space="0" w:color="auto"/>
            <w:left w:val="none" w:sz="0" w:space="0" w:color="auto"/>
            <w:bottom w:val="none" w:sz="0" w:space="0" w:color="auto"/>
            <w:right w:val="none" w:sz="0" w:space="0" w:color="auto"/>
          </w:divBdr>
        </w:div>
        <w:div w:id="1937208930">
          <w:marLeft w:val="0"/>
          <w:marRight w:val="0"/>
          <w:marTop w:val="0"/>
          <w:marBottom w:val="0"/>
          <w:divBdr>
            <w:top w:val="none" w:sz="0" w:space="0" w:color="auto"/>
            <w:left w:val="none" w:sz="0" w:space="0" w:color="auto"/>
            <w:bottom w:val="none" w:sz="0" w:space="0" w:color="auto"/>
            <w:right w:val="none" w:sz="0" w:space="0" w:color="auto"/>
          </w:divBdr>
        </w:div>
        <w:div w:id="1962222945">
          <w:marLeft w:val="0"/>
          <w:marRight w:val="0"/>
          <w:marTop w:val="0"/>
          <w:marBottom w:val="0"/>
          <w:divBdr>
            <w:top w:val="none" w:sz="0" w:space="0" w:color="auto"/>
            <w:left w:val="none" w:sz="0" w:space="0" w:color="auto"/>
            <w:bottom w:val="none" w:sz="0" w:space="0" w:color="auto"/>
            <w:right w:val="none" w:sz="0" w:space="0" w:color="auto"/>
          </w:divBdr>
          <w:divsChild>
            <w:div w:id="1959602639">
              <w:marLeft w:val="-75"/>
              <w:marRight w:val="0"/>
              <w:marTop w:val="30"/>
              <w:marBottom w:val="30"/>
              <w:divBdr>
                <w:top w:val="none" w:sz="0" w:space="0" w:color="auto"/>
                <w:left w:val="none" w:sz="0" w:space="0" w:color="auto"/>
                <w:bottom w:val="none" w:sz="0" w:space="0" w:color="auto"/>
                <w:right w:val="none" w:sz="0" w:space="0" w:color="auto"/>
              </w:divBdr>
              <w:divsChild>
                <w:div w:id="40252064">
                  <w:marLeft w:val="0"/>
                  <w:marRight w:val="0"/>
                  <w:marTop w:val="0"/>
                  <w:marBottom w:val="0"/>
                  <w:divBdr>
                    <w:top w:val="none" w:sz="0" w:space="0" w:color="auto"/>
                    <w:left w:val="none" w:sz="0" w:space="0" w:color="auto"/>
                    <w:bottom w:val="none" w:sz="0" w:space="0" w:color="auto"/>
                    <w:right w:val="none" w:sz="0" w:space="0" w:color="auto"/>
                  </w:divBdr>
                  <w:divsChild>
                    <w:div w:id="391537240">
                      <w:marLeft w:val="0"/>
                      <w:marRight w:val="0"/>
                      <w:marTop w:val="0"/>
                      <w:marBottom w:val="0"/>
                      <w:divBdr>
                        <w:top w:val="none" w:sz="0" w:space="0" w:color="auto"/>
                        <w:left w:val="none" w:sz="0" w:space="0" w:color="auto"/>
                        <w:bottom w:val="none" w:sz="0" w:space="0" w:color="auto"/>
                        <w:right w:val="none" w:sz="0" w:space="0" w:color="auto"/>
                      </w:divBdr>
                    </w:div>
                    <w:div w:id="413864066">
                      <w:marLeft w:val="0"/>
                      <w:marRight w:val="0"/>
                      <w:marTop w:val="0"/>
                      <w:marBottom w:val="0"/>
                      <w:divBdr>
                        <w:top w:val="none" w:sz="0" w:space="0" w:color="auto"/>
                        <w:left w:val="none" w:sz="0" w:space="0" w:color="auto"/>
                        <w:bottom w:val="none" w:sz="0" w:space="0" w:color="auto"/>
                        <w:right w:val="none" w:sz="0" w:space="0" w:color="auto"/>
                      </w:divBdr>
                    </w:div>
                    <w:div w:id="1347947254">
                      <w:marLeft w:val="0"/>
                      <w:marRight w:val="0"/>
                      <w:marTop w:val="0"/>
                      <w:marBottom w:val="0"/>
                      <w:divBdr>
                        <w:top w:val="none" w:sz="0" w:space="0" w:color="auto"/>
                        <w:left w:val="none" w:sz="0" w:space="0" w:color="auto"/>
                        <w:bottom w:val="none" w:sz="0" w:space="0" w:color="auto"/>
                        <w:right w:val="none" w:sz="0" w:space="0" w:color="auto"/>
                      </w:divBdr>
                    </w:div>
                  </w:divsChild>
                </w:div>
                <w:div w:id="482502025">
                  <w:marLeft w:val="0"/>
                  <w:marRight w:val="0"/>
                  <w:marTop w:val="0"/>
                  <w:marBottom w:val="0"/>
                  <w:divBdr>
                    <w:top w:val="none" w:sz="0" w:space="0" w:color="auto"/>
                    <w:left w:val="none" w:sz="0" w:space="0" w:color="auto"/>
                    <w:bottom w:val="none" w:sz="0" w:space="0" w:color="auto"/>
                    <w:right w:val="none" w:sz="0" w:space="0" w:color="auto"/>
                  </w:divBdr>
                  <w:divsChild>
                    <w:div w:id="1046297558">
                      <w:marLeft w:val="0"/>
                      <w:marRight w:val="0"/>
                      <w:marTop w:val="0"/>
                      <w:marBottom w:val="0"/>
                      <w:divBdr>
                        <w:top w:val="none" w:sz="0" w:space="0" w:color="auto"/>
                        <w:left w:val="none" w:sz="0" w:space="0" w:color="auto"/>
                        <w:bottom w:val="none" w:sz="0" w:space="0" w:color="auto"/>
                        <w:right w:val="none" w:sz="0" w:space="0" w:color="auto"/>
                      </w:divBdr>
                    </w:div>
                  </w:divsChild>
                </w:div>
                <w:div w:id="521087530">
                  <w:marLeft w:val="0"/>
                  <w:marRight w:val="0"/>
                  <w:marTop w:val="0"/>
                  <w:marBottom w:val="0"/>
                  <w:divBdr>
                    <w:top w:val="none" w:sz="0" w:space="0" w:color="auto"/>
                    <w:left w:val="none" w:sz="0" w:space="0" w:color="auto"/>
                    <w:bottom w:val="none" w:sz="0" w:space="0" w:color="auto"/>
                    <w:right w:val="none" w:sz="0" w:space="0" w:color="auto"/>
                  </w:divBdr>
                  <w:divsChild>
                    <w:div w:id="4371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515">
          <w:marLeft w:val="0"/>
          <w:marRight w:val="0"/>
          <w:marTop w:val="0"/>
          <w:marBottom w:val="0"/>
          <w:divBdr>
            <w:top w:val="none" w:sz="0" w:space="0" w:color="auto"/>
            <w:left w:val="none" w:sz="0" w:space="0" w:color="auto"/>
            <w:bottom w:val="none" w:sz="0" w:space="0" w:color="auto"/>
            <w:right w:val="none" w:sz="0" w:space="0" w:color="auto"/>
          </w:divBdr>
          <w:divsChild>
            <w:div w:id="65567986">
              <w:marLeft w:val="0"/>
              <w:marRight w:val="0"/>
              <w:marTop w:val="0"/>
              <w:marBottom w:val="0"/>
              <w:divBdr>
                <w:top w:val="none" w:sz="0" w:space="0" w:color="auto"/>
                <w:left w:val="none" w:sz="0" w:space="0" w:color="auto"/>
                <w:bottom w:val="none" w:sz="0" w:space="0" w:color="auto"/>
                <w:right w:val="none" w:sz="0" w:space="0" w:color="auto"/>
              </w:divBdr>
            </w:div>
            <w:div w:id="886842834">
              <w:marLeft w:val="0"/>
              <w:marRight w:val="0"/>
              <w:marTop w:val="0"/>
              <w:marBottom w:val="0"/>
              <w:divBdr>
                <w:top w:val="none" w:sz="0" w:space="0" w:color="auto"/>
                <w:left w:val="none" w:sz="0" w:space="0" w:color="auto"/>
                <w:bottom w:val="none" w:sz="0" w:space="0" w:color="auto"/>
                <w:right w:val="none" w:sz="0" w:space="0" w:color="auto"/>
              </w:divBdr>
            </w:div>
            <w:div w:id="1547255529">
              <w:marLeft w:val="0"/>
              <w:marRight w:val="0"/>
              <w:marTop w:val="0"/>
              <w:marBottom w:val="0"/>
              <w:divBdr>
                <w:top w:val="none" w:sz="0" w:space="0" w:color="auto"/>
                <w:left w:val="none" w:sz="0" w:space="0" w:color="auto"/>
                <w:bottom w:val="none" w:sz="0" w:space="0" w:color="auto"/>
                <w:right w:val="none" w:sz="0" w:space="0" w:color="auto"/>
              </w:divBdr>
            </w:div>
            <w:div w:id="1878396977">
              <w:marLeft w:val="0"/>
              <w:marRight w:val="0"/>
              <w:marTop w:val="0"/>
              <w:marBottom w:val="0"/>
              <w:divBdr>
                <w:top w:val="none" w:sz="0" w:space="0" w:color="auto"/>
                <w:left w:val="none" w:sz="0" w:space="0" w:color="auto"/>
                <w:bottom w:val="none" w:sz="0" w:space="0" w:color="auto"/>
                <w:right w:val="none" w:sz="0" w:space="0" w:color="auto"/>
              </w:divBdr>
            </w:div>
            <w:div w:id="2119711846">
              <w:marLeft w:val="0"/>
              <w:marRight w:val="0"/>
              <w:marTop w:val="0"/>
              <w:marBottom w:val="0"/>
              <w:divBdr>
                <w:top w:val="none" w:sz="0" w:space="0" w:color="auto"/>
                <w:left w:val="none" w:sz="0" w:space="0" w:color="auto"/>
                <w:bottom w:val="none" w:sz="0" w:space="0" w:color="auto"/>
                <w:right w:val="none" w:sz="0" w:space="0" w:color="auto"/>
              </w:divBdr>
            </w:div>
          </w:divsChild>
        </w:div>
        <w:div w:id="2088265294">
          <w:marLeft w:val="0"/>
          <w:marRight w:val="0"/>
          <w:marTop w:val="0"/>
          <w:marBottom w:val="0"/>
          <w:divBdr>
            <w:top w:val="none" w:sz="0" w:space="0" w:color="auto"/>
            <w:left w:val="none" w:sz="0" w:space="0" w:color="auto"/>
            <w:bottom w:val="none" w:sz="0" w:space="0" w:color="auto"/>
            <w:right w:val="none" w:sz="0" w:space="0" w:color="auto"/>
          </w:divBdr>
        </w:div>
        <w:div w:id="2116823834">
          <w:marLeft w:val="0"/>
          <w:marRight w:val="0"/>
          <w:marTop w:val="0"/>
          <w:marBottom w:val="0"/>
          <w:divBdr>
            <w:top w:val="none" w:sz="0" w:space="0" w:color="auto"/>
            <w:left w:val="none" w:sz="0" w:space="0" w:color="auto"/>
            <w:bottom w:val="none" w:sz="0" w:space="0" w:color="auto"/>
            <w:right w:val="none" w:sz="0" w:space="0" w:color="auto"/>
          </w:divBdr>
        </w:div>
      </w:divsChild>
    </w:div>
    <w:div w:id="948586228">
      <w:bodyDiv w:val="1"/>
      <w:marLeft w:val="0"/>
      <w:marRight w:val="0"/>
      <w:marTop w:val="0"/>
      <w:marBottom w:val="0"/>
      <w:divBdr>
        <w:top w:val="none" w:sz="0" w:space="0" w:color="auto"/>
        <w:left w:val="none" w:sz="0" w:space="0" w:color="auto"/>
        <w:bottom w:val="none" w:sz="0" w:space="0" w:color="auto"/>
        <w:right w:val="none" w:sz="0" w:space="0" w:color="auto"/>
      </w:divBdr>
    </w:div>
    <w:div w:id="1279949486">
      <w:bodyDiv w:val="1"/>
      <w:marLeft w:val="0"/>
      <w:marRight w:val="0"/>
      <w:marTop w:val="0"/>
      <w:marBottom w:val="0"/>
      <w:divBdr>
        <w:top w:val="none" w:sz="0" w:space="0" w:color="auto"/>
        <w:left w:val="none" w:sz="0" w:space="0" w:color="auto"/>
        <w:bottom w:val="none" w:sz="0" w:space="0" w:color="auto"/>
        <w:right w:val="none" w:sz="0" w:space="0" w:color="auto"/>
      </w:divBdr>
      <w:divsChild>
        <w:div w:id="47800928">
          <w:marLeft w:val="0"/>
          <w:marRight w:val="0"/>
          <w:marTop w:val="0"/>
          <w:marBottom w:val="0"/>
          <w:divBdr>
            <w:top w:val="none" w:sz="0" w:space="0" w:color="auto"/>
            <w:left w:val="none" w:sz="0" w:space="0" w:color="auto"/>
            <w:bottom w:val="none" w:sz="0" w:space="0" w:color="auto"/>
            <w:right w:val="none" w:sz="0" w:space="0" w:color="auto"/>
          </w:divBdr>
          <w:divsChild>
            <w:div w:id="74938229">
              <w:marLeft w:val="0"/>
              <w:marRight w:val="0"/>
              <w:marTop w:val="0"/>
              <w:marBottom w:val="0"/>
              <w:divBdr>
                <w:top w:val="none" w:sz="0" w:space="0" w:color="auto"/>
                <w:left w:val="none" w:sz="0" w:space="0" w:color="auto"/>
                <w:bottom w:val="none" w:sz="0" w:space="0" w:color="auto"/>
                <w:right w:val="none" w:sz="0" w:space="0" w:color="auto"/>
              </w:divBdr>
            </w:div>
            <w:div w:id="216431551">
              <w:marLeft w:val="0"/>
              <w:marRight w:val="0"/>
              <w:marTop w:val="0"/>
              <w:marBottom w:val="0"/>
              <w:divBdr>
                <w:top w:val="none" w:sz="0" w:space="0" w:color="auto"/>
                <w:left w:val="none" w:sz="0" w:space="0" w:color="auto"/>
                <w:bottom w:val="none" w:sz="0" w:space="0" w:color="auto"/>
                <w:right w:val="none" w:sz="0" w:space="0" w:color="auto"/>
              </w:divBdr>
            </w:div>
            <w:div w:id="1523517123">
              <w:marLeft w:val="0"/>
              <w:marRight w:val="0"/>
              <w:marTop w:val="0"/>
              <w:marBottom w:val="0"/>
              <w:divBdr>
                <w:top w:val="none" w:sz="0" w:space="0" w:color="auto"/>
                <w:left w:val="none" w:sz="0" w:space="0" w:color="auto"/>
                <w:bottom w:val="none" w:sz="0" w:space="0" w:color="auto"/>
                <w:right w:val="none" w:sz="0" w:space="0" w:color="auto"/>
              </w:divBdr>
            </w:div>
            <w:div w:id="1938512806">
              <w:marLeft w:val="0"/>
              <w:marRight w:val="0"/>
              <w:marTop w:val="0"/>
              <w:marBottom w:val="0"/>
              <w:divBdr>
                <w:top w:val="none" w:sz="0" w:space="0" w:color="auto"/>
                <w:left w:val="none" w:sz="0" w:space="0" w:color="auto"/>
                <w:bottom w:val="none" w:sz="0" w:space="0" w:color="auto"/>
                <w:right w:val="none" w:sz="0" w:space="0" w:color="auto"/>
              </w:divBdr>
            </w:div>
            <w:div w:id="2097239713">
              <w:marLeft w:val="0"/>
              <w:marRight w:val="0"/>
              <w:marTop w:val="0"/>
              <w:marBottom w:val="0"/>
              <w:divBdr>
                <w:top w:val="none" w:sz="0" w:space="0" w:color="auto"/>
                <w:left w:val="none" w:sz="0" w:space="0" w:color="auto"/>
                <w:bottom w:val="none" w:sz="0" w:space="0" w:color="auto"/>
                <w:right w:val="none" w:sz="0" w:space="0" w:color="auto"/>
              </w:divBdr>
            </w:div>
          </w:divsChild>
        </w:div>
        <w:div w:id="63262032">
          <w:marLeft w:val="0"/>
          <w:marRight w:val="0"/>
          <w:marTop w:val="0"/>
          <w:marBottom w:val="0"/>
          <w:divBdr>
            <w:top w:val="none" w:sz="0" w:space="0" w:color="auto"/>
            <w:left w:val="none" w:sz="0" w:space="0" w:color="auto"/>
            <w:bottom w:val="none" w:sz="0" w:space="0" w:color="auto"/>
            <w:right w:val="none" w:sz="0" w:space="0" w:color="auto"/>
          </w:divBdr>
        </w:div>
        <w:div w:id="67194701">
          <w:marLeft w:val="0"/>
          <w:marRight w:val="0"/>
          <w:marTop w:val="0"/>
          <w:marBottom w:val="0"/>
          <w:divBdr>
            <w:top w:val="none" w:sz="0" w:space="0" w:color="auto"/>
            <w:left w:val="none" w:sz="0" w:space="0" w:color="auto"/>
            <w:bottom w:val="none" w:sz="0" w:space="0" w:color="auto"/>
            <w:right w:val="none" w:sz="0" w:space="0" w:color="auto"/>
          </w:divBdr>
        </w:div>
        <w:div w:id="109445159">
          <w:marLeft w:val="0"/>
          <w:marRight w:val="0"/>
          <w:marTop w:val="0"/>
          <w:marBottom w:val="0"/>
          <w:divBdr>
            <w:top w:val="none" w:sz="0" w:space="0" w:color="auto"/>
            <w:left w:val="none" w:sz="0" w:space="0" w:color="auto"/>
            <w:bottom w:val="none" w:sz="0" w:space="0" w:color="auto"/>
            <w:right w:val="none" w:sz="0" w:space="0" w:color="auto"/>
          </w:divBdr>
        </w:div>
        <w:div w:id="110364826">
          <w:marLeft w:val="0"/>
          <w:marRight w:val="0"/>
          <w:marTop w:val="0"/>
          <w:marBottom w:val="0"/>
          <w:divBdr>
            <w:top w:val="none" w:sz="0" w:space="0" w:color="auto"/>
            <w:left w:val="none" w:sz="0" w:space="0" w:color="auto"/>
            <w:bottom w:val="none" w:sz="0" w:space="0" w:color="auto"/>
            <w:right w:val="none" w:sz="0" w:space="0" w:color="auto"/>
          </w:divBdr>
        </w:div>
        <w:div w:id="128591881">
          <w:marLeft w:val="0"/>
          <w:marRight w:val="0"/>
          <w:marTop w:val="0"/>
          <w:marBottom w:val="0"/>
          <w:divBdr>
            <w:top w:val="none" w:sz="0" w:space="0" w:color="auto"/>
            <w:left w:val="none" w:sz="0" w:space="0" w:color="auto"/>
            <w:bottom w:val="none" w:sz="0" w:space="0" w:color="auto"/>
            <w:right w:val="none" w:sz="0" w:space="0" w:color="auto"/>
          </w:divBdr>
        </w:div>
        <w:div w:id="194272915">
          <w:marLeft w:val="0"/>
          <w:marRight w:val="0"/>
          <w:marTop w:val="0"/>
          <w:marBottom w:val="0"/>
          <w:divBdr>
            <w:top w:val="none" w:sz="0" w:space="0" w:color="auto"/>
            <w:left w:val="none" w:sz="0" w:space="0" w:color="auto"/>
            <w:bottom w:val="none" w:sz="0" w:space="0" w:color="auto"/>
            <w:right w:val="none" w:sz="0" w:space="0" w:color="auto"/>
          </w:divBdr>
        </w:div>
        <w:div w:id="379399162">
          <w:marLeft w:val="0"/>
          <w:marRight w:val="0"/>
          <w:marTop w:val="0"/>
          <w:marBottom w:val="0"/>
          <w:divBdr>
            <w:top w:val="none" w:sz="0" w:space="0" w:color="auto"/>
            <w:left w:val="none" w:sz="0" w:space="0" w:color="auto"/>
            <w:bottom w:val="none" w:sz="0" w:space="0" w:color="auto"/>
            <w:right w:val="none" w:sz="0" w:space="0" w:color="auto"/>
          </w:divBdr>
        </w:div>
        <w:div w:id="387069105">
          <w:marLeft w:val="0"/>
          <w:marRight w:val="0"/>
          <w:marTop w:val="0"/>
          <w:marBottom w:val="0"/>
          <w:divBdr>
            <w:top w:val="none" w:sz="0" w:space="0" w:color="auto"/>
            <w:left w:val="none" w:sz="0" w:space="0" w:color="auto"/>
            <w:bottom w:val="none" w:sz="0" w:space="0" w:color="auto"/>
            <w:right w:val="none" w:sz="0" w:space="0" w:color="auto"/>
          </w:divBdr>
          <w:divsChild>
            <w:div w:id="461001806">
              <w:marLeft w:val="0"/>
              <w:marRight w:val="0"/>
              <w:marTop w:val="0"/>
              <w:marBottom w:val="0"/>
              <w:divBdr>
                <w:top w:val="none" w:sz="0" w:space="0" w:color="auto"/>
                <w:left w:val="none" w:sz="0" w:space="0" w:color="auto"/>
                <w:bottom w:val="none" w:sz="0" w:space="0" w:color="auto"/>
                <w:right w:val="none" w:sz="0" w:space="0" w:color="auto"/>
              </w:divBdr>
            </w:div>
            <w:div w:id="1136801494">
              <w:marLeft w:val="0"/>
              <w:marRight w:val="0"/>
              <w:marTop w:val="0"/>
              <w:marBottom w:val="0"/>
              <w:divBdr>
                <w:top w:val="none" w:sz="0" w:space="0" w:color="auto"/>
                <w:left w:val="none" w:sz="0" w:space="0" w:color="auto"/>
                <w:bottom w:val="none" w:sz="0" w:space="0" w:color="auto"/>
                <w:right w:val="none" w:sz="0" w:space="0" w:color="auto"/>
              </w:divBdr>
            </w:div>
            <w:div w:id="1516765738">
              <w:marLeft w:val="0"/>
              <w:marRight w:val="0"/>
              <w:marTop w:val="0"/>
              <w:marBottom w:val="0"/>
              <w:divBdr>
                <w:top w:val="none" w:sz="0" w:space="0" w:color="auto"/>
                <w:left w:val="none" w:sz="0" w:space="0" w:color="auto"/>
                <w:bottom w:val="none" w:sz="0" w:space="0" w:color="auto"/>
                <w:right w:val="none" w:sz="0" w:space="0" w:color="auto"/>
              </w:divBdr>
            </w:div>
            <w:div w:id="1881744530">
              <w:marLeft w:val="0"/>
              <w:marRight w:val="0"/>
              <w:marTop w:val="0"/>
              <w:marBottom w:val="0"/>
              <w:divBdr>
                <w:top w:val="none" w:sz="0" w:space="0" w:color="auto"/>
                <w:left w:val="none" w:sz="0" w:space="0" w:color="auto"/>
                <w:bottom w:val="none" w:sz="0" w:space="0" w:color="auto"/>
                <w:right w:val="none" w:sz="0" w:space="0" w:color="auto"/>
              </w:divBdr>
            </w:div>
            <w:div w:id="2061980018">
              <w:marLeft w:val="0"/>
              <w:marRight w:val="0"/>
              <w:marTop w:val="0"/>
              <w:marBottom w:val="0"/>
              <w:divBdr>
                <w:top w:val="none" w:sz="0" w:space="0" w:color="auto"/>
                <w:left w:val="none" w:sz="0" w:space="0" w:color="auto"/>
                <w:bottom w:val="none" w:sz="0" w:space="0" w:color="auto"/>
                <w:right w:val="none" w:sz="0" w:space="0" w:color="auto"/>
              </w:divBdr>
            </w:div>
          </w:divsChild>
        </w:div>
        <w:div w:id="606304866">
          <w:marLeft w:val="0"/>
          <w:marRight w:val="0"/>
          <w:marTop w:val="0"/>
          <w:marBottom w:val="0"/>
          <w:divBdr>
            <w:top w:val="none" w:sz="0" w:space="0" w:color="auto"/>
            <w:left w:val="none" w:sz="0" w:space="0" w:color="auto"/>
            <w:bottom w:val="none" w:sz="0" w:space="0" w:color="auto"/>
            <w:right w:val="none" w:sz="0" w:space="0" w:color="auto"/>
          </w:divBdr>
        </w:div>
        <w:div w:id="617418817">
          <w:marLeft w:val="0"/>
          <w:marRight w:val="0"/>
          <w:marTop w:val="0"/>
          <w:marBottom w:val="0"/>
          <w:divBdr>
            <w:top w:val="none" w:sz="0" w:space="0" w:color="auto"/>
            <w:left w:val="none" w:sz="0" w:space="0" w:color="auto"/>
            <w:bottom w:val="none" w:sz="0" w:space="0" w:color="auto"/>
            <w:right w:val="none" w:sz="0" w:space="0" w:color="auto"/>
          </w:divBdr>
        </w:div>
        <w:div w:id="622423585">
          <w:marLeft w:val="0"/>
          <w:marRight w:val="0"/>
          <w:marTop w:val="0"/>
          <w:marBottom w:val="0"/>
          <w:divBdr>
            <w:top w:val="none" w:sz="0" w:space="0" w:color="auto"/>
            <w:left w:val="none" w:sz="0" w:space="0" w:color="auto"/>
            <w:bottom w:val="none" w:sz="0" w:space="0" w:color="auto"/>
            <w:right w:val="none" w:sz="0" w:space="0" w:color="auto"/>
          </w:divBdr>
        </w:div>
        <w:div w:id="673217332">
          <w:marLeft w:val="0"/>
          <w:marRight w:val="0"/>
          <w:marTop w:val="0"/>
          <w:marBottom w:val="0"/>
          <w:divBdr>
            <w:top w:val="none" w:sz="0" w:space="0" w:color="auto"/>
            <w:left w:val="none" w:sz="0" w:space="0" w:color="auto"/>
            <w:bottom w:val="none" w:sz="0" w:space="0" w:color="auto"/>
            <w:right w:val="none" w:sz="0" w:space="0" w:color="auto"/>
          </w:divBdr>
        </w:div>
        <w:div w:id="696780843">
          <w:marLeft w:val="0"/>
          <w:marRight w:val="0"/>
          <w:marTop w:val="0"/>
          <w:marBottom w:val="0"/>
          <w:divBdr>
            <w:top w:val="none" w:sz="0" w:space="0" w:color="auto"/>
            <w:left w:val="none" w:sz="0" w:space="0" w:color="auto"/>
            <w:bottom w:val="none" w:sz="0" w:space="0" w:color="auto"/>
            <w:right w:val="none" w:sz="0" w:space="0" w:color="auto"/>
          </w:divBdr>
        </w:div>
        <w:div w:id="771363948">
          <w:marLeft w:val="0"/>
          <w:marRight w:val="0"/>
          <w:marTop w:val="0"/>
          <w:marBottom w:val="0"/>
          <w:divBdr>
            <w:top w:val="none" w:sz="0" w:space="0" w:color="auto"/>
            <w:left w:val="none" w:sz="0" w:space="0" w:color="auto"/>
            <w:bottom w:val="none" w:sz="0" w:space="0" w:color="auto"/>
            <w:right w:val="none" w:sz="0" w:space="0" w:color="auto"/>
          </w:divBdr>
        </w:div>
        <w:div w:id="804784309">
          <w:marLeft w:val="0"/>
          <w:marRight w:val="0"/>
          <w:marTop w:val="0"/>
          <w:marBottom w:val="0"/>
          <w:divBdr>
            <w:top w:val="none" w:sz="0" w:space="0" w:color="auto"/>
            <w:left w:val="none" w:sz="0" w:space="0" w:color="auto"/>
            <w:bottom w:val="none" w:sz="0" w:space="0" w:color="auto"/>
            <w:right w:val="none" w:sz="0" w:space="0" w:color="auto"/>
          </w:divBdr>
          <w:divsChild>
            <w:div w:id="148525453">
              <w:marLeft w:val="-75"/>
              <w:marRight w:val="0"/>
              <w:marTop w:val="30"/>
              <w:marBottom w:val="30"/>
              <w:divBdr>
                <w:top w:val="none" w:sz="0" w:space="0" w:color="auto"/>
                <w:left w:val="none" w:sz="0" w:space="0" w:color="auto"/>
                <w:bottom w:val="none" w:sz="0" w:space="0" w:color="auto"/>
                <w:right w:val="none" w:sz="0" w:space="0" w:color="auto"/>
              </w:divBdr>
              <w:divsChild>
                <w:div w:id="369301275">
                  <w:marLeft w:val="0"/>
                  <w:marRight w:val="0"/>
                  <w:marTop w:val="0"/>
                  <w:marBottom w:val="0"/>
                  <w:divBdr>
                    <w:top w:val="none" w:sz="0" w:space="0" w:color="auto"/>
                    <w:left w:val="none" w:sz="0" w:space="0" w:color="auto"/>
                    <w:bottom w:val="none" w:sz="0" w:space="0" w:color="auto"/>
                    <w:right w:val="none" w:sz="0" w:space="0" w:color="auto"/>
                  </w:divBdr>
                  <w:divsChild>
                    <w:div w:id="1138382044">
                      <w:marLeft w:val="0"/>
                      <w:marRight w:val="0"/>
                      <w:marTop w:val="0"/>
                      <w:marBottom w:val="0"/>
                      <w:divBdr>
                        <w:top w:val="none" w:sz="0" w:space="0" w:color="auto"/>
                        <w:left w:val="none" w:sz="0" w:space="0" w:color="auto"/>
                        <w:bottom w:val="none" w:sz="0" w:space="0" w:color="auto"/>
                        <w:right w:val="none" w:sz="0" w:space="0" w:color="auto"/>
                      </w:divBdr>
                    </w:div>
                    <w:div w:id="1909535466">
                      <w:marLeft w:val="0"/>
                      <w:marRight w:val="0"/>
                      <w:marTop w:val="0"/>
                      <w:marBottom w:val="0"/>
                      <w:divBdr>
                        <w:top w:val="none" w:sz="0" w:space="0" w:color="auto"/>
                        <w:left w:val="none" w:sz="0" w:space="0" w:color="auto"/>
                        <w:bottom w:val="none" w:sz="0" w:space="0" w:color="auto"/>
                        <w:right w:val="none" w:sz="0" w:space="0" w:color="auto"/>
                      </w:divBdr>
                    </w:div>
                    <w:div w:id="1911039785">
                      <w:marLeft w:val="0"/>
                      <w:marRight w:val="0"/>
                      <w:marTop w:val="0"/>
                      <w:marBottom w:val="0"/>
                      <w:divBdr>
                        <w:top w:val="none" w:sz="0" w:space="0" w:color="auto"/>
                        <w:left w:val="none" w:sz="0" w:space="0" w:color="auto"/>
                        <w:bottom w:val="none" w:sz="0" w:space="0" w:color="auto"/>
                        <w:right w:val="none" w:sz="0" w:space="0" w:color="auto"/>
                      </w:divBdr>
                    </w:div>
                  </w:divsChild>
                </w:div>
                <w:div w:id="815149073">
                  <w:marLeft w:val="0"/>
                  <w:marRight w:val="0"/>
                  <w:marTop w:val="0"/>
                  <w:marBottom w:val="0"/>
                  <w:divBdr>
                    <w:top w:val="none" w:sz="0" w:space="0" w:color="auto"/>
                    <w:left w:val="none" w:sz="0" w:space="0" w:color="auto"/>
                    <w:bottom w:val="none" w:sz="0" w:space="0" w:color="auto"/>
                    <w:right w:val="none" w:sz="0" w:space="0" w:color="auto"/>
                  </w:divBdr>
                  <w:divsChild>
                    <w:div w:id="1833982243">
                      <w:marLeft w:val="0"/>
                      <w:marRight w:val="0"/>
                      <w:marTop w:val="0"/>
                      <w:marBottom w:val="0"/>
                      <w:divBdr>
                        <w:top w:val="none" w:sz="0" w:space="0" w:color="auto"/>
                        <w:left w:val="none" w:sz="0" w:space="0" w:color="auto"/>
                        <w:bottom w:val="none" w:sz="0" w:space="0" w:color="auto"/>
                        <w:right w:val="none" w:sz="0" w:space="0" w:color="auto"/>
                      </w:divBdr>
                    </w:div>
                  </w:divsChild>
                </w:div>
                <w:div w:id="1366753623">
                  <w:marLeft w:val="0"/>
                  <w:marRight w:val="0"/>
                  <w:marTop w:val="0"/>
                  <w:marBottom w:val="0"/>
                  <w:divBdr>
                    <w:top w:val="none" w:sz="0" w:space="0" w:color="auto"/>
                    <w:left w:val="none" w:sz="0" w:space="0" w:color="auto"/>
                    <w:bottom w:val="none" w:sz="0" w:space="0" w:color="auto"/>
                    <w:right w:val="none" w:sz="0" w:space="0" w:color="auto"/>
                  </w:divBdr>
                  <w:divsChild>
                    <w:div w:id="4050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1575">
          <w:marLeft w:val="0"/>
          <w:marRight w:val="0"/>
          <w:marTop w:val="0"/>
          <w:marBottom w:val="0"/>
          <w:divBdr>
            <w:top w:val="none" w:sz="0" w:space="0" w:color="auto"/>
            <w:left w:val="none" w:sz="0" w:space="0" w:color="auto"/>
            <w:bottom w:val="none" w:sz="0" w:space="0" w:color="auto"/>
            <w:right w:val="none" w:sz="0" w:space="0" w:color="auto"/>
          </w:divBdr>
        </w:div>
        <w:div w:id="891424777">
          <w:marLeft w:val="0"/>
          <w:marRight w:val="0"/>
          <w:marTop w:val="0"/>
          <w:marBottom w:val="0"/>
          <w:divBdr>
            <w:top w:val="none" w:sz="0" w:space="0" w:color="auto"/>
            <w:left w:val="none" w:sz="0" w:space="0" w:color="auto"/>
            <w:bottom w:val="none" w:sz="0" w:space="0" w:color="auto"/>
            <w:right w:val="none" w:sz="0" w:space="0" w:color="auto"/>
          </w:divBdr>
        </w:div>
        <w:div w:id="967004078">
          <w:marLeft w:val="0"/>
          <w:marRight w:val="0"/>
          <w:marTop w:val="0"/>
          <w:marBottom w:val="0"/>
          <w:divBdr>
            <w:top w:val="none" w:sz="0" w:space="0" w:color="auto"/>
            <w:left w:val="none" w:sz="0" w:space="0" w:color="auto"/>
            <w:bottom w:val="none" w:sz="0" w:space="0" w:color="auto"/>
            <w:right w:val="none" w:sz="0" w:space="0" w:color="auto"/>
          </w:divBdr>
          <w:divsChild>
            <w:div w:id="43525371">
              <w:marLeft w:val="0"/>
              <w:marRight w:val="0"/>
              <w:marTop w:val="0"/>
              <w:marBottom w:val="0"/>
              <w:divBdr>
                <w:top w:val="none" w:sz="0" w:space="0" w:color="auto"/>
                <w:left w:val="none" w:sz="0" w:space="0" w:color="auto"/>
                <w:bottom w:val="none" w:sz="0" w:space="0" w:color="auto"/>
                <w:right w:val="none" w:sz="0" w:space="0" w:color="auto"/>
              </w:divBdr>
            </w:div>
            <w:div w:id="493759951">
              <w:marLeft w:val="0"/>
              <w:marRight w:val="0"/>
              <w:marTop w:val="0"/>
              <w:marBottom w:val="0"/>
              <w:divBdr>
                <w:top w:val="none" w:sz="0" w:space="0" w:color="auto"/>
                <w:left w:val="none" w:sz="0" w:space="0" w:color="auto"/>
                <w:bottom w:val="none" w:sz="0" w:space="0" w:color="auto"/>
                <w:right w:val="none" w:sz="0" w:space="0" w:color="auto"/>
              </w:divBdr>
            </w:div>
            <w:div w:id="1075930778">
              <w:marLeft w:val="0"/>
              <w:marRight w:val="0"/>
              <w:marTop w:val="0"/>
              <w:marBottom w:val="0"/>
              <w:divBdr>
                <w:top w:val="none" w:sz="0" w:space="0" w:color="auto"/>
                <w:left w:val="none" w:sz="0" w:space="0" w:color="auto"/>
                <w:bottom w:val="none" w:sz="0" w:space="0" w:color="auto"/>
                <w:right w:val="none" w:sz="0" w:space="0" w:color="auto"/>
              </w:divBdr>
            </w:div>
            <w:div w:id="1262833530">
              <w:marLeft w:val="0"/>
              <w:marRight w:val="0"/>
              <w:marTop w:val="0"/>
              <w:marBottom w:val="0"/>
              <w:divBdr>
                <w:top w:val="none" w:sz="0" w:space="0" w:color="auto"/>
                <w:left w:val="none" w:sz="0" w:space="0" w:color="auto"/>
                <w:bottom w:val="none" w:sz="0" w:space="0" w:color="auto"/>
                <w:right w:val="none" w:sz="0" w:space="0" w:color="auto"/>
              </w:divBdr>
            </w:div>
            <w:div w:id="1279488467">
              <w:marLeft w:val="0"/>
              <w:marRight w:val="0"/>
              <w:marTop w:val="0"/>
              <w:marBottom w:val="0"/>
              <w:divBdr>
                <w:top w:val="none" w:sz="0" w:space="0" w:color="auto"/>
                <w:left w:val="none" w:sz="0" w:space="0" w:color="auto"/>
                <w:bottom w:val="none" w:sz="0" w:space="0" w:color="auto"/>
                <w:right w:val="none" w:sz="0" w:space="0" w:color="auto"/>
              </w:divBdr>
            </w:div>
          </w:divsChild>
        </w:div>
        <w:div w:id="1010329423">
          <w:marLeft w:val="0"/>
          <w:marRight w:val="0"/>
          <w:marTop w:val="0"/>
          <w:marBottom w:val="0"/>
          <w:divBdr>
            <w:top w:val="none" w:sz="0" w:space="0" w:color="auto"/>
            <w:left w:val="none" w:sz="0" w:space="0" w:color="auto"/>
            <w:bottom w:val="none" w:sz="0" w:space="0" w:color="auto"/>
            <w:right w:val="none" w:sz="0" w:space="0" w:color="auto"/>
          </w:divBdr>
        </w:div>
        <w:div w:id="1015234114">
          <w:marLeft w:val="0"/>
          <w:marRight w:val="0"/>
          <w:marTop w:val="0"/>
          <w:marBottom w:val="0"/>
          <w:divBdr>
            <w:top w:val="none" w:sz="0" w:space="0" w:color="auto"/>
            <w:left w:val="none" w:sz="0" w:space="0" w:color="auto"/>
            <w:bottom w:val="none" w:sz="0" w:space="0" w:color="auto"/>
            <w:right w:val="none" w:sz="0" w:space="0" w:color="auto"/>
          </w:divBdr>
        </w:div>
        <w:div w:id="1034232612">
          <w:marLeft w:val="0"/>
          <w:marRight w:val="0"/>
          <w:marTop w:val="0"/>
          <w:marBottom w:val="0"/>
          <w:divBdr>
            <w:top w:val="none" w:sz="0" w:space="0" w:color="auto"/>
            <w:left w:val="none" w:sz="0" w:space="0" w:color="auto"/>
            <w:bottom w:val="none" w:sz="0" w:space="0" w:color="auto"/>
            <w:right w:val="none" w:sz="0" w:space="0" w:color="auto"/>
          </w:divBdr>
        </w:div>
        <w:div w:id="1037004955">
          <w:marLeft w:val="0"/>
          <w:marRight w:val="0"/>
          <w:marTop w:val="0"/>
          <w:marBottom w:val="0"/>
          <w:divBdr>
            <w:top w:val="none" w:sz="0" w:space="0" w:color="auto"/>
            <w:left w:val="none" w:sz="0" w:space="0" w:color="auto"/>
            <w:bottom w:val="none" w:sz="0" w:space="0" w:color="auto"/>
            <w:right w:val="none" w:sz="0" w:space="0" w:color="auto"/>
          </w:divBdr>
        </w:div>
        <w:div w:id="1051080300">
          <w:marLeft w:val="0"/>
          <w:marRight w:val="0"/>
          <w:marTop w:val="0"/>
          <w:marBottom w:val="0"/>
          <w:divBdr>
            <w:top w:val="none" w:sz="0" w:space="0" w:color="auto"/>
            <w:left w:val="none" w:sz="0" w:space="0" w:color="auto"/>
            <w:bottom w:val="none" w:sz="0" w:space="0" w:color="auto"/>
            <w:right w:val="none" w:sz="0" w:space="0" w:color="auto"/>
          </w:divBdr>
          <w:divsChild>
            <w:div w:id="138497091">
              <w:marLeft w:val="0"/>
              <w:marRight w:val="0"/>
              <w:marTop w:val="0"/>
              <w:marBottom w:val="0"/>
              <w:divBdr>
                <w:top w:val="none" w:sz="0" w:space="0" w:color="auto"/>
                <w:left w:val="none" w:sz="0" w:space="0" w:color="auto"/>
                <w:bottom w:val="none" w:sz="0" w:space="0" w:color="auto"/>
                <w:right w:val="none" w:sz="0" w:space="0" w:color="auto"/>
              </w:divBdr>
            </w:div>
            <w:div w:id="550576750">
              <w:marLeft w:val="0"/>
              <w:marRight w:val="0"/>
              <w:marTop w:val="0"/>
              <w:marBottom w:val="0"/>
              <w:divBdr>
                <w:top w:val="none" w:sz="0" w:space="0" w:color="auto"/>
                <w:left w:val="none" w:sz="0" w:space="0" w:color="auto"/>
                <w:bottom w:val="none" w:sz="0" w:space="0" w:color="auto"/>
                <w:right w:val="none" w:sz="0" w:space="0" w:color="auto"/>
              </w:divBdr>
            </w:div>
            <w:div w:id="1169177306">
              <w:marLeft w:val="0"/>
              <w:marRight w:val="0"/>
              <w:marTop w:val="0"/>
              <w:marBottom w:val="0"/>
              <w:divBdr>
                <w:top w:val="none" w:sz="0" w:space="0" w:color="auto"/>
                <w:left w:val="none" w:sz="0" w:space="0" w:color="auto"/>
                <w:bottom w:val="none" w:sz="0" w:space="0" w:color="auto"/>
                <w:right w:val="none" w:sz="0" w:space="0" w:color="auto"/>
              </w:divBdr>
            </w:div>
            <w:div w:id="1288900275">
              <w:marLeft w:val="0"/>
              <w:marRight w:val="0"/>
              <w:marTop w:val="0"/>
              <w:marBottom w:val="0"/>
              <w:divBdr>
                <w:top w:val="none" w:sz="0" w:space="0" w:color="auto"/>
                <w:left w:val="none" w:sz="0" w:space="0" w:color="auto"/>
                <w:bottom w:val="none" w:sz="0" w:space="0" w:color="auto"/>
                <w:right w:val="none" w:sz="0" w:space="0" w:color="auto"/>
              </w:divBdr>
            </w:div>
            <w:div w:id="1798452466">
              <w:marLeft w:val="0"/>
              <w:marRight w:val="0"/>
              <w:marTop w:val="0"/>
              <w:marBottom w:val="0"/>
              <w:divBdr>
                <w:top w:val="none" w:sz="0" w:space="0" w:color="auto"/>
                <w:left w:val="none" w:sz="0" w:space="0" w:color="auto"/>
                <w:bottom w:val="none" w:sz="0" w:space="0" w:color="auto"/>
                <w:right w:val="none" w:sz="0" w:space="0" w:color="auto"/>
              </w:divBdr>
            </w:div>
          </w:divsChild>
        </w:div>
        <w:div w:id="1075738517">
          <w:marLeft w:val="0"/>
          <w:marRight w:val="0"/>
          <w:marTop w:val="0"/>
          <w:marBottom w:val="0"/>
          <w:divBdr>
            <w:top w:val="none" w:sz="0" w:space="0" w:color="auto"/>
            <w:left w:val="none" w:sz="0" w:space="0" w:color="auto"/>
            <w:bottom w:val="none" w:sz="0" w:space="0" w:color="auto"/>
            <w:right w:val="none" w:sz="0" w:space="0" w:color="auto"/>
          </w:divBdr>
          <w:divsChild>
            <w:div w:id="48463478">
              <w:marLeft w:val="0"/>
              <w:marRight w:val="0"/>
              <w:marTop w:val="0"/>
              <w:marBottom w:val="0"/>
              <w:divBdr>
                <w:top w:val="none" w:sz="0" w:space="0" w:color="auto"/>
                <w:left w:val="none" w:sz="0" w:space="0" w:color="auto"/>
                <w:bottom w:val="none" w:sz="0" w:space="0" w:color="auto"/>
                <w:right w:val="none" w:sz="0" w:space="0" w:color="auto"/>
              </w:divBdr>
            </w:div>
            <w:div w:id="79061177">
              <w:marLeft w:val="0"/>
              <w:marRight w:val="0"/>
              <w:marTop w:val="0"/>
              <w:marBottom w:val="0"/>
              <w:divBdr>
                <w:top w:val="none" w:sz="0" w:space="0" w:color="auto"/>
                <w:left w:val="none" w:sz="0" w:space="0" w:color="auto"/>
                <w:bottom w:val="none" w:sz="0" w:space="0" w:color="auto"/>
                <w:right w:val="none" w:sz="0" w:space="0" w:color="auto"/>
              </w:divBdr>
            </w:div>
            <w:div w:id="510145408">
              <w:marLeft w:val="0"/>
              <w:marRight w:val="0"/>
              <w:marTop w:val="0"/>
              <w:marBottom w:val="0"/>
              <w:divBdr>
                <w:top w:val="none" w:sz="0" w:space="0" w:color="auto"/>
                <w:left w:val="none" w:sz="0" w:space="0" w:color="auto"/>
                <w:bottom w:val="none" w:sz="0" w:space="0" w:color="auto"/>
                <w:right w:val="none" w:sz="0" w:space="0" w:color="auto"/>
              </w:divBdr>
            </w:div>
            <w:div w:id="1215578222">
              <w:marLeft w:val="0"/>
              <w:marRight w:val="0"/>
              <w:marTop w:val="0"/>
              <w:marBottom w:val="0"/>
              <w:divBdr>
                <w:top w:val="none" w:sz="0" w:space="0" w:color="auto"/>
                <w:left w:val="none" w:sz="0" w:space="0" w:color="auto"/>
                <w:bottom w:val="none" w:sz="0" w:space="0" w:color="auto"/>
                <w:right w:val="none" w:sz="0" w:space="0" w:color="auto"/>
              </w:divBdr>
            </w:div>
            <w:div w:id="1534806647">
              <w:marLeft w:val="0"/>
              <w:marRight w:val="0"/>
              <w:marTop w:val="0"/>
              <w:marBottom w:val="0"/>
              <w:divBdr>
                <w:top w:val="none" w:sz="0" w:space="0" w:color="auto"/>
                <w:left w:val="none" w:sz="0" w:space="0" w:color="auto"/>
                <w:bottom w:val="none" w:sz="0" w:space="0" w:color="auto"/>
                <w:right w:val="none" w:sz="0" w:space="0" w:color="auto"/>
              </w:divBdr>
            </w:div>
          </w:divsChild>
        </w:div>
        <w:div w:id="1086921126">
          <w:marLeft w:val="0"/>
          <w:marRight w:val="0"/>
          <w:marTop w:val="0"/>
          <w:marBottom w:val="0"/>
          <w:divBdr>
            <w:top w:val="none" w:sz="0" w:space="0" w:color="auto"/>
            <w:left w:val="none" w:sz="0" w:space="0" w:color="auto"/>
            <w:bottom w:val="none" w:sz="0" w:space="0" w:color="auto"/>
            <w:right w:val="none" w:sz="0" w:space="0" w:color="auto"/>
          </w:divBdr>
        </w:div>
        <w:div w:id="1116607700">
          <w:marLeft w:val="0"/>
          <w:marRight w:val="0"/>
          <w:marTop w:val="0"/>
          <w:marBottom w:val="0"/>
          <w:divBdr>
            <w:top w:val="none" w:sz="0" w:space="0" w:color="auto"/>
            <w:left w:val="none" w:sz="0" w:space="0" w:color="auto"/>
            <w:bottom w:val="none" w:sz="0" w:space="0" w:color="auto"/>
            <w:right w:val="none" w:sz="0" w:space="0" w:color="auto"/>
          </w:divBdr>
          <w:divsChild>
            <w:div w:id="626620850">
              <w:marLeft w:val="0"/>
              <w:marRight w:val="0"/>
              <w:marTop w:val="0"/>
              <w:marBottom w:val="0"/>
              <w:divBdr>
                <w:top w:val="none" w:sz="0" w:space="0" w:color="auto"/>
                <w:left w:val="none" w:sz="0" w:space="0" w:color="auto"/>
                <w:bottom w:val="none" w:sz="0" w:space="0" w:color="auto"/>
                <w:right w:val="none" w:sz="0" w:space="0" w:color="auto"/>
              </w:divBdr>
            </w:div>
            <w:div w:id="1362318263">
              <w:marLeft w:val="0"/>
              <w:marRight w:val="0"/>
              <w:marTop w:val="0"/>
              <w:marBottom w:val="0"/>
              <w:divBdr>
                <w:top w:val="none" w:sz="0" w:space="0" w:color="auto"/>
                <w:left w:val="none" w:sz="0" w:space="0" w:color="auto"/>
                <w:bottom w:val="none" w:sz="0" w:space="0" w:color="auto"/>
                <w:right w:val="none" w:sz="0" w:space="0" w:color="auto"/>
              </w:divBdr>
            </w:div>
            <w:div w:id="1560550729">
              <w:marLeft w:val="0"/>
              <w:marRight w:val="0"/>
              <w:marTop w:val="0"/>
              <w:marBottom w:val="0"/>
              <w:divBdr>
                <w:top w:val="none" w:sz="0" w:space="0" w:color="auto"/>
                <w:left w:val="none" w:sz="0" w:space="0" w:color="auto"/>
                <w:bottom w:val="none" w:sz="0" w:space="0" w:color="auto"/>
                <w:right w:val="none" w:sz="0" w:space="0" w:color="auto"/>
              </w:divBdr>
            </w:div>
            <w:div w:id="1575241625">
              <w:marLeft w:val="0"/>
              <w:marRight w:val="0"/>
              <w:marTop w:val="0"/>
              <w:marBottom w:val="0"/>
              <w:divBdr>
                <w:top w:val="none" w:sz="0" w:space="0" w:color="auto"/>
                <w:left w:val="none" w:sz="0" w:space="0" w:color="auto"/>
                <w:bottom w:val="none" w:sz="0" w:space="0" w:color="auto"/>
                <w:right w:val="none" w:sz="0" w:space="0" w:color="auto"/>
              </w:divBdr>
            </w:div>
            <w:div w:id="2126729073">
              <w:marLeft w:val="0"/>
              <w:marRight w:val="0"/>
              <w:marTop w:val="0"/>
              <w:marBottom w:val="0"/>
              <w:divBdr>
                <w:top w:val="none" w:sz="0" w:space="0" w:color="auto"/>
                <w:left w:val="none" w:sz="0" w:space="0" w:color="auto"/>
                <w:bottom w:val="none" w:sz="0" w:space="0" w:color="auto"/>
                <w:right w:val="none" w:sz="0" w:space="0" w:color="auto"/>
              </w:divBdr>
            </w:div>
          </w:divsChild>
        </w:div>
        <w:div w:id="1117141831">
          <w:marLeft w:val="0"/>
          <w:marRight w:val="0"/>
          <w:marTop w:val="0"/>
          <w:marBottom w:val="0"/>
          <w:divBdr>
            <w:top w:val="none" w:sz="0" w:space="0" w:color="auto"/>
            <w:left w:val="none" w:sz="0" w:space="0" w:color="auto"/>
            <w:bottom w:val="none" w:sz="0" w:space="0" w:color="auto"/>
            <w:right w:val="none" w:sz="0" w:space="0" w:color="auto"/>
          </w:divBdr>
        </w:div>
        <w:div w:id="1190529270">
          <w:marLeft w:val="0"/>
          <w:marRight w:val="0"/>
          <w:marTop w:val="0"/>
          <w:marBottom w:val="0"/>
          <w:divBdr>
            <w:top w:val="none" w:sz="0" w:space="0" w:color="auto"/>
            <w:left w:val="none" w:sz="0" w:space="0" w:color="auto"/>
            <w:bottom w:val="none" w:sz="0" w:space="0" w:color="auto"/>
            <w:right w:val="none" w:sz="0" w:space="0" w:color="auto"/>
          </w:divBdr>
        </w:div>
        <w:div w:id="1255358810">
          <w:marLeft w:val="0"/>
          <w:marRight w:val="0"/>
          <w:marTop w:val="0"/>
          <w:marBottom w:val="0"/>
          <w:divBdr>
            <w:top w:val="none" w:sz="0" w:space="0" w:color="auto"/>
            <w:left w:val="none" w:sz="0" w:space="0" w:color="auto"/>
            <w:bottom w:val="none" w:sz="0" w:space="0" w:color="auto"/>
            <w:right w:val="none" w:sz="0" w:space="0" w:color="auto"/>
          </w:divBdr>
        </w:div>
        <w:div w:id="1278758929">
          <w:marLeft w:val="0"/>
          <w:marRight w:val="0"/>
          <w:marTop w:val="0"/>
          <w:marBottom w:val="0"/>
          <w:divBdr>
            <w:top w:val="none" w:sz="0" w:space="0" w:color="auto"/>
            <w:left w:val="none" w:sz="0" w:space="0" w:color="auto"/>
            <w:bottom w:val="none" w:sz="0" w:space="0" w:color="auto"/>
            <w:right w:val="none" w:sz="0" w:space="0" w:color="auto"/>
          </w:divBdr>
          <w:divsChild>
            <w:div w:id="569578744">
              <w:marLeft w:val="0"/>
              <w:marRight w:val="0"/>
              <w:marTop w:val="0"/>
              <w:marBottom w:val="0"/>
              <w:divBdr>
                <w:top w:val="none" w:sz="0" w:space="0" w:color="auto"/>
                <w:left w:val="none" w:sz="0" w:space="0" w:color="auto"/>
                <w:bottom w:val="none" w:sz="0" w:space="0" w:color="auto"/>
                <w:right w:val="none" w:sz="0" w:space="0" w:color="auto"/>
              </w:divBdr>
            </w:div>
            <w:div w:id="1122042069">
              <w:marLeft w:val="0"/>
              <w:marRight w:val="0"/>
              <w:marTop w:val="0"/>
              <w:marBottom w:val="0"/>
              <w:divBdr>
                <w:top w:val="none" w:sz="0" w:space="0" w:color="auto"/>
                <w:left w:val="none" w:sz="0" w:space="0" w:color="auto"/>
                <w:bottom w:val="none" w:sz="0" w:space="0" w:color="auto"/>
                <w:right w:val="none" w:sz="0" w:space="0" w:color="auto"/>
              </w:divBdr>
            </w:div>
            <w:div w:id="1425880019">
              <w:marLeft w:val="0"/>
              <w:marRight w:val="0"/>
              <w:marTop w:val="0"/>
              <w:marBottom w:val="0"/>
              <w:divBdr>
                <w:top w:val="none" w:sz="0" w:space="0" w:color="auto"/>
                <w:left w:val="none" w:sz="0" w:space="0" w:color="auto"/>
                <w:bottom w:val="none" w:sz="0" w:space="0" w:color="auto"/>
                <w:right w:val="none" w:sz="0" w:space="0" w:color="auto"/>
              </w:divBdr>
            </w:div>
            <w:div w:id="1737822572">
              <w:marLeft w:val="0"/>
              <w:marRight w:val="0"/>
              <w:marTop w:val="0"/>
              <w:marBottom w:val="0"/>
              <w:divBdr>
                <w:top w:val="none" w:sz="0" w:space="0" w:color="auto"/>
                <w:left w:val="none" w:sz="0" w:space="0" w:color="auto"/>
                <w:bottom w:val="none" w:sz="0" w:space="0" w:color="auto"/>
                <w:right w:val="none" w:sz="0" w:space="0" w:color="auto"/>
              </w:divBdr>
            </w:div>
            <w:div w:id="1895772575">
              <w:marLeft w:val="0"/>
              <w:marRight w:val="0"/>
              <w:marTop w:val="0"/>
              <w:marBottom w:val="0"/>
              <w:divBdr>
                <w:top w:val="none" w:sz="0" w:space="0" w:color="auto"/>
                <w:left w:val="none" w:sz="0" w:space="0" w:color="auto"/>
                <w:bottom w:val="none" w:sz="0" w:space="0" w:color="auto"/>
                <w:right w:val="none" w:sz="0" w:space="0" w:color="auto"/>
              </w:divBdr>
            </w:div>
          </w:divsChild>
        </w:div>
        <w:div w:id="1345665727">
          <w:marLeft w:val="0"/>
          <w:marRight w:val="0"/>
          <w:marTop w:val="0"/>
          <w:marBottom w:val="0"/>
          <w:divBdr>
            <w:top w:val="none" w:sz="0" w:space="0" w:color="auto"/>
            <w:left w:val="none" w:sz="0" w:space="0" w:color="auto"/>
            <w:bottom w:val="none" w:sz="0" w:space="0" w:color="auto"/>
            <w:right w:val="none" w:sz="0" w:space="0" w:color="auto"/>
          </w:divBdr>
        </w:div>
        <w:div w:id="1369452029">
          <w:marLeft w:val="0"/>
          <w:marRight w:val="0"/>
          <w:marTop w:val="0"/>
          <w:marBottom w:val="0"/>
          <w:divBdr>
            <w:top w:val="none" w:sz="0" w:space="0" w:color="auto"/>
            <w:left w:val="none" w:sz="0" w:space="0" w:color="auto"/>
            <w:bottom w:val="none" w:sz="0" w:space="0" w:color="auto"/>
            <w:right w:val="none" w:sz="0" w:space="0" w:color="auto"/>
          </w:divBdr>
        </w:div>
        <w:div w:id="1371494698">
          <w:marLeft w:val="0"/>
          <w:marRight w:val="0"/>
          <w:marTop w:val="0"/>
          <w:marBottom w:val="0"/>
          <w:divBdr>
            <w:top w:val="none" w:sz="0" w:space="0" w:color="auto"/>
            <w:left w:val="none" w:sz="0" w:space="0" w:color="auto"/>
            <w:bottom w:val="none" w:sz="0" w:space="0" w:color="auto"/>
            <w:right w:val="none" w:sz="0" w:space="0" w:color="auto"/>
          </w:divBdr>
        </w:div>
        <w:div w:id="1425570101">
          <w:marLeft w:val="0"/>
          <w:marRight w:val="0"/>
          <w:marTop w:val="0"/>
          <w:marBottom w:val="0"/>
          <w:divBdr>
            <w:top w:val="none" w:sz="0" w:space="0" w:color="auto"/>
            <w:left w:val="none" w:sz="0" w:space="0" w:color="auto"/>
            <w:bottom w:val="none" w:sz="0" w:space="0" w:color="auto"/>
            <w:right w:val="none" w:sz="0" w:space="0" w:color="auto"/>
          </w:divBdr>
        </w:div>
        <w:div w:id="1450052377">
          <w:marLeft w:val="0"/>
          <w:marRight w:val="0"/>
          <w:marTop w:val="0"/>
          <w:marBottom w:val="0"/>
          <w:divBdr>
            <w:top w:val="none" w:sz="0" w:space="0" w:color="auto"/>
            <w:left w:val="none" w:sz="0" w:space="0" w:color="auto"/>
            <w:bottom w:val="none" w:sz="0" w:space="0" w:color="auto"/>
            <w:right w:val="none" w:sz="0" w:space="0" w:color="auto"/>
          </w:divBdr>
          <w:divsChild>
            <w:div w:id="566720510">
              <w:marLeft w:val="0"/>
              <w:marRight w:val="0"/>
              <w:marTop w:val="0"/>
              <w:marBottom w:val="0"/>
              <w:divBdr>
                <w:top w:val="none" w:sz="0" w:space="0" w:color="auto"/>
                <w:left w:val="none" w:sz="0" w:space="0" w:color="auto"/>
                <w:bottom w:val="none" w:sz="0" w:space="0" w:color="auto"/>
                <w:right w:val="none" w:sz="0" w:space="0" w:color="auto"/>
              </w:divBdr>
            </w:div>
            <w:div w:id="796724921">
              <w:marLeft w:val="0"/>
              <w:marRight w:val="0"/>
              <w:marTop w:val="0"/>
              <w:marBottom w:val="0"/>
              <w:divBdr>
                <w:top w:val="none" w:sz="0" w:space="0" w:color="auto"/>
                <w:left w:val="none" w:sz="0" w:space="0" w:color="auto"/>
                <w:bottom w:val="none" w:sz="0" w:space="0" w:color="auto"/>
                <w:right w:val="none" w:sz="0" w:space="0" w:color="auto"/>
              </w:divBdr>
            </w:div>
            <w:div w:id="1474758165">
              <w:marLeft w:val="0"/>
              <w:marRight w:val="0"/>
              <w:marTop w:val="0"/>
              <w:marBottom w:val="0"/>
              <w:divBdr>
                <w:top w:val="none" w:sz="0" w:space="0" w:color="auto"/>
                <w:left w:val="none" w:sz="0" w:space="0" w:color="auto"/>
                <w:bottom w:val="none" w:sz="0" w:space="0" w:color="auto"/>
                <w:right w:val="none" w:sz="0" w:space="0" w:color="auto"/>
              </w:divBdr>
            </w:div>
            <w:div w:id="1563366110">
              <w:marLeft w:val="0"/>
              <w:marRight w:val="0"/>
              <w:marTop w:val="0"/>
              <w:marBottom w:val="0"/>
              <w:divBdr>
                <w:top w:val="none" w:sz="0" w:space="0" w:color="auto"/>
                <w:left w:val="none" w:sz="0" w:space="0" w:color="auto"/>
                <w:bottom w:val="none" w:sz="0" w:space="0" w:color="auto"/>
                <w:right w:val="none" w:sz="0" w:space="0" w:color="auto"/>
              </w:divBdr>
            </w:div>
            <w:div w:id="1879779233">
              <w:marLeft w:val="0"/>
              <w:marRight w:val="0"/>
              <w:marTop w:val="0"/>
              <w:marBottom w:val="0"/>
              <w:divBdr>
                <w:top w:val="none" w:sz="0" w:space="0" w:color="auto"/>
                <w:left w:val="none" w:sz="0" w:space="0" w:color="auto"/>
                <w:bottom w:val="none" w:sz="0" w:space="0" w:color="auto"/>
                <w:right w:val="none" w:sz="0" w:space="0" w:color="auto"/>
              </w:divBdr>
            </w:div>
          </w:divsChild>
        </w:div>
        <w:div w:id="1607889251">
          <w:marLeft w:val="0"/>
          <w:marRight w:val="0"/>
          <w:marTop w:val="0"/>
          <w:marBottom w:val="0"/>
          <w:divBdr>
            <w:top w:val="none" w:sz="0" w:space="0" w:color="auto"/>
            <w:left w:val="none" w:sz="0" w:space="0" w:color="auto"/>
            <w:bottom w:val="none" w:sz="0" w:space="0" w:color="auto"/>
            <w:right w:val="none" w:sz="0" w:space="0" w:color="auto"/>
          </w:divBdr>
        </w:div>
        <w:div w:id="1682900090">
          <w:marLeft w:val="0"/>
          <w:marRight w:val="0"/>
          <w:marTop w:val="0"/>
          <w:marBottom w:val="0"/>
          <w:divBdr>
            <w:top w:val="none" w:sz="0" w:space="0" w:color="auto"/>
            <w:left w:val="none" w:sz="0" w:space="0" w:color="auto"/>
            <w:bottom w:val="none" w:sz="0" w:space="0" w:color="auto"/>
            <w:right w:val="none" w:sz="0" w:space="0" w:color="auto"/>
          </w:divBdr>
        </w:div>
        <w:div w:id="1691644914">
          <w:marLeft w:val="0"/>
          <w:marRight w:val="0"/>
          <w:marTop w:val="0"/>
          <w:marBottom w:val="0"/>
          <w:divBdr>
            <w:top w:val="none" w:sz="0" w:space="0" w:color="auto"/>
            <w:left w:val="none" w:sz="0" w:space="0" w:color="auto"/>
            <w:bottom w:val="none" w:sz="0" w:space="0" w:color="auto"/>
            <w:right w:val="none" w:sz="0" w:space="0" w:color="auto"/>
          </w:divBdr>
        </w:div>
        <w:div w:id="1717506748">
          <w:marLeft w:val="0"/>
          <w:marRight w:val="0"/>
          <w:marTop w:val="0"/>
          <w:marBottom w:val="0"/>
          <w:divBdr>
            <w:top w:val="none" w:sz="0" w:space="0" w:color="auto"/>
            <w:left w:val="none" w:sz="0" w:space="0" w:color="auto"/>
            <w:bottom w:val="none" w:sz="0" w:space="0" w:color="auto"/>
            <w:right w:val="none" w:sz="0" w:space="0" w:color="auto"/>
          </w:divBdr>
        </w:div>
        <w:div w:id="1755277401">
          <w:marLeft w:val="0"/>
          <w:marRight w:val="0"/>
          <w:marTop w:val="0"/>
          <w:marBottom w:val="0"/>
          <w:divBdr>
            <w:top w:val="none" w:sz="0" w:space="0" w:color="auto"/>
            <w:left w:val="none" w:sz="0" w:space="0" w:color="auto"/>
            <w:bottom w:val="none" w:sz="0" w:space="0" w:color="auto"/>
            <w:right w:val="none" w:sz="0" w:space="0" w:color="auto"/>
          </w:divBdr>
        </w:div>
        <w:div w:id="1962691173">
          <w:marLeft w:val="0"/>
          <w:marRight w:val="0"/>
          <w:marTop w:val="0"/>
          <w:marBottom w:val="0"/>
          <w:divBdr>
            <w:top w:val="none" w:sz="0" w:space="0" w:color="auto"/>
            <w:left w:val="none" w:sz="0" w:space="0" w:color="auto"/>
            <w:bottom w:val="none" w:sz="0" w:space="0" w:color="auto"/>
            <w:right w:val="none" w:sz="0" w:space="0" w:color="auto"/>
          </w:divBdr>
        </w:div>
        <w:div w:id="2001228902">
          <w:marLeft w:val="0"/>
          <w:marRight w:val="0"/>
          <w:marTop w:val="0"/>
          <w:marBottom w:val="0"/>
          <w:divBdr>
            <w:top w:val="none" w:sz="0" w:space="0" w:color="auto"/>
            <w:left w:val="none" w:sz="0" w:space="0" w:color="auto"/>
            <w:bottom w:val="none" w:sz="0" w:space="0" w:color="auto"/>
            <w:right w:val="none" w:sz="0" w:space="0" w:color="auto"/>
          </w:divBdr>
        </w:div>
        <w:div w:id="2015763260">
          <w:marLeft w:val="0"/>
          <w:marRight w:val="0"/>
          <w:marTop w:val="0"/>
          <w:marBottom w:val="0"/>
          <w:divBdr>
            <w:top w:val="none" w:sz="0" w:space="0" w:color="auto"/>
            <w:left w:val="none" w:sz="0" w:space="0" w:color="auto"/>
            <w:bottom w:val="none" w:sz="0" w:space="0" w:color="auto"/>
            <w:right w:val="none" w:sz="0" w:space="0" w:color="auto"/>
          </w:divBdr>
        </w:div>
        <w:div w:id="2018998868">
          <w:marLeft w:val="0"/>
          <w:marRight w:val="0"/>
          <w:marTop w:val="0"/>
          <w:marBottom w:val="0"/>
          <w:divBdr>
            <w:top w:val="none" w:sz="0" w:space="0" w:color="auto"/>
            <w:left w:val="none" w:sz="0" w:space="0" w:color="auto"/>
            <w:bottom w:val="none" w:sz="0" w:space="0" w:color="auto"/>
            <w:right w:val="none" w:sz="0" w:space="0" w:color="auto"/>
          </w:divBdr>
        </w:div>
        <w:div w:id="2043627353">
          <w:marLeft w:val="0"/>
          <w:marRight w:val="0"/>
          <w:marTop w:val="0"/>
          <w:marBottom w:val="0"/>
          <w:divBdr>
            <w:top w:val="none" w:sz="0" w:space="0" w:color="auto"/>
            <w:left w:val="none" w:sz="0" w:space="0" w:color="auto"/>
            <w:bottom w:val="none" w:sz="0" w:space="0" w:color="auto"/>
            <w:right w:val="none" w:sz="0" w:space="0" w:color="auto"/>
          </w:divBdr>
        </w:div>
        <w:div w:id="2114012826">
          <w:marLeft w:val="0"/>
          <w:marRight w:val="0"/>
          <w:marTop w:val="0"/>
          <w:marBottom w:val="0"/>
          <w:divBdr>
            <w:top w:val="none" w:sz="0" w:space="0" w:color="auto"/>
            <w:left w:val="none" w:sz="0" w:space="0" w:color="auto"/>
            <w:bottom w:val="none" w:sz="0" w:space="0" w:color="auto"/>
            <w:right w:val="none" w:sz="0" w:space="0" w:color="auto"/>
          </w:divBdr>
        </w:div>
        <w:div w:id="2121145591">
          <w:marLeft w:val="0"/>
          <w:marRight w:val="0"/>
          <w:marTop w:val="0"/>
          <w:marBottom w:val="0"/>
          <w:divBdr>
            <w:top w:val="none" w:sz="0" w:space="0" w:color="auto"/>
            <w:left w:val="none" w:sz="0" w:space="0" w:color="auto"/>
            <w:bottom w:val="none" w:sz="0" w:space="0" w:color="auto"/>
            <w:right w:val="none" w:sz="0" w:space="0" w:color="auto"/>
          </w:divBdr>
          <w:divsChild>
            <w:div w:id="228031967">
              <w:marLeft w:val="0"/>
              <w:marRight w:val="0"/>
              <w:marTop w:val="0"/>
              <w:marBottom w:val="0"/>
              <w:divBdr>
                <w:top w:val="none" w:sz="0" w:space="0" w:color="auto"/>
                <w:left w:val="none" w:sz="0" w:space="0" w:color="auto"/>
                <w:bottom w:val="none" w:sz="0" w:space="0" w:color="auto"/>
                <w:right w:val="none" w:sz="0" w:space="0" w:color="auto"/>
              </w:divBdr>
            </w:div>
            <w:div w:id="525869812">
              <w:marLeft w:val="0"/>
              <w:marRight w:val="0"/>
              <w:marTop w:val="0"/>
              <w:marBottom w:val="0"/>
              <w:divBdr>
                <w:top w:val="none" w:sz="0" w:space="0" w:color="auto"/>
                <w:left w:val="none" w:sz="0" w:space="0" w:color="auto"/>
                <w:bottom w:val="none" w:sz="0" w:space="0" w:color="auto"/>
                <w:right w:val="none" w:sz="0" w:space="0" w:color="auto"/>
              </w:divBdr>
            </w:div>
            <w:div w:id="1540240304">
              <w:marLeft w:val="0"/>
              <w:marRight w:val="0"/>
              <w:marTop w:val="0"/>
              <w:marBottom w:val="0"/>
              <w:divBdr>
                <w:top w:val="none" w:sz="0" w:space="0" w:color="auto"/>
                <w:left w:val="none" w:sz="0" w:space="0" w:color="auto"/>
                <w:bottom w:val="none" w:sz="0" w:space="0" w:color="auto"/>
                <w:right w:val="none" w:sz="0" w:space="0" w:color="auto"/>
              </w:divBdr>
            </w:div>
            <w:div w:id="1918396861">
              <w:marLeft w:val="0"/>
              <w:marRight w:val="0"/>
              <w:marTop w:val="0"/>
              <w:marBottom w:val="0"/>
              <w:divBdr>
                <w:top w:val="none" w:sz="0" w:space="0" w:color="auto"/>
                <w:left w:val="none" w:sz="0" w:space="0" w:color="auto"/>
                <w:bottom w:val="none" w:sz="0" w:space="0" w:color="auto"/>
                <w:right w:val="none" w:sz="0" w:space="0" w:color="auto"/>
              </w:divBdr>
            </w:div>
            <w:div w:id="20790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9142">
      <w:bodyDiv w:val="1"/>
      <w:marLeft w:val="0"/>
      <w:marRight w:val="0"/>
      <w:marTop w:val="0"/>
      <w:marBottom w:val="0"/>
      <w:divBdr>
        <w:top w:val="none" w:sz="0" w:space="0" w:color="auto"/>
        <w:left w:val="none" w:sz="0" w:space="0" w:color="auto"/>
        <w:bottom w:val="none" w:sz="0" w:space="0" w:color="auto"/>
        <w:right w:val="none" w:sz="0" w:space="0" w:color="auto"/>
      </w:divBdr>
    </w:div>
    <w:div w:id="21217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nugent@igs.com" TargetMode="External"/><Relationship Id="rId18" Type="http://schemas.openxmlformats.org/officeDocument/2006/relationships/hyperlink" Target="mailto:Evan.betterton@igs.com" TargetMode="External"/><Relationship Id="rId26" Type="http://schemas.openxmlformats.org/officeDocument/2006/relationships/hyperlink" Target="mailto:ambrosia.wilson@occ.ohio.gov" TargetMode="External"/><Relationship Id="rId3" Type="http://schemas.openxmlformats.org/officeDocument/2006/relationships/customXml" Target="../customXml/item3.xml"/><Relationship Id="rId21" Type="http://schemas.openxmlformats.org/officeDocument/2006/relationships/hyperlink" Target="mailto:talexander@beneschlaw.com" TargetMode="External"/><Relationship Id="rId34" Type="http://schemas.openxmlformats.org/officeDocument/2006/relationships/hyperlink" Target="mailto:john.jones@ohioattorneygeneral.gov" TargetMode="External"/><Relationship Id="rId7" Type="http://schemas.openxmlformats.org/officeDocument/2006/relationships/settings" Target="settings.xml"/><Relationship Id="rId12" Type="http://schemas.openxmlformats.org/officeDocument/2006/relationships/hyperlink" Target="mailto:joe.oliker@igs.com" TargetMode="External"/><Relationship Id="rId17" Type="http://schemas.openxmlformats.org/officeDocument/2006/relationships/hyperlink" Target="mailto:michael.nugent@igs.com" TargetMode="External"/><Relationship Id="rId25" Type="http://schemas.openxmlformats.org/officeDocument/2006/relationships/hyperlink" Target="mailto:Angela.obrien@occ.ohio.gov" TargetMode="External"/><Relationship Id="rId33" Type="http://schemas.openxmlformats.org/officeDocument/2006/relationships/hyperlink" Target="mailto:aemerson@porterwright.com" TargetMode="External"/><Relationship Id="rId2" Type="http://schemas.openxmlformats.org/officeDocument/2006/relationships/customXml" Target="../customXml/item2.xml"/><Relationship Id="rId16" Type="http://schemas.openxmlformats.org/officeDocument/2006/relationships/hyperlink" Target="mailto:joe.oliker@igs.com" TargetMode="External"/><Relationship Id="rId20" Type="http://schemas.openxmlformats.org/officeDocument/2006/relationships/hyperlink" Target="mailto:glpetrucci@vorys.com" TargetMode="External"/><Relationship Id="rId29" Type="http://schemas.openxmlformats.org/officeDocument/2006/relationships/hyperlink" Target="mailto:jkylercohn@BKLlawfir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any.allen@igs.com" TargetMode="External"/><Relationship Id="rId24" Type="http://schemas.openxmlformats.org/officeDocument/2006/relationships/hyperlink" Target="mailto:rglover@mcneeslaw.com" TargetMode="External"/><Relationship Id="rId32" Type="http://schemas.openxmlformats.org/officeDocument/2006/relationships/hyperlink" Target="mailto:fdarr2019@gmail.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thany.allen@igs.com" TargetMode="External"/><Relationship Id="rId23" Type="http://schemas.openxmlformats.org/officeDocument/2006/relationships/hyperlink" Target="mailto:mpritchard@mcneeslaw.com" TargetMode="External"/><Relationship Id="rId28" Type="http://schemas.openxmlformats.org/officeDocument/2006/relationships/hyperlink" Target="mailto:kboehm@BKLlawfirm.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fleisher@dickinsonwright.com" TargetMode="External"/><Relationship Id="rId31" Type="http://schemas.openxmlformats.org/officeDocument/2006/relationships/hyperlink" Target="mailto:glpetrucci@vory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betterton@igs.com" TargetMode="External"/><Relationship Id="rId22" Type="http://schemas.openxmlformats.org/officeDocument/2006/relationships/hyperlink" Target="mailto:khehmeyer@beneschlaw.com" TargetMode="External"/><Relationship Id="rId27" Type="http://schemas.openxmlformats.org/officeDocument/2006/relationships/hyperlink" Target="mailto:mkurtz@BKLlawfirm.com" TargetMode="External"/><Relationship Id="rId30" Type="http://schemas.openxmlformats.org/officeDocument/2006/relationships/hyperlink" Target="mailto:mjsettineri@vorys.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11" ma:contentTypeDescription="Create a new document." ma:contentTypeScope="" ma:versionID="8f23a9f14c7b669bb431a078318a1026">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f162440257928ffa5f99813ae9dfa356"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AD6F-24DB-4E21-AF3F-78BFC66B156F}">
  <ds:schemaRefs>
    <ds:schemaRef ds:uri="http://schemas.microsoft.com/sharepoint/v3/contenttype/forms"/>
  </ds:schemaRefs>
</ds:datastoreItem>
</file>

<file path=customXml/itemProps2.xml><?xml version="1.0" encoding="utf-8"?>
<ds:datastoreItem xmlns:ds="http://schemas.openxmlformats.org/officeDocument/2006/customXml" ds:itemID="{FF0A25AA-4A3F-4C4F-A181-738CD7E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FBDAE-7CA3-4333-B809-9C8B3F0813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5d5c4c6-b9eb-4cda-b39a-7fef7100373c"/>
    <ds:schemaRef ds:uri="http://purl.org/dc/terms/"/>
    <ds:schemaRef ds:uri="7b65a839-91ea-4ae8-a3e7-aa2e1fd1ecb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0D89EDB-E796-4919-9EDC-61DB91B5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5417</Words>
  <Characters>31096</Characters>
  <Application>Microsoft Office Word</Application>
  <DocSecurity>0</DocSecurity>
  <Lines>609</Lines>
  <Paragraphs>225</Paragraphs>
  <ScaleCrop>false</ScaleCrop>
  <HeadingPairs>
    <vt:vector size="2" baseType="variant">
      <vt:variant>
        <vt:lpstr>Title</vt:lpstr>
      </vt:variant>
      <vt:variant>
        <vt:i4>1</vt:i4>
      </vt:variant>
    </vt:vector>
  </HeadingPairs>
  <TitlesOfParts>
    <vt:vector size="1" baseType="lpstr">
      <vt:lpstr/>
    </vt:vector>
  </TitlesOfParts>
  <Company>IGS</Company>
  <LinksUpToDate>false</LinksUpToDate>
  <CharactersWithSpaces>36288</CharactersWithSpaces>
  <SharedDoc>false</SharedDoc>
  <HLinks>
    <vt:vector size="246" baseType="variant">
      <vt:variant>
        <vt:i4>3080264</vt:i4>
      </vt:variant>
      <vt:variant>
        <vt:i4>174</vt:i4>
      </vt:variant>
      <vt:variant>
        <vt:i4>0</vt:i4>
      </vt:variant>
      <vt:variant>
        <vt:i4>5</vt:i4>
      </vt:variant>
      <vt:variant>
        <vt:lpwstr>mailto:john.jones@ohioattorneygeneral.gov</vt:lpwstr>
      </vt:variant>
      <vt:variant>
        <vt:lpwstr/>
      </vt:variant>
      <vt:variant>
        <vt:i4>3473415</vt:i4>
      </vt:variant>
      <vt:variant>
        <vt:i4>171</vt:i4>
      </vt:variant>
      <vt:variant>
        <vt:i4>0</vt:i4>
      </vt:variant>
      <vt:variant>
        <vt:i4>5</vt:i4>
      </vt:variant>
      <vt:variant>
        <vt:lpwstr>mailto:aemerson@porterwright.com</vt:lpwstr>
      </vt:variant>
      <vt:variant>
        <vt:lpwstr/>
      </vt:variant>
      <vt:variant>
        <vt:i4>7995482</vt:i4>
      </vt:variant>
      <vt:variant>
        <vt:i4>168</vt:i4>
      </vt:variant>
      <vt:variant>
        <vt:i4>0</vt:i4>
      </vt:variant>
      <vt:variant>
        <vt:i4>5</vt:i4>
      </vt:variant>
      <vt:variant>
        <vt:lpwstr>mailto:fdarr2019@gmail.com</vt:lpwstr>
      </vt:variant>
      <vt:variant>
        <vt:lpwstr/>
      </vt:variant>
      <vt:variant>
        <vt:i4>47</vt:i4>
      </vt:variant>
      <vt:variant>
        <vt:i4>165</vt:i4>
      </vt:variant>
      <vt:variant>
        <vt:i4>0</vt:i4>
      </vt:variant>
      <vt:variant>
        <vt:i4>5</vt:i4>
      </vt:variant>
      <vt:variant>
        <vt:lpwstr>mailto:glpetrucci@vorys.com</vt:lpwstr>
      </vt:variant>
      <vt:variant>
        <vt:lpwstr/>
      </vt:variant>
      <vt:variant>
        <vt:i4>1310778</vt:i4>
      </vt:variant>
      <vt:variant>
        <vt:i4>162</vt:i4>
      </vt:variant>
      <vt:variant>
        <vt:i4>0</vt:i4>
      </vt:variant>
      <vt:variant>
        <vt:i4>5</vt:i4>
      </vt:variant>
      <vt:variant>
        <vt:lpwstr>mailto:mjsettineri@vorys.com</vt:lpwstr>
      </vt:variant>
      <vt:variant>
        <vt:lpwstr/>
      </vt:variant>
      <vt:variant>
        <vt:i4>2424836</vt:i4>
      </vt:variant>
      <vt:variant>
        <vt:i4>159</vt:i4>
      </vt:variant>
      <vt:variant>
        <vt:i4>0</vt:i4>
      </vt:variant>
      <vt:variant>
        <vt:i4>5</vt:i4>
      </vt:variant>
      <vt:variant>
        <vt:lpwstr>mailto:jkylercohn@BKLlawfirm.com</vt:lpwstr>
      </vt:variant>
      <vt:variant>
        <vt:lpwstr/>
      </vt:variant>
      <vt:variant>
        <vt:i4>3407898</vt:i4>
      </vt:variant>
      <vt:variant>
        <vt:i4>156</vt:i4>
      </vt:variant>
      <vt:variant>
        <vt:i4>0</vt:i4>
      </vt:variant>
      <vt:variant>
        <vt:i4>5</vt:i4>
      </vt:variant>
      <vt:variant>
        <vt:lpwstr>mailto:kboehm@BKLlawfirm.com</vt:lpwstr>
      </vt:variant>
      <vt:variant>
        <vt:lpwstr/>
      </vt:variant>
      <vt:variant>
        <vt:i4>3407891</vt:i4>
      </vt:variant>
      <vt:variant>
        <vt:i4>153</vt:i4>
      </vt:variant>
      <vt:variant>
        <vt:i4>0</vt:i4>
      </vt:variant>
      <vt:variant>
        <vt:i4>5</vt:i4>
      </vt:variant>
      <vt:variant>
        <vt:lpwstr>mailto:mkurtz@BKLlawfirm.com</vt:lpwstr>
      </vt:variant>
      <vt:variant>
        <vt:lpwstr/>
      </vt:variant>
      <vt:variant>
        <vt:i4>7733342</vt:i4>
      </vt:variant>
      <vt:variant>
        <vt:i4>150</vt:i4>
      </vt:variant>
      <vt:variant>
        <vt:i4>0</vt:i4>
      </vt:variant>
      <vt:variant>
        <vt:i4>5</vt:i4>
      </vt:variant>
      <vt:variant>
        <vt:lpwstr>mailto:ambrosia.wilson@occ.ohio.gov</vt:lpwstr>
      </vt:variant>
      <vt:variant>
        <vt:lpwstr/>
      </vt:variant>
      <vt:variant>
        <vt:i4>524341</vt:i4>
      </vt:variant>
      <vt:variant>
        <vt:i4>147</vt:i4>
      </vt:variant>
      <vt:variant>
        <vt:i4>0</vt:i4>
      </vt:variant>
      <vt:variant>
        <vt:i4>5</vt:i4>
      </vt:variant>
      <vt:variant>
        <vt:lpwstr>mailto:Angela.obrien@occ.ohio.gov</vt:lpwstr>
      </vt:variant>
      <vt:variant>
        <vt:lpwstr/>
      </vt:variant>
      <vt:variant>
        <vt:i4>720946</vt:i4>
      </vt:variant>
      <vt:variant>
        <vt:i4>144</vt:i4>
      </vt:variant>
      <vt:variant>
        <vt:i4>0</vt:i4>
      </vt:variant>
      <vt:variant>
        <vt:i4>5</vt:i4>
      </vt:variant>
      <vt:variant>
        <vt:lpwstr>mailto:rglover@mcneeslaw.com</vt:lpwstr>
      </vt:variant>
      <vt:variant>
        <vt:lpwstr/>
      </vt:variant>
      <vt:variant>
        <vt:i4>393259</vt:i4>
      </vt:variant>
      <vt:variant>
        <vt:i4>141</vt:i4>
      </vt:variant>
      <vt:variant>
        <vt:i4>0</vt:i4>
      </vt:variant>
      <vt:variant>
        <vt:i4>5</vt:i4>
      </vt:variant>
      <vt:variant>
        <vt:lpwstr>mailto:mpritchard@mcneeslaw.com</vt:lpwstr>
      </vt:variant>
      <vt:variant>
        <vt:lpwstr/>
      </vt:variant>
      <vt:variant>
        <vt:i4>3997713</vt:i4>
      </vt:variant>
      <vt:variant>
        <vt:i4>138</vt:i4>
      </vt:variant>
      <vt:variant>
        <vt:i4>0</vt:i4>
      </vt:variant>
      <vt:variant>
        <vt:i4>5</vt:i4>
      </vt:variant>
      <vt:variant>
        <vt:lpwstr>mailto:khehmeyer@beneschlaw.com</vt:lpwstr>
      </vt:variant>
      <vt:variant>
        <vt:lpwstr/>
      </vt:variant>
      <vt:variant>
        <vt:i4>4128782</vt:i4>
      </vt:variant>
      <vt:variant>
        <vt:i4>135</vt:i4>
      </vt:variant>
      <vt:variant>
        <vt:i4>0</vt:i4>
      </vt:variant>
      <vt:variant>
        <vt:i4>5</vt:i4>
      </vt:variant>
      <vt:variant>
        <vt:lpwstr>mailto:talexander@beneschlaw.com</vt:lpwstr>
      </vt:variant>
      <vt:variant>
        <vt:lpwstr/>
      </vt:variant>
      <vt:variant>
        <vt:i4>47</vt:i4>
      </vt:variant>
      <vt:variant>
        <vt:i4>132</vt:i4>
      </vt:variant>
      <vt:variant>
        <vt:i4>0</vt:i4>
      </vt:variant>
      <vt:variant>
        <vt:i4>5</vt:i4>
      </vt:variant>
      <vt:variant>
        <vt:lpwstr>mailto:glpetrucci@vorys.com</vt:lpwstr>
      </vt:variant>
      <vt:variant>
        <vt:lpwstr/>
      </vt:variant>
      <vt:variant>
        <vt:i4>786475</vt:i4>
      </vt:variant>
      <vt:variant>
        <vt:i4>129</vt:i4>
      </vt:variant>
      <vt:variant>
        <vt:i4>0</vt:i4>
      </vt:variant>
      <vt:variant>
        <vt:i4>5</vt:i4>
      </vt:variant>
      <vt:variant>
        <vt:lpwstr>mailto:mfleisher@dickinsonwright.com</vt:lpwstr>
      </vt:variant>
      <vt:variant>
        <vt:lpwstr/>
      </vt:variant>
      <vt:variant>
        <vt:i4>2228290</vt:i4>
      </vt:variant>
      <vt:variant>
        <vt:i4>126</vt:i4>
      </vt:variant>
      <vt:variant>
        <vt:i4>0</vt:i4>
      </vt:variant>
      <vt:variant>
        <vt:i4>5</vt:i4>
      </vt:variant>
      <vt:variant>
        <vt:lpwstr>mailto:Evan.betterton@igs.com</vt:lpwstr>
      </vt:variant>
      <vt:variant>
        <vt:lpwstr/>
      </vt:variant>
      <vt:variant>
        <vt:i4>6291485</vt:i4>
      </vt:variant>
      <vt:variant>
        <vt:i4>123</vt:i4>
      </vt:variant>
      <vt:variant>
        <vt:i4>0</vt:i4>
      </vt:variant>
      <vt:variant>
        <vt:i4>5</vt:i4>
      </vt:variant>
      <vt:variant>
        <vt:lpwstr>mailto:michael.nugent@igs.com</vt:lpwstr>
      </vt:variant>
      <vt:variant>
        <vt:lpwstr/>
      </vt:variant>
      <vt:variant>
        <vt:i4>6815751</vt:i4>
      </vt:variant>
      <vt:variant>
        <vt:i4>120</vt:i4>
      </vt:variant>
      <vt:variant>
        <vt:i4>0</vt:i4>
      </vt:variant>
      <vt:variant>
        <vt:i4>5</vt:i4>
      </vt:variant>
      <vt:variant>
        <vt:lpwstr>mailto:joe.oliker@igs.com</vt:lpwstr>
      </vt:variant>
      <vt:variant>
        <vt:lpwstr/>
      </vt:variant>
      <vt:variant>
        <vt:i4>1769576</vt:i4>
      </vt:variant>
      <vt:variant>
        <vt:i4>117</vt:i4>
      </vt:variant>
      <vt:variant>
        <vt:i4>0</vt:i4>
      </vt:variant>
      <vt:variant>
        <vt:i4>5</vt:i4>
      </vt:variant>
      <vt:variant>
        <vt:lpwstr>mailto:bethany.allen@igs.com</vt:lpwstr>
      </vt:variant>
      <vt:variant>
        <vt:lpwstr/>
      </vt:variant>
      <vt:variant>
        <vt:i4>1966139</vt:i4>
      </vt:variant>
      <vt:variant>
        <vt:i4>110</vt:i4>
      </vt:variant>
      <vt:variant>
        <vt:i4>0</vt:i4>
      </vt:variant>
      <vt:variant>
        <vt:i4>5</vt:i4>
      </vt:variant>
      <vt:variant>
        <vt:lpwstr/>
      </vt:variant>
      <vt:variant>
        <vt:lpwstr>_Toc85696336</vt:lpwstr>
      </vt:variant>
      <vt:variant>
        <vt:i4>1900603</vt:i4>
      </vt:variant>
      <vt:variant>
        <vt:i4>104</vt:i4>
      </vt:variant>
      <vt:variant>
        <vt:i4>0</vt:i4>
      </vt:variant>
      <vt:variant>
        <vt:i4>5</vt:i4>
      </vt:variant>
      <vt:variant>
        <vt:lpwstr/>
      </vt:variant>
      <vt:variant>
        <vt:lpwstr>_Toc85696335</vt:lpwstr>
      </vt:variant>
      <vt:variant>
        <vt:i4>1835067</vt:i4>
      </vt:variant>
      <vt:variant>
        <vt:i4>98</vt:i4>
      </vt:variant>
      <vt:variant>
        <vt:i4>0</vt:i4>
      </vt:variant>
      <vt:variant>
        <vt:i4>5</vt:i4>
      </vt:variant>
      <vt:variant>
        <vt:lpwstr/>
      </vt:variant>
      <vt:variant>
        <vt:lpwstr>_Toc85696334</vt:lpwstr>
      </vt:variant>
      <vt:variant>
        <vt:i4>1769531</vt:i4>
      </vt:variant>
      <vt:variant>
        <vt:i4>92</vt:i4>
      </vt:variant>
      <vt:variant>
        <vt:i4>0</vt:i4>
      </vt:variant>
      <vt:variant>
        <vt:i4>5</vt:i4>
      </vt:variant>
      <vt:variant>
        <vt:lpwstr/>
      </vt:variant>
      <vt:variant>
        <vt:lpwstr>_Toc85696333</vt:lpwstr>
      </vt:variant>
      <vt:variant>
        <vt:i4>1703995</vt:i4>
      </vt:variant>
      <vt:variant>
        <vt:i4>86</vt:i4>
      </vt:variant>
      <vt:variant>
        <vt:i4>0</vt:i4>
      </vt:variant>
      <vt:variant>
        <vt:i4>5</vt:i4>
      </vt:variant>
      <vt:variant>
        <vt:lpwstr/>
      </vt:variant>
      <vt:variant>
        <vt:lpwstr>_Toc85696332</vt:lpwstr>
      </vt:variant>
      <vt:variant>
        <vt:i4>1638459</vt:i4>
      </vt:variant>
      <vt:variant>
        <vt:i4>80</vt:i4>
      </vt:variant>
      <vt:variant>
        <vt:i4>0</vt:i4>
      </vt:variant>
      <vt:variant>
        <vt:i4>5</vt:i4>
      </vt:variant>
      <vt:variant>
        <vt:lpwstr/>
      </vt:variant>
      <vt:variant>
        <vt:lpwstr>_Toc85696331</vt:lpwstr>
      </vt:variant>
      <vt:variant>
        <vt:i4>1572923</vt:i4>
      </vt:variant>
      <vt:variant>
        <vt:i4>74</vt:i4>
      </vt:variant>
      <vt:variant>
        <vt:i4>0</vt:i4>
      </vt:variant>
      <vt:variant>
        <vt:i4>5</vt:i4>
      </vt:variant>
      <vt:variant>
        <vt:lpwstr/>
      </vt:variant>
      <vt:variant>
        <vt:lpwstr>_Toc85696330</vt:lpwstr>
      </vt:variant>
      <vt:variant>
        <vt:i4>1114170</vt:i4>
      </vt:variant>
      <vt:variant>
        <vt:i4>68</vt:i4>
      </vt:variant>
      <vt:variant>
        <vt:i4>0</vt:i4>
      </vt:variant>
      <vt:variant>
        <vt:i4>5</vt:i4>
      </vt:variant>
      <vt:variant>
        <vt:lpwstr/>
      </vt:variant>
      <vt:variant>
        <vt:lpwstr>_Toc85696329</vt:lpwstr>
      </vt:variant>
      <vt:variant>
        <vt:i4>1048634</vt:i4>
      </vt:variant>
      <vt:variant>
        <vt:i4>62</vt:i4>
      </vt:variant>
      <vt:variant>
        <vt:i4>0</vt:i4>
      </vt:variant>
      <vt:variant>
        <vt:i4>5</vt:i4>
      </vt:variant>
      <vt:variant>
        <vt:lpwstr/>
      </vt:variant>
      <vt:variant>
        <vt:lpwstr>_Toc85696328</vt:lpwstr>
      </vt:variant>
      <vt:variant>
        <vt:i4>2031674</vt:i4>
      </vt:variant>
      <vt:variant>
        <vt:i4>56</vt:i4>
      </vt:variant>
      <vt:variant>
        <vt:i4>0</vt:i4>
      </vt:variant>
      <vt:variant>
        <vt:i4>5</vt:i4>
      </vt:variant>
      <vt:variant>
        <vt:lpwstr/>
      </vt:variant>
      <vt:variant>
        <vt:lpwstr>_Toc85696327</vt:lpwstr>
      </vt:variant>
      <vt:variant>
        <vt:i4>1966138</vt:i4>
      </vt:variant>
      <vt:variant>
        <vt:i4>50</vt:i4>
      </vt:variant>
      <vt:variant>
        <vt:i4>0</vt:i4>
      </vt:variant>
      <vt:variant>
        <vt:i4>5</vt:i4>
      </vt:variant>
      <vt:variant>
        <vt:lpwstr/>
      </vt:variant>
      <vt:variant>
        <vt:lpwstr>_Toc85696326</vt:lpwstr>
      </vt:variant>
      <vt:variant>
        <vt:i4>1900602</vt:i4>
      </vt:variant>
      <vt:variant>
        <vt:i4>44</vt:i4>
      </vt:variant>
      <vt:variant>
        <vt:i4>0</vt:i4>
      </vt:variant>
      <vt:variant>
        <vt:i4>5</vt:i4>
      </vt:variant>
      <vt:variant>
        <vt:lpwstr/>
      </vt:variant>
      <vt:variant>
        <vt:lpwstr>_Toc85696325</vt:lpwstr>
      </vt:variant>
      <vt:variant>
        <vt:i4>1835066</vt:i4>
      </vt:variant>
      <vt:variant>
        <vt:i4>38</vt:i4>
      </vt:variant>
      <vt:variant>
        <vt:i4>0</vt:i4>
      </vt:variant>
      <vt:variant>
        <vt:i4>5</vt:i4>
      </vt:variant>
      <vt:variant>
        <vt:lpwstr/>
      </vt:variant>
      <vt:variant>
        <vt:lpwstr>_Toc85696324</vt:lpwstr>
      </vt:variant>
      <vt:variant>
        <vt:i4>1769530</vt:i4>
      </vt:variant>
      <vt:variant>
        <vt:i4>32</vt:i4>
      </vt:variant>
      <vt:variant>
        <vt:i4>0</vt:i4>
      </vt:variant>
      <vt:variant>
        <vt:i4>5</vt:i4>
      </vt:variant>
      <vt:variant>
        <vt:lpwstr/>
      </vt:variant>
      <vt:variant>
        <vt:lpwstr>_Toc85696323</vt:lpwstr>
      </vt:variant>
      <vt:variant>
        <vt:i4>1703994</vt:i4>
      </vt:variant>
      <vt:variant>
        <vt:i4>26</vt:i4>
      </vt:variant>
      <vt:variant>
        <vt:i4>0</vt:i4>
      </vt:variant>
      <vt:variant>
        <vt:i4>5</vt:i4>
      </vt:variant>
      <vt:variant>
        <vt:lpwstr/>
      </vt:variant>
      <vt:variant>
        <vt:lpwstr>_Toc85696322</vt:lpwstr>
      </vt:variant>
      <vt:variant>
        <vt:i4>1638458</vt:i4>
      </vt:variant>
      <vt:variant>
        <vt:i4>20</vt:i4>
      </vt:variant>
      <vt:variant>
        <vt:i4>0</vt:i4>
      </vt:variant>
      <vt:variant>
        <vt:i4>5</vt:i4>
      </vt:variant>
      <vt:variant>
        <vt:lpwstr/>
      </vt:variant>
      <vt:variant>
        <vt:lpwstr>_Toc85696321</vt:lpwstr>
      </vt:variant>
      <vt:variant>
        <vt:i4>1572922</vt:i4>
      </vt:variant>
      <vt:variant>
        <vt:i4>14</vt:i4>
      </vt:variant>
      <vt:variant>
        <vt:i4>0</vt:i4>
      </vt:variant>
      <vt:variant>
        <vt:i4>5</vt:i4>
      </vt:variant>
      <vt:variant>
        <vt:lpwstr/>
      </vt:variant>
      <vt:variant>
        <vt:lpwstr>_Toc85696320</vt:lpwstr>
      </vt:variant>
      <vt:variant>
        <vt:i4>2228290</vt:i4>
      </vt:variant>
      <vt:variant>
        <vt:i4>9</vt:i4>
      </vt:variant>
      <vt:variant>
        <vt:i4>0</vt:i4>
      </vt:variant>
      <vt:variant>
        <vt:i4>5</vt:i4>
      </vt:variant>
      <vt:variant>
        <vt:lpwstr>mailto:Evan.betterton@igs.com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Betterton</dc:creator>
  <cp:keywords/>
  <dc:description/>
  <cp:lastModifiedBy>Helen Sweeney</cp:lastModifiedBy>
  <cp:revision>2</cp:revision>
  <cp:lastPrinted>2021-10-22T16:22:00Z</cp:lastPrinted>
  <dcterms:created xsi:type="dcterms:W3CDTF">2021-10-22T20:18:00Z</dcterms:created>
  <dcterms:modified xsi:type="dcterms:W3CDTF">2021-10-22T20:18:00Z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