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3CB" w:rsidRPr="00561663" w:rsidRDefault="00BA73CB" w:rsidP="00BA73CB">
      <w:pPr>
        <w:pStyle w:val="Title"/>
        <w:widowControl w:val="0"/>
        <w:suppressLineNumbers/>
        <w:rPr>
          <w:rFonts w:ascii="Arial" w:hAnsi="Arial" w:cs="Arial"/>
          <w:szCs w:val="24"/>
        </w:rPr>
      </w:pPr>
      <w:r w:rsidRPr="00561663">
        <w:rPr>
          <w:rFonts w:ascii="Arial" w:hAnsi="Arial" w:cs="Arial"/>
          <w:szCs w:val="24"/>
        </w:rPr>
        <w:t>BEFORE</w:t>
      </w:r>
    </w:p>
    <w:p w:rsidR="00BA73CB" w:rsidRPr="00BA73CB" w:rsidRDefault="00BA73CB" w:rsidP="00BA73CB">
      <w:pPr>
        <w:widowControl w:val="0"/>
        <w:suppressLineNumbers/>
        <w:spacing w:line="480" w:lineRule="auto"/>
        <w:jc w:val="center"/>
        <w:rPr>
          <w:rFonts w:ascii="Arial" w:hAnsi="Arial" w:cs="Arial"/>
          <w:b/>
          <w:sz w:val="24"/>
          <w:szCs w:val="24"/>
        </w:rPr>
      </w:pPr>
      <w:r w:rsidRPr="00BA73CB">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A73CB" w:rsidRPr="00BA73CB" w:rsidTr="002E6791">
        <w:trPr>
          <w:trHeight w:val="1359"/>
          <w:jc w:val="center"/>
        </w:trPr>
        <w:tc>
          <w:tcPr>
            <w:tcW w:w="4739" w:type="dxa"/>
          </w:tcPr>
          <w:p w:rsidR="00BA73CB" w:rsidRPr="00BA73CB" w:rsidRDefault="00BA73CB" w:rsidP="001723E0">
            <w:pPr>
              <w:suppressLineNumbers/>
              <w:spacing w:after="0" w:line="240" w:lineRule="auto"/>
              <w:rPr>
                <w:rFonts w:ascii="Arial" w:hAnsi="Arial" w:cs="Arial"/>
                <w:sz w:val="24"/>
                <w:szCs w:val="24"/>
              </w:rPr>
            </w:pPr>
            <w:r w:rsidRPr="00BA73CB">
              <w:rPr>
                <w:rFonts w:ascii="Arial" w:hAnsi="Arial" w:cs="Arial"/>
                <w:sz w:val="24"/>
                <w:szCs w:val="24"/>
              </w:rPr>
              <w:t>In the Matter of the 2018 Long-Term Forecast Report of Ohio Power Company and Related Matters.</w:t>
            </w:r>
          </w:p>
          <w:p w:rsidR="00BA73CB" w:rsidRPr="00BA73CB" w:rsidRDefault="00BA73CB" w:rsidP="001723E0">
            <w:pPr>
              <w:suppressLineNumbers/>
              <w:spacing w:after="0" w:line="240" w:lineRule="auto"/>
              <w:rPr>
                <w:rFonts w:ascii="Arial" w:hAnsi="Arial" w:cs="Arial"/>
                <w:sz w:val="24"/>
                <w:szCs w:val="24"/>
              </w:rPr>
            </w:pPr>
          </w:p>
          <w:p w:rsidR="00BA73CB" w:rsidRPr="00BA73CB" w:rsidRDefault="00BA73CB" w:rsidP="001723E0">
            <w:pPr>
              <w:suppressLineNumbers/>
              <w:spacing w:after="0" w:line="240" w:lineRule="auto"/>
              <w:rPr>
                <w:rFonts w:ascii="Arial" w:hAnsi="Arial" w:cs="Arial"/>
                <w:sz w:val="24"/>
                <w:szCs w:val="24"/>
              </w:rPr>
            </w:pPr>
            <w:r w:rsidRPr="00BA73CB">
              <w:rPr>
                <w:rFonts w:ascii="Arial" w:hAnsi="Arial" w:cs="Arial"/>
                <w:sz w:val="24"/>
                <w:szCs w:val="24"/>
              </w:rPr>
              <w:t>In the Matter of the Application of Ohio Power Company for Approval to Enter into Renewable Energy Purchase Agreements for Inclusion in the Renewable Generation Rider.</w:t>
            </w:r>
          </w:p>
          <w:p w:rsidR="00BA73CB" w:rsidRPr="00BA73CB" w:rsidRDefault="00BA73CB" w:rsidP="001723E0">
            <w:pPr>
              <w:suppressLineNumbers/>
              <w:spacing w:after="0" w:line="240" w:lineRule="auto"/>
              <w:rPr>
                <w:rFonts w:ascii="Arial" w:hAnsi="Arial" w:cs="Arial"/>
                <w:sz w:val="24"/>
                <w:szCs w:val="24"/>
              </w:rPr>
            </w:pPr>
          </w:p>
          <w:p w:rsidR="00BA73CB" w:rsidRPr="00BA73CB" w:rsidRDefault="00BA73CB" w:rsidP="001723E0">
            <w:pPr>
              <w:suppressLineNumbers/>
              <w:spacing w:after="0" w:line="240" w:lineRule="auto"/>
              <w:rPr>
                <w:rFonts w:ascii="Arial" w:hAnsi="Arial" w:cs="Arial"/>
                <w:sz w:val="24"/>
                <w:szCs w:val="24"/>
              </w:rPr>
            </w:pPr>
            <w:r w:rsidRPr="00BA73CB">
              <w:rPr>
                <w:rFonts w:ascii="Arial" w:hAnsi="Arial" w:cs="Arial"/>
                <w:sz w:val="24"/>
                <w:szCs w:val="24"/>
              </w:rPr>
              <w:t>In the Matter of the Application of Ohio</w:t>
            </w:r>
          </w:p>
          <w:p w:rsidR="00BA73CB" w:rsidRPr="00BA73CB" w:rsidRDefault="00BA73CB" w:rsidP="001723E0">
            <w:pPr>
              <w:suppressLineNumbers/>
              <w:spacing w:after="0" w:line="240" w:lineRule="auto"/>
              <w:rPr>
                <w:rFonts w:ascii="Arial" w:hAnsi="Arial" w:cs="Arial"/>
                <w:sz w:val="24"/>
                <w:szCs w:val="24"/>
              </w:rPr>
            </w:pPr>
            <w:r w:rsidRPr="00BA73CB">
              <w:rPr>
                <w:rFonts w:ascii="Arial" w:hAnsi="Arial" w:cs="Arial"/>
                <w:sz w:val="24"/>
                <w:szCs w:val="24"/>
              </w:rPr>
              <w:t>Power Company for Approval to Amend its Tariffs.</w:t>
            </w:r>
          </w:p>
        </w:tc>
        <w:tc>
          <w:tcPr>
            <w:tcW w:w="630" w:type="dxa"/>
          </w:tcPr>
          <w:p w:rsidR="00BA73CB" w:rsidRPr="00BA73CB" w:rsidRDefault="00BA73CB" w:rsidP="00BA73CB">
            <w:pPr>
              <w:widowControl w:val="0"/>
              <w:suppressLineNumbers/>
              <w:spacing w:after="0" w:line="480" w:lineRule="auto"/>
              <w:jc w:val="center"/>
              <w:rPr>
                <w:rFonts w:ascii="Arial" w:hAnsi="Arial" w:cs="Arial"/>
                <w:sz w:val="24"/>
                <w:szCs w:val="24"/>
              </w:rPr>
            </w:pPr>
            <w:r w:rsidRPr="00BA73CB">
              <w:rPr>
                <w:rFonts w:ascii="Arial" w:hAnsi="Arial" w:cs="Arial"/>
                <w:sz w:val="24"/>
                <w:szCs w:val="24"/>
              </w:rPr>
              <w:t>)</w:t>
            </w:r>
          </w:p>
          <w:p w:rsidR="00BA73CB" w:rsidRPr="00BA73CB" w:rsidRDefault="00BA73CB" w:rsidP="00BA73CB">
            <w:pPr>
              <w:widowControl w:val="0"/>
              <w:suppressLineNumbers/>
              <w:spacing w:after="0" w:line="480" w:lineRule="auto"/>
              <w:jc w:val="center"/>
              <w:rPr>
                <w:rFonts w:ascii="Arial" w:hAnsi="Arial" w:cs="Arial"/>
                <w:sz w:val="24"/>
                <w:szCs w:val="24"/>
              </w:rPr>
            </w:pPr>
            <w:r w:rsidRPr="00BA73CB">
              <w:rPr>
                <w:rFonts w:ascii="Arial" w:hAnsi="Arial" w:cs="Arial"/>
                <w:sz w:val="24"/>
                <w:szCs w:val="24"/>
              </w:rPr>
              <w:t>)</w:t>
            </w:r>
          </w:p>
          <w:p w:rsidR="00BA73CB" w:rsidRPr="00BA73CB" w:rsidRDefault="00BA73CB" w:rsidP="00BA73CB">
            <w:pPr>
              <w:widowControl w:val="0"/>
              <w:suppressLineNumbers/>
              <w:spacing w:after="0" w:line="480" w:lineRule="auto"/>
              <w:jc w:val="center"/>
              <w:rPr>
                <w:rFonts w:ascii="Arial" w:hAnsi="Arial" w:cs="Arial"/>
                <w:sz w:val="24"/>
                <w:szCs w:val="24"/>
              </w:rPr>
            </w:pPr>
            <w:r w:rsidRPr="00BA73CB">
              <w:rPr>
                <w:rFonts w:ascii="Arial" w:hAnsi="Arial" w:cs="Arial"/>
                <w:sz w:val="24"/>
                <w:szCs w:val="24"/>
              </w:rPr>
              <w:t>)</w:t>
            </w:r>
          </w:p>
          <w:p w:rsidR="00BA73CB" w:rsidRPr="00BA73CB" w:rsidRDefault="00B06E21" w:rsidP="00BA73CB">
            <w:pPr>
              <w:widowControl w:val="0"/>
              <w:suppressLineNumbers/>
              <w:spacing w:after="0" w:line="480" w:lineRule="auto"/>
              <w:jc w:val="center"/>
              <w:rPr>
                <w:rFonts w:ascii="Arial" w:hAnsi="Arial" w:cs="Arial"/>
                <w:sz w:val="24"/>
                <w:szCs w:val="24"/>
              </w:rPr>
            </w:pPr>
            <w:r>
              <w:rPr>
                <w:rFonts w:ascii="Arial" w:hAnsi="Arial" w:cs="Arial"/>
                <w:sz w:val="24"/>
                <w:szCs w:val="24"/>
              </w:rPr>
              <w:t>)</w:t>
            </w:r>
          </w:p>
          <w:p w:rsidR="00BA73CB" w:rsidRPr="00BA73CB" w:rsidRDefault="00BA73CB" w:rsidP="00BA73CB">
            <w:pPr>
              <w:widowControl w:val="0"/>
              <w:suppressLineNumbers/>
              <w:spacing w:after="0" w:line="480" w:lineRule="auto"/>
              <w:jc w:val="center"/>
              <w:rPr>
                <w:rFonts w:ascii="Arial" w:hAnsi="Arial" w:cs="Arial"/>
                <w:sz w:val="24"/>
                <w:szCs w:val="24"/>
              </w:rPr>
            </w:pPr>
            <w:r w:rsidRPr="00BA73CB">
              <w:rPr>
                <w:rFonts w:ascii="Arial" w:hAnsi="Arial" w:cs="Arial"/>
                <w:sz w:val="24"/>
                <w:szCs w:val="24"/>
              </w:rPr>
              <w:t>)</w:t>
            </w:r>
          </w:p>
          <w:p w:rsidR="00BA73CB" w:rsidRPr="00BA73CB" w:rsidRDefault="00BA73CB" w:rsidP="00BA73CB">
            <w:pPr>
              <w:widowControl w:val="0"/>
              <w:suppressLineNumbers/>
              <w:spacing w:after="0" w:line="480" w:lineRule="auto"/>
              <w:jc w:val="center"/>
              <w:rPr>
                <w:rFonts w:ascii="Arial" w:hAnsi="Arial" w:cs="Arial"/>
                <w:sz w:val="24"/>
                <w:szCs w:val="24"/>
              </w:rPr>
            </w:pPr>
            <w:r w:rsidRPr="00BA73CB">
              <w:rPr>
                <w:rFonts w:ascii="Arial" w:hAnsi="Arial" w:cs="Arial"/>
                <w:sz w:val="24"/>
                <w:szCs w:val="24"/>
              </w:rPr>
              <w:t>)</w:t>
            </w:r>
          </w:p>
          <w:p w:rsidR="00BA73CB" w:rsidRPr="00BA73CB" w:rsidRDefault="00BA73CB" w:rsidP="00B06E21">
            <w:pPr>
              <w:widowControl w:val="0"/>
              <w:suppressLineNumbers/>
              <w:spacing w:after="0" w:line="480" w:lineRule="auto"/>
              <w:jc w:val="center"/>
              <w:rPr>
                <w:rFonts w:ascii="Arial" w:hAnsi="Arial" w:cs="Arial"/>
                <w:sz w:val="24"/>
                <w:szCs w:val="24"/>
              </w:rPr>
            </w:pPr>
            <w:r w:rsidRPr="00BA73CB">
              <w:rPr>
                <w:rFonts w:ascii="Arial" w:hAnsi="Arial" w:cs="Arial"/>
                <w:sz w:val="24"/>
                <w:szCs w:val="24"/>
              </w:rPr>
              <w:t>)</w:t>
            </w:r>
          </w:p>
          <w:p w:rsidR="00BA73CB" w:rsidRPr="00BA73CB" w:rsidRDefault="00BA73CB" w:rsidP="00BA73CB">
            <w:pPr>
              <w:widowControl w:val="0"/>
              <w:suppressLineNumbers/>
              <w:spacing w:after="0" w:line="480" w:lineRule="auto"/>
              <w:jc w:val="center"/>
              <w:rPr>
                <w:rFonts w:ascii="Arial" w:hAnsi="Arial" w:cs="Arial"/>
                <w:sz w:val="24"/>
                <w:szCs w:val="24"/>
              </w:rPr>
            </w:pPr>
          </w:p>
        </w:tc>
        <w:tc>
          <w:tcPr>
            <w:tcW w:w="3928" w:type="dxa"/>
          </w:tcPr>
          <w:p w:rsidR="00BA73CB" w:rsidRPr="00BA73CB" w:rsidRDefault="00BA73CB" w:rsidP="00BA73CB">
            <w:pPr>
              <w:widowControl w:val="0"/>
              <w:suppressLineNumbers/>
              <w:spacing w:after="0" w:line="480" w:lineRule="auto"/>
              <w:rPr>
                <w:rFonts w:ascii="Arial" w:hAnsi="Arial" w:cs="Arial"/>
                <w:sz w:val="24"/>
                <w:szCs w:val="24"/>
              </w:rPr>
            </w:pPr>
            <w:r w:rsidRPr="00BA73CB">
              <w:rPr>
                <w:rFonts w:ascii="Arial" w:hAnsi="Arial" w:cs="Arial"/>
                <w:sz w:val="24"/>
                <w:szCs w:val="24"/>
              </w:rPr>
              <w:t>Case No. 18-501-EL-FOR</w:t>
            </w:r>
          </w:p>
          <w:p w:rsidR="00B06E21" w:rsidRDefault="00B06E21" w:rsidP="00B06E21">
            <w:pPr>
              <w:widowControl w:val="0"/>
              <w:suppressLineNumbers/>
              <w:spacing w:after="0" w:line="480" w:lineRule="auto"/>
              <w:rPr>
                <w:rFonts w:ascii="Arial" w:hAnsi="Arial" w:cs="Arial"/>
                <w:sz w:val="24"/>
                <w:szCs w:val="24"/>
              </w:rPr>
            </w:pPr>
          </w:p>
          <w:p w:rsidR="00B06E21" w:rsidRPr="00BA73CB" w:rsidRDefault="00B06E21" w:rsidP="00B06E21">
            <w:pPr>
              <w:widowControl w:val="0"/>
              <w:suppressLineNumbers/>
              <w:spacing w:after="0" w:line="480" w:lineRule="auto"/>
              <w:rPr>
                <w:rFonts w:ascii="Arial" w:hAnsi="Arial" w:cs="Arial"/>
                <w:sz w:val="24"/>
                <w:szCs w:val="24"/>
              </w:rPr>
            </w:pPr>
            <w:r w:rsidRPr="00BA73CB">
              <w:rPr>
                <w:rFonts w:ascii="Arial" w:hAnsi="Arial" w:cs="Arial"/>
                <w:sz w:val="24"/>
                <w:szCs w:val="24"/>
              </w:rPr>
              <w:t>Case No. 18-1392-EL-RDR</w:t>
            </w:r>
          </w:p>
          <w:p w:rsidR="00BA73CB" w:rsidRPr="00BA73CB" w:rsidRDefault="00BA73CB" w:rsidP="00BA73CB">
            <w:pPr>
              <w:widowControl w:val="0"/>
              <w:suppressLineNumbers/>
              <w:spacing w:after="0" w:line="480" w:lineRule="auto"/>
              <w:rPr>
                <w:rFonts w:ascii="Arial" w:hAnsi="Arial" w:cs="Arial"/>
                <w:sz w:val="24"/>
                <w:szCs w:val="24"/>
              </w:rPr>
            </w:pPr>
          </w:p>
          <w:p w:rsidR="00BA73CB" w:rsidRPr="00BA73CB" w:rsidRDefault="00B06E21" w:rsidP="00BA73CB">
            <w:pPr>
              <w:widowControl w:val="0"/>
              <w:suppressLineNumbers/>
              <w:spacing w:after="0" w:line="480" w:lineRule="auto"/>
              <w:rPr>
                <w:rFonts w:ascii="Arial" w:hAnsi="Arial" w:cs="Arial"/>
                <w:sz w:val="24"/>
                <w:szCs w:val="24"/>
              </w:rPr>
            </w:pPr>
            <w:r w:rsidRPr="00BA73CB">
              <w:rPr>
                <w:rFonts w:ascii="Arial" w:hAnsi="Arial" w:cs="Arial"/>
                <w:sz w:val="24"/>
                <w:szCs w:val="24"/>
              </w:rPr>
              <w:t>Case No. 18-1393-EL-ATA</w:t>
            </w:r>
          </w:p>
          <w:p w:rsidR="00BA73CB" w:rsidRPr="00BA73CB" w:rsidRDefault="00BA73CB" w:rsidP="00BA73CB">
            <w:pPr>
              <w:widowControl w:val="0"/>
              <w:suppressLineNumbers/>
              <w:spacing w:after="0" w:line="480" w:lineRule="auto"/>
              <w:rPr>
                <w:rFonts w:ascii="Arial" w:hAnsi="Arial" w:cs="Arial"/>
                <w:sz w:val="24"/>
                <w:szCs w:val="24"/>
              </w:rPr>
            </w:pPr>
          </w:p>
          <w:p w:rsidR="00BA73CB" w:rsidRPr="00BA73CB" w:rsidRDefault="00BA73CB" w:rsidP="00BA73CB">
            <w:pPr>
              <w:widowControl w:val="0"/>
              <w:suppressLineNumbers/>
              <w:spacing w:after="0" w:line="480" w:lineRule="auto"/>
              <w:rPr>
                <w:rFonts w:ascii="Arial" w:hAnsi="Arial" w:cs="Arial"/>
                <w:sz w:val="24"/>
                <w:szCs w:val="24"/>
              </w:rPr>
            </w:pPr>
          </w:p>
          <w:p w:rsidR="00BA73CB" w:rsidRPr="00BA73CB" w:rsidRDefault="00BA73CB" w:rsidP="00BA73CB">
            <w:pPr>
              <w:widowControl w:val="0"/>
              <w:suppressLineNumbers/>
              <w:spacing w:after="0" w:line="480" w:lineRule="auto"/>
              <w:rPr>
                <w:rFonts w:ascii="Arial" w:hAnsi="Arial" w:cs="Arial"/>
                <w:sz w:val="24"/>
                <w:szCs w:val="24"/>
              </w:rPr>
            </w:pPr>
          </w:p>
          <w:p w:rsidR="00BA73CB" w:rsidRPr="00BA73CB" w:rsidRDefault="00BA73CB" w:rsidP="00BA73CB">
            <w:pPr>
              <w:widowControl w:val="0"/>
              <w:suppressLineNumbers/>
              <w:spacing w:after="0" w:line="480" w:lineRule="auto"/>
              <w:rPr>
                <w:rFonts w:ascii="Arial" w:hAnsi="Arial" w:cs="Arial"/>
                <w:sz w:val="24"/>
                <w:szCs w:val="24"/>
              </w:rPr>
            </w:pPr>
          </w:p>
        </w:tc>
      </w:tr>
    </w:tbl>
    <w:p w:rsidR="00BA73CB" w:rsidRPr="00BA73CB" w:rsidRDefault="00BA73CB" w:rsidP="00BA73CB">
      <w:pPr>
        <w:widowControl w:val="0"/>
        <w:suppressLineNumbers/>
        <w:pBdr>
          <w:bottom w:val="single" w:sz="12" w:space="0" w:color="auto"/>
        </w:pBdr>
        <w:spacing w:after="0" w:line="480" w:lineRule="auto"/>
        <w:rPr>
          <w:rFonts w:ascii="Arial" w:hAnsi="Arial" w:cs="Arial"/>
          <w:sz w:val="24"/>
          <w:szCs w:val="24"/>
        </w:rPr>
      </w:pPr>
    </w:p>
    <w:p w:rsidR="00BA73CB" w:rsidRPr="00BA73CB" w:rsidRDefault="00BA73CB" w:rsidP="00F05440">
      <w:pPr>
        <w:widowControl w:val="0"/>
        <w:suppressLineNumbers/>
        <w:spacing w:after="0" w:line="480" w:lineRule="auto"/>
        <w:rPr>
          <w:rFonts w:ascii="Arial" w:hAnsi="Arial" w:cs="Arial"/>
          <w:b/>
          <w:bCs/>
          <w:sz w:val="24"/>
          <w:szCs w:val="24"/>
        </w:rPr>
      </w:pPr>
    </w:p>
    <w:p w:rsidR="00BA73CB" w:rsidRDefault="006E5605" w:rsidP="00F05440">
      <w:pPr>
        <w:widowControl w:val="0"/>
        <w:suppressLineNumbers/>
        <w:pBdr>
          <w:bottom w:val="single" w:sz="12" w:space="1" w:color="auto"/>
        </w:pBdr>
        <w:tabs>
          <w:tab w:val="left" w:pos="6461"/>
        </w:tabs>
        <w:spacing w:after="0" w:line="480" w:lineRule="auto"/>
        <w:jc w:val="center"/>
        <w:rPr>
          <w:rFonts w:ascii="Arial" w:hAnsi="Arial" w:cs="Arial"/>
          <w:b/>
          <w:bCs/>
          <w:sz w:val="24"/>
          <w:szCs w:val="24"/>
        </w:rPr>
      </w:pPr>
      <w:r>
        <w:rPr>
          <w:rFonts w:ascii="Arial" w:hAnsi="Arial" w:cs="Arial"/>
          <w:b/>
          <w:bCs/>
          <w:sz w:val="24"/>
          <w:szCs w:val="24"/>
        </w:rPr>
        <w:t xml:space="preserve">REVISED </w:t>
      </w:r>
      <w:r w:rsidR="00BA73CB" w:rsidRPr="00BA73CB">
        <w:rPr>
          <w:rFonts w:ascii="Arial" w:hAnsi="Arial" w:cs="Arial"/>
          <w:b/>
          <w:bCs/>
          <w:sz w:val="24"/>
          <w:szCs w:val="24"/>
        </w:rPr>
        <w:t>DIRECT TESTIMONY OF PAUL LEANZA ON BEHALF OF INTERSTATE GAS SUPPLY, INC. AND IGS SOLAR, LLC</w:t>
      </w:r>
      <w:r w:rsidR="003E33E5">
        <w:rPr>
          <w:rFonts w:ascii="Arial" w:hAnsi="Arial" w:cs="Arial"/>
          <w:b/>
          <w:bCs/>
          <w:sz w:val="24"/>
          <w:szCs w:val="24"/>
        </w:rPr>
        <w:t xml:space="preserve"> </w:t>
      </w:r>
    </w:p>
    <w:p w:rsidR="00BA73CB" w:rsidRPr="00BA73CB" w:rsidRDefault="00BA73CB" w:rsidP="00BA73CB">
      <w:pPr>
        <w:suppressLineNumbers/>
        <w:tabs>
          <w:tab w:val="left" w:pos="360"/>
        </w:tabs>
        <w:spacing w:after="0" w:line="480" w:lineRule="auto"/>
        <w:ind w:left="360" w:hanging="360"/>
        <w:jc w:val="both"/>
        <w:rPr>
          <w:rFonts w:ascii="Arial" w:hAnsi="Arial" w:cs="Arial"/>
          <w:sz w:val="24"/>
          <w:szCs w:val="24"/>
        </w:rPr>
      </w:pPr>
    </w:p>
    <w:p w:rsidR="00BA73CB" w:rsidRDefault="00BA73CB" w:rsidP="00BA73CB">
      <w:pPr>
        <w:suppressLineNumbers/>
        <w:autoSpaceDE w:val="0"/>
        <w:autoSpaceDN w:val="0"/>
        <w:adjustRightInd w:val="0"/>
        <w:spacing w:after="120" w:line="480" w:lineRule="auto"/>
        <w:ind w:firstLine="720"/>
        <w:jc w:val="both"/>
        <w:rPr>
          <w:rFonts w:ascii="Arial" w:hAnsi="Arial" w:cs="Arial"/>
          <w:sz w:val="24"/>
          <w:szCs w:val="24"/>
        </w:rPr>
      </w:pPr>
    </w:p>
    <w:p w:rsidR="00F05440" w:rsidRDefault="00F05440" w:rsidP="00BA73CB">
      <w:pPr>
        <w:suppressLineNumbers/>
        <w:autoSpaceDE w:val="0"/>
        <w:autoSpaceDN w:val="0"/>
        <w:adjustRightInd w:val="0"/>
        <w:spacing w:after="120" w:line="480" w:lineRule="auto"/>
        <w:ind w:firstLine="720"/>
        <w:jc w:val="both"/>
        <w:rPr>
          <w:rFonts w:ascii="Arial" w:hAnsi="Arial" w:cs="Arial"/>
          <w:sz w:val="24"/>
          <w:szCs w:val="24"/>
        </w:rPr>
      </w:pPr>
    </w:p>
    <w:p w:rsidR="00F05440" w:rsidRDefault="00F05440" w:rsidP="00BA73CB">
      <w:pPr>
        <w:suppressLineNumbers/>
        <w:autoSpaceDE w:val="0"/>
        <w:autoSpaceDN w:val="0"/>
        <w:adjustRightInd w:val="0"/>
        <w:spacing w:after="120" w:line="480" w:lineRule="auto"/>
        <w:ind w:firstLine="720"/>
        <w:jc w:val="both"/>
        <w:rPr>
          <w:rFonts w:ascii="Arial" w:hAnsi="Arial" w:cs="Arial"/>
          <w:sz w:val="24"/>
          <w:szCs w:val="24"/>
        </w:rPr>
      </w:pPr>
    </w:p>
    <w:p w:rsidR="003E33E5" w:rsidRDefault="003E33E5" w:rsidP="00BA73CB">
      <w:pPr>
        <w:suppressLineNumbers/>
        <w:autoSpaceDE w:val="0"/>
        <w:autoSpaceDN w:val="0"/>
        <w:adjustRightInd w:val="0"/>
        <w:spacing w:after="120" w:line="480" w:lineRule="auto"/>
        <w:ind w:firstLine="720"/>
        <w:jc w:val="both"/>
        <w:rPr>
          <w:rFonts w:ascii="Arial" w:hAnsi="Arial" w:cs="Arial"/>
          <w:sz w:val="24"/>
          <w:szCs w:val="24"/>
        </w:rPr>
      </w:pPr>
    </w:p>
    <w:p w:rsidR="006E5605" w:rsidRPr="00BA73CB" w:rsidRDefault="006E5605" w:rsidP="00BA73CB">
      <w:pPr>
        <w:suppressLineNumbers/>
        <w:autoSpaceDE w:val="0"/>
        <w:autoSpaceDN w:val="0"/>
        <w:adjustRightInd w:val="0"/>
        <w:spacing w:after="120" w:line="480" w:lineRule="auto"/>
        <w:ind w:firstLine="720"/>
        <w:jc w:val="both"/>
        <w:rPr>
          <w:rFonts w:ascii="Arial" w:hAnsi="Arial" w:cs="Arial"/>
          <w:sz w:val="24"/>
          <w:szCs w:val="24"/>
        </w:rPr>
      </w:pPr>
    </w:p>
    <w:p w:rsidR="00317263" w:rsidRDefault="00317263" w:rsidP="00F05440">
      <w:pPr>
        <w:suppressLineNumbers/>
        <w:spacing w:line="480" w:lineRule="auto"/>
        <w:rPr>
          <w:rFonts w:ascii="Arial" w:hAnsi="Arial" w:cs="Arial"/>
          <w:b/>
          <w:sz w:val="24"/>
          <w:szCs w:val="24"/>
        </w:rPr>
      </w:pPr>
    </w:p>
    <w:p w:rsidR="00BA73CB" w:rsidRPr="00BA73CB" w:rsidRDefault="00BA73CB" w:rsidP="00BA73CB">
      <w:pPr>
        <w:spacing w:line="480" w:lineRule="auto"/>
        <w:rPr>
          <w:rFonts w:ascii="Arial" w:hAnsi="Arial" w:cs="Arial"/>
          <w:b/>
          <w:sz w:val="24"/>
          <w:szCs w:val="24"/>
          <w:u w:val="single"/>
        </w:rPr>
      </w:pPr>
      <w:r w:rsidRPr="00BA73CB">
        <w:rPr>
          <w:rFonts w:ascii="Arial" w:hAnsi="Arial" w:cs="Arial"/>
          <w:b/>
          <w:sz w:val="24"/>
          <w:szCs w:val="24"/>
        </w:rPr>
        <w:lastRenderedPageBreak/>
        <w:tab/>
      </w:r>
      <w:r>
        <w:rPr>
          <w:rFonts w:ascii="Arial" w:hAnsi="Arial" w:cs="Arial"/>
          <w:b/>
          <w:sz w:val="24"/>
          <w:szCs w:val="24"/>
        </w:rPr>
        <w:tab/>
      </w:r>
      <w:r w:rsidRPr="00BA73CB">
        <w:rPr>
          <w:rFonts w:ascii="Arial" w:hAnsi="Arial" w:cs="Arial"/>
          <w:b/>
          <w:sz w:val="24"/>
          <w:szCs w:val="24"/>
          <w:u w:val="single"/>
        </w:rPr>
        <w:t>INTRODUCTION AND PURPOSE OF TESTIMONY</w:t>
      </w:r>
    </w:p>
    <w:p w:rsidR="00BA73CB" w:rsidRPr="00BA73CB" w:rsidRDefault="00BA73CB" w:rsidP="00BA73CB">
      <w:pPr>
        <w:spacing w:line="480" w:lineRule="auto"/>
        <w:ind w:left="720" w:hanging="720"/>
        <w:rPr>
          <w:rFonts w:ascii="Arial" w:hAnsi="Arial" w:cs="Arial"/>
          <w:sz w:val="24"/>
          <w:szCs w:val="24"/>
        </w:rPr>
      </w:pPr>
      <w:r>
        <w:rPr>
          <w:rFonts w:ascii="Arial" w:hAnsi="Arial" w:cs="Arial"/>
          <w:b/>
          <w:sz w:val="24"/>
          <w:szCs w:val="24"/>
        </w:rPr>
        <w:t xml:space="preserve">Q. </w:t>
      </w:r>
      <w:r>
        <w:rPr>
          <w:rFonts w:ascii="Arial" w:hAnsi="Arial" w:cs="Arial"/>
          <w:b/>
          <w:sz w:val="24"/>
          <w:szCs w:val="24"/>
        </w:rPr>
        <w:tab/>
      </w:r>
      <w:r w:rsidRPr="00BA73CB">
        <w:rPr>
          <w:rFonts w:ascii="Arial" w:hAnsi="Arial" w:cs="Arial"/>
          <w:b/>
          <w:sz w:val="24"/>
          <w:szCs w:val="24"/>
        </w:rPr>
        <w:t>Please introduce yourself.</w:t>
      </w:r>
    </w:p>
    <w:p w:rsidR="00BA73CB" w:rsidRPr="00BA73CB" w:rsidRDefault="00BA73CB" w:rsidP="00BA73CB">
      <w:pPr>
        <w:pStyle w:val="Heading1"/>
        <w:ind w:left="720" w:hanging="720"/>
        <w:rPr>
          <w:rFonts w:ascii="Arial" w:hAnsi="Arial" w:cs="Arial"/>
          <w:b w:val="0"/>
          <w:bCs w:val="0"/>
          <w:szCs w:val="24"/>
        </w:rPr>
      </w:pPr>
      <w:r w:rsidRPr="00BA73CB">
        <w:rPr>
          <w:rFonts w:ascii="Arial" w:hAnsi="Arial" w:cs="Arial"/>
          <w:b w:val="0"/>
          <w:bCs w:val="0"/>
          <w:szCs w:val="24"/>
        </w:rPr>
        <w:t>A.</w:t>
      </w:r>
      <w:r w:rsidRPr="00BA73CB">
        <w:rPr>
          <w:rFonts w:ascii="Arial" w:hAnsi="Arial" w:cs="Arial"/>
          <w:b w:val="0"/>
          <w:bCs w:val="0"/>
          <w:szCs w:val="24"/>
        </w:rPr>
        <w:tab/>
      </w:r>
      <w:r w:rsidRPr="00BA73CB">
        <w:rPr>
          <w:rFonts w:ascii="Arial" w:hAnsi="Arial" w:cs="Arial"/>
          <w:b w:val="0"/>
          <w:szCs w:val="24"/>
        </w:rPr>
        <w:t>My name is Paul Leanza.  I am employed by Interstate Gas Supply, Inc. (“IGS” or “IGS Energy”) as Gas Supply Director.  My business address is 6100 Emerald Parkway, Dublin, Ohio 43016.</w:t>
      </w:r>
    </w:p>
    <w:p w:rsidR="00BA73CB" w:rsidRPr="00BA73CB" w:rsidRDefault="00BA73CB" w:rsidP="00BA73CB">
      <w:pPr>
        <w:spacing w:line="480" w:lineRule="auto"/>
        <w:jc w:val="both"/>
        <w:rPr>
          <w:rFonts w:ascii="Arial" w:hAnsi="Arial" w:cs="Arial"/>
          <w:b/>
          <w:bCs/>
          <w:sz w:val="24"/>
          <w:szCs w:val="24"/>
        </w:rPr>
      </w:pPr>
      <w:r w:rsidRPr="00BA73CB">
        <w:rPr>
          <w:rFonts w:ascii="Arial" w:hAnsi="Arial" w:cs="Arial"/>
          <w:b/>
          <w:sz w:val="24"/>
          <w:szCs w:val="24"/>
        </w:rPr>
        <w:t>Q.</w:t>
      </w:r>
      <w:r w:rsidRPr="00BA73CB">
        <w:rPr>
          <w:rFonts w:ascii="Arial" w:hAnsi="Arial" w:cs="Arial"/>
          <w:b/>
          <w:bCs/>
          <w:sz w:val="24"/>
          <w:szCs w:val="24"/>
        </w:rPr>
        <w:tab/>
        <w:t>Please describe your educational background and work history.</w:t>
      </w:r>
    </w:p>
    <w:p w:rsidR="00BA73CB" w:rsidRPr="00BA73CB" w:rsidRDefault="00BA73CB" w:rsidP="00BA73CB">
      <w:pPr>
        <w:spacing w:line="480" w:lineRule="auto"/>
        <w:ind w:left="720" w:hanging="720"/>
        <w:jc w:val="both"/>
        <w:rPr>
          <w:rFonts w:ascii="Arial" w:hAnsi="Arial" w:cs="Arial"/>
          <w:bCs/>
          <w:sz w:val="24"/>
          <w:szCs w:val="24"/>
        </w:rPr>
      </w:pPr>
      <w:r w:rsidRPr="00F21599">
        <w:rPr>
          <w:rFonts w:ascii="Arial" w:hAnsi="Arial" w:cs="Arial"/>
          <w:bCs/>
          <w:sz w:val="24"/>
          <w:szCs w:val="24"/>
        </w:rPr>
        <w:t>A</w:t>
      </w:r>
      <w:r w:rsidRPr="00BA73CB">
        <w:rPr>
          <w:rFonts w:ascii="Arial" w:hAnsi="Arial" w:cs="Arial"/>
          <w:b/>
          <w:bCs/>
          <w:sz w:val="24"/>
          <w:szCs w:val="24"/>
        </w:rPr>
        <w:t>.</w:t>
      </w:r>
      <w:r w:rsidRPr="00BA73CB">
        <w:rPr>
          <w:rFonts w:ascii="Arial" w:hAnsi="Arial" w:cs="Arial"/>
          <w:b/>
          <w:bCs/>
          <w:sz w:val="24"/>
          <w:szCs w:val="24"/>
        </w:rPr>
        <w:tab/>
      </w:r>
      <w:r w:rsidRPr="00BA73CB">
        <w:rPr>
          <w:rFonts w:ascii="Arial" w:hAnsi="Arial" w:cs="Arial"/>
          <w:bCs/>
          <w:sz w:val="24"/>
          <w:szCs w:val="24"/>
        </w:rPr>
        <w:t xml:space="preserve">I received a BSBA degree from The Ohio State University in 1989 and have worked exclusively in the energy industry since 1991.  My experience includes positions on both the regulated utility side of the business and non-regulated side including wholesale, retail, and trading for both natural gas and power.  I am well versed in futures, swaps, and options and currently execute or oversee all NYMEX future and swap transactions and manage the fixed price position for Interstate Gas Supply, </w:t>
      </w:r>
      <w:proofErr w:type="gramStart"/>
      <w:r w:rsidRPr="00BA73CB">
        <w:rPr>
          <w:rFonts w:ascii="Arial" w:hAnsi="Arial" w:cs="Arial"/>
          <w:bCs/>
          <w:sz w:val="24"/>
          <w:szCs w:val="24"/>
        </w:rPr>
        <w:t>Inc..</w:t>
      </w:r>
      <w:proofErr w:type="gramEnd"/>
      <w:r w:rsidRPr="00BA73CB">
        <w:rPr>
          <w:rFonts w:ascii="Arial" w:hAnsi="Arial" w:cs="Arial"/>
          <w:bCs/>
          <w:sz w:val="24"/>
          <w:szCs w:val="24"/>
        </w:rPr>
        <w:t xml:space="preserve">  As the Director for the Northeast Desk at Enron Energy Services I was responsible for purchasing and selling physical supplies under short and long term contractual arrangements including fixed and floating pricing for fixed and variable volumes.  The position also included the management of storage contracts and supply peaking arrangements.  My experience also includes power and gas trading at AEP Energy Services where I traded power in the NYISO region and traded natural gas in the Northeast region.     </w:t>
      </w:r>
    </w:p>
    <w:p w:rsidR="00BA73CB" w:rsidRDefault="00BA73CB" w:rsidP="00BA73CB">
      <w:pPr>
        <w:spacing w:line="480" w:lineRule="auto"/>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What is the purpose of you</w:t>
      </w:r>
      <w:r w:rsidR="00DE013C">
        <w:rPr>
          <w:rFonts w:ascii="Arial" w:hAnsi="Arial" w:cs="Arial"/>
          <w:b/>
          <w:sz w:val="24"/>
          <w:szCs w:val="24"/>
        </w:rPr>
        <w:t>r</w:t>
      </w:r>
      <w:r>
        <w:rPr>
          <w:rFonts w:ascii="Arial" w:hAnsi="Arial" w:cs="Arial"/>
          <w:b/>
          <w:sz w:val="24"/>
          <w:szCs w:val="24"/>
        </w:rPr>
        <w:t xml:space="preserve"> testimony?</w:t>
      </w:r>
    </w:p>
    <w:p w:rsidR="00BA73CB" w:rsidRPr="001723E0" w:rsidRDefault="00BA73CB" w:rsidP="001723E0">
      <w:pPr>
        <w:spacing w:line="480" w:lineRule="auto"/>
        <w:ind w:left="72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Ohio Power Company (“Ohio Power” or “AEP”) has requested that the Commission make a finding of “need” for 900 megawatts of renewable </w:t>
      </w:r>
      <w:r>
        <w:rPr>
          <w:rFonts w:ascii="Arial" w:hAnsi="Arial" w:cs="Arial"/>
          <w:sz w:val="24"/>
          <w:szCs w:val="24"/>
        </w:rPr>
        <w:lastRenderedPageBreak/>
        <w:t xml:space="preserve">generation resources.  AEP’s proposal </w:t>
      </w:r>
      <w:r w:rsidR="00393CB8">
        <w:rPr>
          <w:rFonts w:ascii="Arial" w:hAnsi="Arial" w:cs="Arial"/>
          <w:sz w:val="24"/>
          <w:szCs w:val="24"/>
        </w:rPr>
        <w:t>relies upon</w:t>
      </w:r>
      <w:r>
        <w:rPr>
          <w:rFonts w:ascii="Arial" w:hAnsi="Arial" w:cs="Arial"/>
          <w:sz w:val="24"/>
          <w:szCs w:val="24"/>
        </w:rPr>
        <w:t xml:space="preserve"> a forecast of future electricity</w:t>
      </w:r>
      <w:r w:rsidR="00EC5AE9">
        <w:rPr>
          <w:rFonts w:ascii="Arial" w:hAnsi="Arial" w:cs="Arial"/>
          <w:sz w:val="24"/>
          <w:szCs w:val="24"/>
        </w:rPr>
        <w:t xml:space="preserve"> and natural gas</w:t>
      </w:r>
      <w:r>
        <w:rPr>
          <w:rFonts w:ascii="Arial" w:hAnsi="Arial" w:cs="Arial"/>
          <w:sz w:val="24"/>
          <w:szCs w:val="24"/>
        </w:rPr>
        <w:t xml:space="preserve"> prices provided by AEP witness </w:t>
      </w:r>
      <w:proofErr w:type="spellStart"/>
      <w:r>
        <w:rPr>
          <w:rFonts w:ascii="Arial" w:hAnsi="Arial" w:cs="Arial"/>
          <w:sz w:val="24"/>
          <w:szCs w:val="24"/>
        </w:rPr>
        <w:t>Bletz</w:t>
      </w:r>
      <w:r w:rsidR="001723E0">
        <w:rPr>
          <w:rFonts w:ascii="Arial" w:hAnsi="Arial" w:cs="Arial"/>
          <w:sz w:val="24"/>
          <w:szCs w:val="24"/>
        </w:rPr>
        <w:t>a</w:t>
      </w:r>
      <w:r>
        <w:rPr>
          <w:rFonts w:ascii="Arial" w:hAnsi="Arial" w:cs="Arial"/>
          <w:sz w:val="24"/>
          <w:szCs w:val="24"/>
        </w:rPr>
        <w:t>cker</w:t>
      </w:r>
      <w:proofErr w:type="spellEnd"/>
      <w:r>
        <w:rPr>
          <w:rFonts w:ascii="Arial" w:hAnsi="Arial" w:cs="Arial"/>
          <w:sz w:val="24"/>
          <w:szCs w:val="24"/>
        </w:rPr>
        <w:t>.</w:t>
      </w:r>
      <w:r w:rsidR="00393CB8">
        <w:rPr>
          <w:rFonts w:ascii="Arial" w:hAnsi="Arial" w:cs="Arial"/>
          <w:sz w:val="24"/>
          <w:szCs w:val="24"/>
        </w:rPr>
        <w:t xml:space="preserve">  The purpose of my testimony is to demonstrate how AEP’s forecast is unreliable and to provide a more realistic outlook for the Commission’s consideration.</w:t>
      </w:r>
    </w:p>
    <w:p w:rsidR="00B06E21" w:rsidRDefault="0024526A" w:rsidP="00277CEC">
      <w:pPr>
        <w:spacing w:line="480" w:lineRule="auto"/>
        <w:ind w:left="720" w:hanging="720"/>
        <w:jc w:val="both"/>
        <w:rPr>
          <w:rFonts w:ascii="Arial" w:hAnsi="Arial" w:cs="Arial"/>
          <w:b/>
          <w:sz w:val="24"/>
          <w:szCs w:val="24"/>
        </w:rPr>
      </w:pPr>
      <w:r w:rsidRPr="00BA73CB">
        <w:rPr>
          <w:rFonts w:ascii="Arial" w:hAnsi="Arial" w:cs="Arial"/>
          <w:b/>
          <w:sz w:val="24"/>
          <w:szCs w:val="24"/>
        </w:rPr>
        <w:t xml:space="preserve">Q. </w:t>
      </w:r>
      <w:r w:rsidRPr="00BA73CB">
        <w:rPr>
          <w:rFonts w:ascii="Arial" w:hAnsi="Arial" w:cs="Arial"/>
          <w:b/>
          <w:sz w:val="24"/>
          <w:szCs w:val="24"/>
        </w:rPr>
        <w:tab/>
      </w:r>
      <w:r w:rsidR="00B06E21">
        <w:rPr>
          <w:rFonts w:ascii="Arial" w:hAnsi="Arial" w:cs="Arial"/>
          <w:b/>
          <w:sz w:val="24"/>
          <w:szCs w:val="24"/>
        </w:rPr>
        <w:t>Why is AEP’s forecast unreliable?</w:t>
      </w:r>
    </w:p>
    <w:p w:rsidR="00B06E21" w:rsidRPr="001723E0" w:rsidRDefault="00B06E21" w:rsidP="00277CEC">
      <w:pPr>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As I will explain, AEP’s forecast is unreliable for </w:t>
      </w:r>
      <w:r w:rsidR="00A04903">
        <w:rPr>
          <w:rFonts w:ascii="Arial" w:hAnsi="Arial" w:cs="Arial"/>
          <w:sz w:val="24"/>
          <w:szCs w:val="24"/>
        </w:rPr>
        <w:t>three</w:t>
      </w:r>
      <w:r>
        <w:rPr>
          <w:rFonts w:ascii="Arial" w:hAnsi="Arial" w:cs="Arial"/>
          <w:sz w:val="24"/>
          <w:szCs w:val="24"/>
        </w:rPr>
        <w:t xml:space="preserve"> main reasons:  (1) AEP’s conclusions are based upon a flawed and overstated projection of natural gas prices; (2) AEP</w:t>
      </w:r>
      <w:r w:rsidR="001900D9">
        <w:rPr>
          <w:rFonts w:ascii="Arial" w:hAnsi="Arial" w:cs="Arial"/>
          <w:sz w:val="24"/>
          <w:szCs w:val="24"/>
        </w:rPr>
        <w:t>’s forecasts</w:t>
      </w:r>
      <w:r w:rsidR="001723E0">
        <w:rPr>
          <w:rFonts w:ascii="Arial" w:hAnsi="Arial" w:cs="Arial"/>
          <w:sz w:val="24"/>
          <w:szCs w:val="24"/>
        </w:rPr>
        <w:t xml:space="preserve"> </w:t>
      </w:r>
      <w:r w:rsidR="001900D9">
        <w:rPr>
          <w:rFonts w:ascii="Arial" w:hAnsi="Arial" w:cs="Arial"/>
          <w:sz w:val="24"/>
          <w:szCs w:val="24"/>
        </w:rPr>
        <w:t>have</w:t>
      </w:r>
      <w:r>
        <w:rPr>
          <w:rFonts w:ascii="Arial" w:hAnsi="Arial" w:cs="Arial"/>
          <w:sz w:val="24"/>
          <w:szCs w:val="24"/>
        </w:rPr>
        <w:t xml:space="preserve"> been incorrect time and again; (</w:t>
      </w:r>
      <w:r w:rsidR="001723E0">
        <w:rPr>
          <w:rFonts w:ascii="Arial" w:hAnsi="Arial" w:cs="Arial"/>
          <w:sz w:val="24"/>
          <w:szCs w:val="24"/>
        </w:rPr>
        <w:t>3</w:t>
      </w:r>
      <w:r>
        <w:rPr>
          <w:rFonts w:ascii="Arial" w:hAnsi="Arial" w:cs="Arial"/>
          <w:sz w:val="24"/>
          <w:szCs w:val="24"/>
        </w:rPr>
        <w:t>) AEP and its affiliates clearly have no confidence in their own forecast; therefore, the Commission should give it little credibility.</w:t>
      </w:r>
    </w:p>
    <w:p w:rsidR="009C790A" w:rsidRPr="001A60B1" w:rsidRDefault="00B06E21" w:rsidP="00277CEC">
      <w:pPr>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r>
      <w:r w:rsidR="009D7A16">
        <w:rPr>
          <w:rFonts w:ascii="Arial" w:hAnsi="Arial" w:cs="Arial"/>
          <w:b/>
          <w:sz w:val="24"/>
          <w:szCs w:val="24"/>
        </w:rPr>
        <w:t xml:space="preserve">Has </w:t>
      </w:r>
      <w:r w:rsidR="001900D9">
        <w:rPr>
          <w:rFonts w:ascii="Arial" w:hAnsi="Arial" w:cs="Arial"/>
          <w:b/>
          <w:sz w:val="24"/>
          <w:szCs w:val="24"/>
        </w:rPr>
        <w:t>AEP provided</w:t>
      </w:r>
      <w:r w:rsidR="009D7A16">
        <w:rPr>
          <w:rFonts w:ascii="Arial" w:hAnsi="Arial" w:cs="Arial"/>
          <w:b/>
          <w:sz w:val="24"/>
          <w:szCs w:val="24"/>
        </w:rPr>
        <w:t xml:space="preserve"> n</w:t>
      </w:r>
      <w:r>
        <w:rPr>
          <w:rFonts w:ascii="Arial" w:hAnsi="Arial" w:cs="Arial"/>
          <w:b/>
          <w:sz w:val="24"/>
          <w:szCs w:val="24"/>
        </w:rPr>
        <w:t>atural</w:t>
      </w:r>
      <w:r w:rsidR="0024526A" w:rsidRPr="00BA73CB">
        <w:rPr>
          <w:rFonts w:ascii="Arial" w:hAnsi="Arial" w:cs="Arial"/>
          <w:b/>
          <w:sz w:val="24"/>
          <w:szCs w:val="24"/>
        </w:rPr>
        <w:t xml:space="preserve"> gas projections </w:t>
      </w:r>
      <w:r w:rsidR="001900D9">
        <w:rPr>
          <w:rFonts w:ascii="Arial" w:hAnsi="Arial" w:cs="Arial"/>
          <w:b/>
          <w:sz w:val="24"/>
          <w:szCs w:val="24"/>
        </w:rPr>
        <w:t>as part of its</w:t>
      </w:r>
      <w:r w:rsidR="0096669A">
        <w:rPr>
          <w:rFonts w:ascii="Arial" w:hAnsi="Arial" w:cs="Arial"/>
          <w:b/>
          <w:sz w:val="24"/>
          <w:szCs w:val="24"/>
        </w:rPr>
        <w:t xml:space="preserve"> </w:t>
      </w:r>
      <w:r w:rsidR="00463A1F" w:rsidRPr="001723E0">
        <w:rPr>
          <w:rFonts w:ascii="Arial" w:hAnsi="Arial" w:cs="Arial"/>
          <w:b/>
          <w:sz w:val="24"/>
          <w:szCs w:val="24"/>
        </w:rPr>
        <w:t>Long-Term Forecast Report</w:t>
      </w:r>
      <w:r w:rsidR="0024526A" w:rsidRPr="001A60B1">
        <w:rPr>
          <w:rFonts w:ascii="Arial" w:hAnsi="Arial" w:cs="Arial"/>
          <w:b/>
          <w:sz w:val="24"/>
          <w:szCs w:val="24"/>
        </w:rPr>
        <w:t>.</w:t>
      </w:r>
    </w:p>
    <w:p w:rsidR="009F65C4" w:rsidRPr="00BA73CB" w:rsidRDefault="0024526A"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r>
      <w:r w:rsidR="007A7AEE" w:rsidRPr="00BA73CB">
        <w:rPr>
          <w:rFonts w:ascii="Arial" w:hAnsi="Arial" w:cs="Arial"/>
          <w:sz w:val="24"/>
          <w:szCs w:val="24"/>
        </w:rPr>
        <w:t>Yes, in</w:t>
      </w:r>
      <w:r w:rsidR="00AE5BBA" w:rsidRPr="00BA73CB">
        <w:rPr>
          <w:rFonts w:ascii="Arial" w:hAnsi="Arial" w:cs="Arial"/>
          <w:sz w:val="24"/>
          <w:szCs w:val="24"/>
        </w:rPr>
        <w:t xml:space="preserve"> testimony</w:t>
      </w:r>
      <w:r w:rsidR="007A7AEE" w:rsidRPr="00BA73CB">
        <w:rPr>
          <w:rFonts w:ascii="Arial" w:hAnsi="Arial" w:cs="Arial"/>
          <w:sz w:val="24"/>
          <w:szCs w:val="24"/>
        </w:rPr>
        <w:t xml:space="preserve"> filed on September 19, 2018, Mr. </w:t>
      </w:r>
      <w:proofErr w:type="spellStart"/>
      <w:r w:rsidR="007A7AEE" w:rsidRPr="00BA73CB">
        <w:rPr>
          <w:rFonts w:ascii="Arial" w:hAnsi="Arial" w:cs="Arial"/>
          <w:sz w:val="24"/>
          <w:szCs w:val="24"/>
        </w:rPr>
        <w:t>Bletzacker</w:t>
      </w:r>
      <w:proofErr w:type="spellEnd"/>
      <w:r w:rsidR="007A7AEE" w:rsidRPr="00BA73CB">
        <w:rPr>
          <w:rFonts w:ascii="Arial" w:hAnsi="Arial" w:cs="Arial"/>
          <w:sz w:val="24"/>
          <w:szCs w:val="24"/>
        </w:rPr>
        <w:t xml:space="preserve"> quantified natural gas price projections </w:t>
      </w:r>
      <w:r w:rsidR="0029278C" w:rsidRPr="00BA73CB">
        <w:rPr>
          <w:rFonts w:ascii="Arial" w:hAnsi="Arial" w:cs="Arial"/>
          <w:sz w:val="24"/>
          <w:szCs w:val="24"/>
        </w:rPr>
        <w:t>as part of the Long-Term North American Ener</w:t>
      </w:r>
      <w:r w:rsidR="00B25B88" w:rsidRPr="00BA73CB">
        <w:rPr>
          <w:rFonts w:ascii="Arial" w:hAnsi="Arial" w:cs="Arial"/>
          <w:sz w:val="24"/>
          <w:szCs w:val="24"/>
        </w:rPr>
        <w:t xml:space="preserve">gy Market Forecast referred to as the </w:t>
      </w:r>
      <w:r w:rsidR="0029278C" w:rsidRPr="00BA73CB">
        <w:rPr>
          <w:rFonts w:ascii="Arial" w:hAnsi="Arial" w:cs="Arial"/>
          <w:sz w:val="24"/>
          <w:szCs w:val="24"/>
        </w:rPr>
        <w:t>“Fundamentals Forecast” used by Ohio Power</w:t>
      </w:r>
      <w:r w:rsidR="00742194" w:rsidRPr="00BA73CB">
        <w:rPr>
          <w:rFonts w:ascii="Arial" w:hAnsi="Arial" w:cs="Arial"/>
          <w:sz w:val="24"/>
          <w:szCs w:val="24"/>
        </w:rPr>
        <w:t xml:space="preserve">. </w:t>
      </w:r>
      <w:r w:rsidR="00781F6B" w:rsidRPr="00BA73CB">
        <w:rPr>
          <w:rFonts w:ascii="Arial" w:hAnsi="Arial" w:cs="Arial"/>
          <w:sz w:val="24"/>
          <w:szCs w:val="24"/>
        </w:rPr>
        <w:t>Specific</w:t>
      </w:r>
      <w:r w:rsidR="00742194" w:rsidRPr="00BA73CB">
        <w:rPr>
          <w:rFonts w:ascii="Arial" w:hAnsi="Arial" w:cs="Arial"/>
          <w:sz w:val="24"/>
          <w:szCs w:val="24"/>
        </w:rPr>
        <w:t xml:space="preserve"> to </w:t>
      </w:r>
      <w:r w:rsidR="001162BB" w:rsidRPr="00BA73CB">
        <w:rPr>
          <w:rFonts w:ascii="Arial" w:hAnsi="Arial" w:cs="Arial"/>
          <w:sz w:val="24"/>
          <w:szCs w:val="24"/>
        </w:rPr>
        <w:t>natural gas</w:t>
      </w:r>
      <w:r w:rsidR="00742194" w:rsidRPr="00BA73CB">
        <w:rPr>
          <w:rFonts w:ascii="Arial" w:hAnsi="Arial" w:cs="Arial"/>
          <w:sz w:val="24"/>
          <w:szCs w:val="24"/>
        </w:rPr>
        <w:t xml:space="preserve">, the </w:t>
      </w:r>
      <w:r w:rsidR="001230CB" w:rsidRPr="00BA73CB">
        <w:rPr>
          <w:rFonts w:ascii="Arial" w:hAnsi="Arial" w:cs="Arial"/>
          <w:sz w:val="24"/>
          <w:szCs w:val="24"/>
        </w:rPr>
        <w:t>Fundamentals Forecast</w:t>
      </w:r>
      <w:r w:rsidR="00742194" w:rsidRPr="00BA73CB">
        <w:rPr>
          <w:rFonts w:ascii="Arial" w:hAnsi="Arial" w:cs="Arial"/>
          <w:sz w:val="24"/>
          <w:szCs w:val="24"/>
        </w:rPr>
        <w:t xml:space="preserve"> lists</w:t>
      </w:r>
      <w:r w:rsidR="001162BB" w:rsidRPr="00BA73CB">
        <w:rPr>
          <w:rFonts w:ascii="Arial" w:hAnsi="Arial" w:cs="Arial"/>
          <w:sz w:val="24"/>
          <w:szCs w:val="24"/>
        </w:rPr>
        <w:t xml:space="preserve"> prices for the Henry Hub, and various basis locations including TCO Pool, TCO Delivered, Dominion South Point, HSC, and PEPL TX-OK.</w:t>
      </w:r>
    </w:p>
    <w:p w:rsidR="00606312" w:rsidRPr="008C2A44" w:rsidRDefault="00606312" w:rsidP="00277CEC">
      <w:pPr>
        <w:spacing w:line="480" w:lineRule="auto"/>
        <w:ind w:left="720" w:hanging="720"/>
        <w:jc w:val="both"/>
        <w:rPr>
          <w:rFonts w:ascii="Arial" w:hAnsi="Arial" w:cs="Arial"/>
          <w:b/>
          <w:sz w:val="24"/>
          <w:szCs w:val="24"/>
        </w:rPr>
      </w:pPr>
      <w:r w:rsidRPr="008C2A44">
        <w:rPr>
          <w:rFonts w:ascii="Arial" w:hAnsi="Arial" w:cs="Arial"/>
          <w:b/>
          <w:sz w:val="24"/>
          <w:szCs w:val="24"/>
        </w:rPr>
        <w:t xml:space="preserve">Q. </w:t>
      </w:r>
      <w:r w:rsidRPr="008C2A44">
        <w:rPr>
          <w:rFonts w:ascii="Arial" w:hAnsi="Arial" w:cs="Arial"/>
          <w:b/>
          <w:sz w:val="24"/>
          <w:szCs w:val="24"/>
        </w:rPr>
        <w:tab/>
        <w:t xml:space="preserve">Do you agree with Mr. </w:t>
      </w:r>
      <w:proofErr w:type="spellStart"/>
      <w:r w:rsidRPr="008C2A44">
        <w:rPr>
          <w:rFonts w:ascii="Arial" w:hAnsi="Arial" w:cs="Arial"/>
          <w:b/>
          <w:sz w:val="24"/>
          <w:szCs w:val="24"/>
        </w:rPr>
        <w:t>Bletzacker’s</w:t>
      </w:r>
      <w:proofErr w:type="spellEnd"/>
      <w:r w:rsidRPr="008C2A44">
        <w:rPr>
          <w:rFonts w:ascii="Arial" w:hAnsi="Arial" w:cs="Arial"/>
          <w:b/>
          <w:sz w:val="24"/>
          <w:szCs w:val="24"/>
        </w:rPr>
        <w:t xml:space="preserve"> testimony that natural gas prices are an important factor in determining power prices?</w:t>
      </w:r>
    </w:p>
    <w:p w:rsidR="00AC3628" w:rsidRPr="001723E0" w:rsidRDefault="00606312" w:rsidP="00277CEC">
      <w:pPr>
        <w:spacing w:line="480" w:lineRule="auto"/>
        <w:ind w:left="720" w:hanging="720"/>
        <w:jc w:val="both"/>
        <w:rPr>
          <w:rFonts w:ascii="Arial" w:hAnsi="Arial" w:cs="Arial"/>
          <w:color w:val="FF0000"/>
          <w:sz w:val="24"/>
          <w:szCs w:val="24"/>
        </w:rPr>
      </w:pPr>
      <w:r w:rsidRPr="00BA73CB">
        <w:rPr>
          <w:rFonts w:ascii="Arial" w:hAnsi="Arial" w:cs="Arial"/>
          <w:sz w:val="24"/>
          <w:szCs w:val="24"/>
        </w:rPr>
        <w:t>A.</w:t>
      </w:r>
      <w:r w:rsidRPr="00BA73CB">
        <w:rPr>
          <w:rFonts w:ascii="Arial" w:hAnsi="Arial" w:cs="Arial"/>
          <w:sz w:val="24"/>
          <w:szCs w:val="24"/>
        </w:rPr>
        <w:tab/>
        <w:t xml:space="preserve">Yes, I agree with Mr. </w:t>
      </w:r>
      <w:proofErr w:type="spellStart"/>
      <w:r w:rsidRPr="00BA73CB">
        <w:rPr>
          <w:rFonts w:ascii="Arial" w:hAnsi="Arial" w:cs="Arial"/>
          <w:sz w:val="24"/>
          <w:szCs w:val="24"/>
        </w:rPr>
        <w:t>Bletzacker</w:t>
      </w:r>
      <w:proofErr w:type="spellEnd"/>
      <w:r w:rsidRPr="00BA73CB">
        <w:rPr>
          <w:rFonts w:ascii="Arial" w:hAnsi="Arial" w:cs="Arial"/>
          <w:sz w:val="24"/>
          <w:szCs w:val="24"/>
        </w:rPr>
        <w:t xml:space="preserve"> in that natural gas prices are an important component when determining the dispatch order of generating units. As the </w:t>
      </w:r>
      <w:r w:rsidRPr="00BA73CB">
        <w:rPr>
          <w:rFonts w:ascii="Arial" w:hAnsi="Arial" w:cs="Arial"/>
          <w:sz w:val="24"/>
          <w:szCs w:val="24"/>
        </w:rPr>
        <w:lastRenderedPageBreak/>
        <w:t>number of gas generating power units increase the more important gas prices become when determining power prices. If gas prices delivered to the generating units increase and gas is needed in the dispatch order, then power prices should increase by the same relative ratio for long term forecasting purposes. This ratio is shown in AEP’s Nominal Forecast on the Y2018H2 Annual</w:t>
      </w:r>
      <w:r w:rsidR="001723E0">
        <w:rPr>
          <w:rFonts w:ascii="Arial" w:hAnsi="Arial" w:cs="Arial"/>
          <w:sz w:val="24"/>
          <w:szCs w:val="24"/>
        </w:rPr>
        <w:t xml:space="preserve"> </w:t>
      </w:r>
      <w:r w:rsidRPr="00BA73CB">
        <w:rPr>
          <w:rFonts w:ascii="Arial" w:hAnsi="Arial" w:cs="Arial"/>
          <w:sz w:val="24"/>
          <w:szCs w:val="24"/>
        </w:rPr>
        <w:t>Prices-Nominal tab as Heat Rates (</w:t>
      </w:r>
      <w:proofErr w:type="spellStart"/>
      <w:r w:rsidRPr="00BA73CB">
        <w:rPr>
          <w:rFonts w:ascii="Arial" w:hAnsi="Arial" w:cs="Arial"/>
          <w:sz w:val="24"/>
          <w:szCs w:val="24"/>
        </w:rPr>
        <w:t>mmbtu</w:t>
      </w:r>
      <w:proofErr w:type="spellEnd"/>
      <w:r w:rsidRPr="00BA73CB">
        <w:rPr>
          <w:rFonts w:ascii="Arial" w:hAnsi="Arial" w:cs="Arial"/>
          <w:sz w:val="24"/>
          <w:szCs w:val="24"/>
        </w:rPr>
        <w:t>/MWh). The forecasted annual Heat Rate at the AEP GEN HUB averages 9.63 over the 20-year period from 2020 to 2040.</w:t>
      </w:r>
      <w:r w:rsidR="009F65C4" w:rsidRPr="001723E0">
        <w:rPr>
          <w:rFonts w:ascii="Arial" w:hAnsi="Arial" w:cs="Arial"/>
          <w:color w:val="FF0000"/>
          <w:sz w:val="24"/>
          <w:szCs w:val="24"/>
        </w:rPr>
        <w:t xml:space="preserve"> </w:t>
      </w:r>
    </w:p>
    <w:p w:rsidR="00AC3628" w:rsidRDefault="00AC3628" w:rsidP="00277CEC">
      <w:pPr>
        <w:spacing w:line="480" w:lineRule="auto"/>
        <w:ind w:left="720" w:hanging="720"/>
        <w:jc w:val="both"/>
        <w:rPr>
          <w:rFonts w:ascii="Arial" w:hAnsi="Arial" w:cs="Arial"/>
          <w:sz w:val="24"/>
          <w:szCs w:val="24"/>
        </w:rPr>
      </w:pPr>
      <w:r w:rsidRPr="008C2A44">
        <w:rPr>
          <w:rFonts w:ascii="Arial" w:hAnsi="Arial" w:cs="Arial"/>
          <w:b/>
          <w:sz w:val="24"/>
          <w:szCs w:val="24"/>
        </w:rPr>
        <w:t xml:space="preserve">Q. </w:t>
      </w:r>
      <w:r w:rsidRPr="008C2A44">
        <w:rPr>
          <w:rFonts w:ascii="Arial" w:hAnsi="Arial" w:cs="Arial"/>
          <w:b/>
          <w:sz w:val="24"/>
          <w:szCs w:val="24"/>
        </w:rPr>
        <w:tab/>
        <w:t xml:space="preserve">Do you </w:t>
      </w:r>
      <w:r>
        <w:rPr>
          <w:rFonts w:ascii="Arial" w:hAnsi="Arial" w:cs="Arial"/>
          <w:b/>
          <w:sz w:val="24"/>
          <w:szCs w:val="24"/>
        </w:rPr>
        <w:t xml:space="preserve">see a strong correlation between AEP’s forecasted On Peak power prices and AEP’s forecasted gas prices provided by Mr. </w:t>
      </w:r>
      <w:proofErr w:type="spellStart"/>
      <w:r>
        <w:rPr>
          <w:rFonts w:ascii="Arial" w:hAnsi="Arial" w:cs="Arial"/>
          <w:b/>
          <w:sz w:val="24"/>
          <w:szCs w:val="24"/>
        </w:rPr>
        <w:t>Bletzacker</w:t>
      </w:r>
      <w:proofErr w:type="spellEnd"/>
      <w:r>
        <w:rPr>
          <w:rFonts w:ascii="Arial" w:hAnsi="Arial" w:cs="Arial"/>
          <w:b/>
          <w:sz w:val="24"/>
          <w:szCs w:val="24"/>
        </w:rPr>
        <w:t>?</w:t>
      </w:r>
    </w:p>
    <w:p w:rsidR="009D7A16" w:rsidRDefault="00AC3628" w:rsidP="00277CEC">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b</w:t>
      </w:r>
      <w:r w:rsidR="009F65C4">
        <w:rPr>
          <w:rFonts w:ascii="Arial" w:hAnsi="Arial" w:cs="Arial"/>
          <w:sz w:val="24"/>
          <w:szCs w:val="24"/>
        </w:rPr>
        <w:t xml:space="preserve">ased on the Fundamentals Forecast, AEP’s On-Peak price for the PJM AEP area is very strongly correlated </w:t>
      </w:r>
      <w:r w:rsidR="0096669A">
        <w:rPr>
          <w:rFonts w:ascii="Arial" w:hAnsi="Arial" w:cs="Arial"/>
          <w:sz w:val="24"/>
          <w:szCs w:val="24"/>
        </w:rPr>
        <w:t>to the TCO IPP gas price times the AEP heat rate in the Fundamentals Forecast.</w:t>
      </w:r>
      <w:r w:rsidR="009D7A16">
        <w:rPr>
          <w:rFonts w:ascii="Arial" w:hAnsi="Arial" w:cs="Arial"/>
          <w:sz w:val="24"/>
          <w:szCs w:val="24"/>
        </w:rPr>
        <w:t xml:space="preserve"> </w:t>
      </w:r>
      <w:r w:rsidR="0096669A">
        <w:rPr>
          <w:rFonts w:ascii="Arial" w:hAnsi="Arial" w:cs="Arial"/>
          <w:sz w:val="24"/>
          <w:szCs w:val="24"/>
        </w:rPr>
        <w:t xml:space="preserve">TCO IPP </w:t>
      </w:r>
      <w:proofErr w:type="gramStart"/>
      <w:r w:rsidR="0096669A">
        <w:rPr>
          <w:rFonts w:ascii="Arial" w:hAnsi="Arial" w:cs="Arial"/>
          <w:sz w:val="24"/>
          <w:szCs w:val="24"/>
        </w:rPr>
        <w:t>is located in</w:t>
      </w:r>
      <w:proofErr w:type="gramEnd"/>
      <w:r w:rsidR="0096669A">
        <w:rPr>
          <w:rFonts w:ascii="Arial" w:hAnsi="Arial" w:cs="Arial"/>
          <w:sz w:val="24"/>
          <w:szCs w:val="24"/>
        </w:rPr>
        <w:t xml:space="preserve"> the Southwest Appalachian region and makes a good proxy for gas supplies into AEP’s PJM region. In fact, as you can see from Figure 1, AEP’s on peak price is </w:t>
      </w:r>
      <w:r w:rsidR="001900D9">
        <w:rPr>
          <w:rFonts w:ascii="Arial" w:hAnsi="Arial" w:cs="Arial"/>
          <w:sz w:val="24"/>
          <w:szCs w:val="24"/>
        </w:rPr>
        <w:t xml:space="preserve">virtually </w:t>
      </w:r>
      <w:r w:rsidR="009D7A16">
        <w:rPr>
          <w:rFonts w:ascii="Arial" w:hAnsi="Arial" w:cs="Arial"/>
          <w:sz w:val="24"/>
          <w:szCs w:val="24"/>
        </w:rPr>
        <w:t>indiscernible</w:t>
      </w:r>
      <w:r w:rsidR="0096669A">
        <w:rPr>
          <w:rFonts w:ascii="Arial" w:hAnsi="Arial" w:cs="Arial"/>
          <w:sz w:val="24"/>
          <w:szCs w:val="24"/>
        </w:rPr>
        <w:t xml:space="preserve"> from the</w:t>
      </w:r>
      <w:r w:rsidR="001900D9">
        <w:rPr>
          <w:rFonts w:ascii="Arial" w:hAnsi="Arial" w:cs="Arial"/>
          <w:sz w:val="24"/>
          <w:szCs w:val="24"/>
        </w:rPr>
        <w:t xml:space="preserve"> AEP forecasted</w:t>
      </w:r>
      <w:r w:rsidR="0096669A">
        <w:rPr>
          <w:rFonts w:ascii="Arial" w:hAnsi="Arial" w:cs="Arial"/>
          <w:sz w:val="24"/>
          <w:szCs w:val="24"/>
        </w:rPr>
        <w:t xml:space="preserve"> TCO IPP gas price time the AEP heat rate.</w:t>
      </w:r>
    </w:p>
    <w:p w:rsidR="001900D9" w:rsidRDefault="001900D9" w:rsidP="00277CEC">
      <w:pPr>
        <w:spacing w:line="480" w:lineRule="auto"/>
        <w:ind w:left="720" w:hanging="720"/>
        <w:jc w:val="center"/>
        <w:rPr>
          <w:rFonts w:ascii="Arial" w:hAnsi="Arial" w:cs="Arial"/>
          <w:sz w:val="24"/>
          <w:szCs w:val="24"/>
        </w:rPr>
      </w:pPr>
    </w:p>
    <w:p w:rsidR="001900D9" w:rsidRDefault="001900D9" w:rsidP="00277CEC">
      <w:pPr>
        <w:spacing w:line="480" w:lineRule="auto"/>
        <w:ind w:left="720" w:hanging="720"/>
        <w:jc w:val="center"/>
        <w:rPr>
          <w:rFonts w:ascii="Arial" w:hAnsi="Arial" w:cs="Arial"/>
          <w:sz w:val="24"/>
          <w:szCs w:val="24"/>
        </w:rPr>
      </w:pPr>
    </w:p>
    <w:p w:rsidR="001900D9" w:rsidRDefault="001900D9" w:rsidP="00277CEC">
      <w:pPr>
        <w:spacing w:line="480" w:lineRule="auto"/>
        <w:ind w:left="720" w:hanging="720"/>
        <w:jc w:val="center"/>
        <w:rPr>
          <w:rFonts w:ascii="Arial" w:hAnsi="Arial" w:cs="Arial"/>
          <w:sz w:val="24"/>
          <w:szCs w:val="24"/>
        </w:rPr>
      </w:pPr>
    </w:p>
    <w:p w:rsidR="001900D9" w:rsidRDefault="001900D9" w:rsidP="00277CEC">
      <w:pPr>
        <w:spacing w:line="480" w:lineRule="auto"/>
        <w:ind w:left="720" w:hanging="720"/>
        <w:jc w:val="center"/>
        <w:rPr>
          <w:rFonts w:ascii="Arial" w:hAnsi="Arial" w:cs="Arial"/>
          <w:sz w:val="24"/>
          <w:szCs w:val="24"/>
        </w:rPr>
      </w:pPr>
    </w:p>
    <w:p w:rsidR="001900D9" w:rsidRDefault="001900D9" w:rsidP="00277CEC">
      <w:pPr>
        <w:spacing w:line="480" w:lineRule="auto"/>
        <w:ind w:left="720" w:hanging="720"/>
        <w:jc w:val="center"/>
        <w:rPr>
          <w:rFonts w:ascii="Arial" w:hAnsi="Arial" w:cs="Arial"/>
          <w:sz w:val="24"/>
          <w:szCs w:val="24"/>
        </w:rPr>
      </w:pPr>
    </w:p>
    <w:p w:rsidR="001900D9" w:rsidRDefault="001900D9" w:rsidP="00277CEC">
      <w:pPr>
        <w:spacing w:line="480" w:lineRule="auto"/>
        <w:ind w:left="720" w:hanging="720"/>
        <w:jc w:val="center"/>
        <w:rPr>
          <w:rFonts w:ascii="Arial" w:hAnsi="Arial" w:cs="Arial"/>
          <w:sz w:val="24"/>
          <w:szCs w:val="24"/>
        </w:rPr>
      </w:pPr>
    </w:p>
    <w:p w:rsidR="009D7A16" w:rsidRDefault="009D7A16" w:rsidP="00277CEC">
      <w:pPr>
        <w:spacing w:line="480" w:lineRule="auto"/>
        <w:ind w:left="720" w:hanging="720"/>
        <w:jc w:val="center"/>
        <w:rPr>
          <w:rFonts w:ascii="Arial" w:hAnsi="Arial" w:cs="Arial"/>
          <w:sz w:val="24"/>
          <w:szCs w:val="24"/>
        </w:rPr>
      </w:pPr>
      <w:r>
        <w:rPr>
          <w:rFonts w:ascii="Arial" w:hAnsi="Arial" w:cs="Arial"/>
          <w:sz w:val="24"/>
          <w:szCs w:val="24"/>
        </w:rPr>
        <w:lastRenderedPageBreak/>
        <w:t>Figure 1</w:t>
      </w:r>
    </w:p>
    <w:p w:rsidR="009F65C4" w:rsidRPr="00BA73CB" w:rsidRDefault="00F96A59" w:rsidP="001723E0">
      <w:pPr>
        <w:spacing w:line="480" w:lineRule="auto"/>
        <w:ind w:left="720" w:hanging="720"/>
        <w:jc w:val="center"/>
        <w:rPr>
          <w:rFonts w:ascii="Arial" w:hAnsi="Arial" w:cs="Arial"/>
          <w:sz w:val="24"/>
          <w:szCs w:val="24"/>
        </w:rPr>
      </w:pPr>
      <w:r>
        <w:rPr>
          <w:noProof/>
        </w:rPr>
        <w:drawing>
          <wp:inline distT="0" distB="0" distL="0" distR="0" wp14:anchorId="0266A709" wp14:editId="4A79E5DA">
            <wp:extent cx="4610100" cy="2781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0100" cy="2781300"/>
                    </a:xfrm>
                    <a:prstGeom prst="rect">
                      <a:avLst/>
                    </a:prstGeom>
                  </pic:spPr>
                </pic:pic>
              </a:graphicData>
            </a:graphic>
          </wp:inline>
        </w:drawing>
      </w:r>
    </w:p>
    <w:p w:rsidR="001162BB" w:rsidRPr="00393CB8" w:rsidRDefault="001162BB" w:rsidP="00277CEC">
      <w:pPr>
        <w:spacing w:line="480" w:lineRule="auto"/>
        <w:ind w:left="720" w:hanging="720"/>
        <w:jc w:val="both"/>
        <w:rPr>
          <w:rFonts w:ascii="Arial" w:hAnsi="Arial" w:cs="Arial"/>
          <w:b/>
          <w:sz w:val="24"/>
          <w:szCs w:val="24"/>
        </w:rPr>
      </w:pPr>
      <w:r w:rsidRPr="00393CB8">
        <w:rPr>
          <w:rFonts w:ascii="Arial" w:hAnsi="Arial" w:cs="Arial"/>
          <w:b/>
          <w:sz w:val="24"/>
          <w:szCs w:val="24"/>
        </w:rPr>
        <w:t>Q.</w:t>
      </w:r>
      <w:r w:rsidRPr="00393CB8">
        <w:rPr>
          <w:rFonts w:ascii="Arial" w:hAnsi="Arial" w:cs="Arial"/>
          <w:b/>
          <w:sz w:val="24"/>
          <w:szCs w:val="24"/>
        </w:rPr>
        <w:tab/>
      </w:r>
      <w:r w:rsidR="00742194" w:rsidRPr="00393CB8">
        <w:rPr>
          <w:rFonts w:ascii="Arial" w:hAnsi="Arial" w:cs="Arial"/>
          <w:b/>
          <w:sz w:val="24"/>
          <w:szCs w:val="24"/>
        </w:rPr>
        <w:t xml:space="preserve">Do you believe the natural gas price forecast </w:t>
      </w:r>
      <w:r w:rsidR="00463A1F" w:rsidRPr="00393CB8">
        <w:rPr>
          <w:rFonts w:ascii="Arial" w:hAnsi="Arial" w:cs="Arial"/>
          <w:b/>
          <w:sz w:val="24"/>
          <w:szCs w:val="24"/>
        </w:rPr>
        <w:t xml:space="preserve">developed by Mr. </w:t>
      </w:r>
      <w:proofErr w:type="spellStart"/>
      <w:r w:rsidR="00463A1F" w:rsidRPr="00393CB8">
        <w:rPr>
          <w:rFonts w:ascii="Arial" w:hAnsi="Arial" w:cs="Arial"/>
          <w:b/>
          <w:sz w:val="24"/>
          <w:szCs w:val="24"/>
        </w:rPr>
        <w:t>Bletzacker</w:t>
      </w:r>
      <w:proofErr w:type="spellEnd"/>
      <w:r w:rsidR="00463A1F" w:rsidRPr="00393CB8">
        <w:rPr>
          <w:rFonts w:ascii="Arial" w:hAnsi="Arial" w:cs="Arial"/>
          <w:b/>
          <w:sz w:val="24"/>
          <w:szCs w:val="24"/>
        </w:rPr>
        <w:t xml:space="preserve"> and </w:t>
      </w:r>
      <w:r w:rsidR="00742194" w:rsidRPr="00393CB8">
        <w:rPr>
          <w:rFonts w:ascii="Arial" w:hAnsi="Arial" w:cs="Arial"/>
          <w:b/>
          <w:sz w:val="24"/>
          <w:szCs w:val="24"/>
        </w:rPr>
        <w:t>used by</w:t>
      </w:r>
      <w:r w:rsidR="00393CB8">
        <w:rPr>
          <w:rFonts w:ascii="Arial" w:hAnsi="Arial" w:cs="Arial"/>
          <w:b/>
          <w:sz w:val="24"/>
          <w:szCs w:val="24"/>
        </w:rPr>
        <w:t xml:space="preserve"> </w:t>
      </w:r>
      <w:r w:rsidR="001723E0">
        <w:rPr>
          <w:rFonts w:ascii="Arial" w:hAnsi="Arial" w:cs="Arial"/>
          <w:b/>
          <w:sz w:val="24"/>
          <w:szCs w:val="24"/>
        </w:rPr>
        <w:t>AEP</w:t>
      </w:r>
      <w:r w:rsidR="00742194" w:rsidRPr="00393CB8">
        <w:rPr>
          <w:rFonts w:ascii="Arial" w:hAnsi="Arial" w:cs="Arial"/>
          <w:b/>
          <w:sz w:val="24"/>
          <w:szCs w:val="24"/>
        </w:rPr>
        <w:t xml:space="preserve"> is accurate?</w:t>
      </w:r>
      <w:r w:rsidRPr="00393CB8">
        <w:rPr>
          <w:rFonts w:ascii="Arial" w:hAnsi="Arial" w:cs="Arial"/>
          <w:b/>
          <w:sz w:val="24"/>
          <w:szCs w:val="24"/>
        </w:rPr>
        <w:t xml:space="preserve">  </w:t>
      </w:r>
      <w:r w:rsidR="007A7AEE" w:rsidRPr="00393CB8">
        <w:rPr>
          <w:rFonts w:ascii="Arial" w:hAnsi="Arial" w:cs="Arial"/>
          <w:b/>
          <w:sz w:val="24"/>
          <w:szCs w:val="24"/>
        </w:rPr>
        <w:t xml:space="preserve"> </w:t>
      </w:r>
    </w:p>
    <w:p w:rsidR="003C4D0C" w:rsidRPr="00BA73CB" w:rsidRDefault="001162BB"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r>
      <w:r w:rsidR="00FC3EEE" w:rsidRPr="00BA73CB">
        <w:rPr>
          <w:rFonts w:ascii="Arial" w:hAnsi="Arial" w:cs="Arial"/>
          <w:sz w:val="24"/>
          <w:szCs w:val="24"/>
        </w:rPr>
        <w:t xml:space="preserve">No, while no one can </w:t>
      </w:r>
      <w:r w:rsidR="00D16A60" w:rsidRPr="00BA73CB">
        <w:rPr>
          <w:rFonts w:ascii="Arial" w:hAnsi="Arial" w:cs="Arial"/>
          <w:sz w:val="24"/>
          <w:szCs w:val="24"/>
        </w:rPr>
        <w:t xml:space="preserve">accurately and reliably </w:t>
      </w:r>
      <w:r w:rsidR="00FC3EEE" w:rsidRPr="00BA73CB">
        <w:rPr>
          <w:rFonts w:ascii="Arial" w:hAnsi="Arial" w:cs="Arial"/>
          <w:sz w:val="24"/>
          <w:szCs w:val="24"/>
        </w:rPr>
        <w:t>predict what commodity prices will be ten</w:t>
      </w:r>
      <w:r w:rsidR="00463A1F" w:rsidRPr="00BA73CB">
        <w:rPr>
          <w:rFonts w:ascii="Arial" w:hAnsi="Arial" w:cs="Arial"/>
          <w:sz w:val="24"/>
          <w:szCs w:val="24"/>
        </w:rPr>
        <w:t xml:space="preserve"> or twenty</w:t>
      </w:r>
      <w:r w:rsidR="00FC3EEE" w:rsidRPr="00BA73CB">
        <w:rPr>
          <w:rFonts w:ascii="Arial" w:hAnsi="Arial" w:cs="Arial"/>
          <w:sz w:val="24"/>
          <w:szCs w:val="24"/>
        </w:rPr>
        <w:t xml:space="preserve"> years from now</w:t>
      </w:r>
      <w:r w:rsidR="00195128" w:rsidRPr="00BA73CB">
        <w:rPr>
          <w:rFonts w:ascii="Arial" w:hAnsi="Arial" w:cs="Arial"/>
          <w:sz w:val="24"/>
          <w:szCs w:val="24"/>
        </w:rPr>
        <w:t>, I believe the AEP projected gas prices are greatly skewed to the high side. I believe that the AEP forecast does not place enough emphasis on</w:t>
      </w:r>
      <w:r w:rsidR="00393CB8">
        <w:rPr>
          <w:rFonts w:ascii="Arial" w:hAnsi="Arial" w:cs="Arial"/>
          <w:sz w:val="24"/>
          <w:szCs w:val="24"/>
        </w:rPr>
        <w:t xml:space="preserve"> existing</w:t>
      </w:r>
      <w:r w:rsidR="00195128" w:rsidRPr="00BA73CB">
        <w:rPr>
          <w:rFonts w:ascii="Arial" w:hAnsi="Arial" w:cs="Arial"/>
          <w:sz w:val="24"/>
          <w:szCs w:val="24"/>
        </w:rPr>
        <w:t xml:space="preserve"> market conditions and pricing. For example, </w:t>
      </w:r>
      <w:r w:rsidR="00D85BE0" w:rsidRPr="00BA73CB">
        <w:rPr>
          <w:rFonts w:ascii="Arial" w:hAnsi="Arial" w:cs="Arial"/>
          <w:sz w:val="24"/>
          <w:szCs w:val="24"/>
        </w:rPr>
        <w:t xml:space="preserve">Figure </w:t>
      </w:r>
      <w:r w:rsidR="009D7A16">
        <w:rPr>
          <w:rFonts w:ascii="Arial" w:hAnsi="Arial" w:cs="Arial"/>
          <w:sz w:val="24"/>
          <w:szCs w:val="24"/>
        </w:rPr>
        <w:t>2</w:t>
      </w:r>
      <w:r w:rsidR="00D85BE0" w:rsidRPr="00BA73CB">
        <w:rPr>
          <w:rFonts w:ascii="Arial" w:hAnsi="Arial" w:cs="Arial"/>
          <w:sz w:val="24"/>
          <w:szCs w:val="24"/>
        </w:rPr>
        <w:t xml:space="preserve"> shows the Henry Hub settlement </w:t>
      </w:r>
      <w:r w:rsidR="00D85BE0" w:rsidRPr="001A60B1">
        <w:rPr>
          <w:rFonts w:ascii="Arial" w:hAnsi="Arial" w:cs="Arial"/>
          <w:sz w:val="24"/>
          <w:szCs w:val="24"/>
        </w:rPr>
        <w:t xml:space="preserve">from </w:t>
      </w:r>
      <w:r w:rsidR="00D85BE0" w:rsidRPr="001723E0">
        <w:rPr>
          <w:rFonts w:ascii="Arial" w:hAnsi="Arial" w:cs="Arial"/>
          <w:sz w:val="24"/>
          <w:szCs w:val="24"/>
        </w:rPr>
        <w:t>December 4,</w:t>
      </w:r>
      <w:r w:rsidR="00D85BE0" w:rsidRPr="001A60B1">
        <w:rPr>
          <w:rFonts w:ascii="Arial" w:hAnsi="Arial" w:cs="Arial"/>
          <w:sz w:val="24"/>
          <w:szCs w:val="24"/>
        </w:rPr>
        <w:t xml:space="preserve"> </w:t>
      </w:r>
      <w:r w:rsidR="00D85BE0" w:rsidRPr="00BA73CB">
        <w:rPr>
          <w:rFonts w:ascii="Arial" w:hAnsi="Arial" w:cs="Arial"/>
          <w:sz w:val="24"/>
          <w:szCs w:val="24"/>
        </w:rPr>
        <w:t>2018, in green compared to AEP’s nominal Henry Hub price forecast is blue. Both prices are in nominal</w:t>
      </w:r>
      <w:r w:rsidR="00742194" w:rsidRPr="00BA73CB">
        <w:rPr>
          <w:rFonts w:ascii="Arial" w:hAnsi="Arial" w:cs="Arial"/>
          <w:sz w:val="24"/>
          <w:szCs w:val="24"/>
        </w:rPr>
        <w:t xml:space="preserve"> values and</w:t>
      </w:r>
      <w:r w:rsidR="001230CB" w:rsidRPr="00BA73CB">
        <w:rPr>
          <w:rFonts w:ascii="Arial" w:hAnsi="Arial" w:cs="Arial"/>
          <w:sz w:val="24"/>
          <w:szCs w:val="24"/>
        </w:rPr>
        <w:t>,</w:t>
      </w:r>
      <w:r w:rsidR="00742194" w:rsidRPr="00BA73CB">
        <w:rPr>
          <w:rFonts w:ascii="Arial" w:hAnsi="Arial" w:cs="Arial"/>
          <w:sz w:val="24"/>
          <w:szCs w:val="24"/>
        </w:rPr>
        <w:t xml:space="preserve"> </w:t>
      </w:r>
      <w:r w:rsidR="00D85BE0" w:rsidRPr="00BA73CB">
        <w:rPr>
          <w:rFonts w:ascii="Arial" w:hAnsi="Arial" w:cs="Arial"/>
          <w:sz w:val="24"/>
          <w:szCs w:val="24"/>
        </w:rPr>
        <w:t xml:space="preserve">as you can tell, AEP’s forecast is well above what the market </w:t>
      </w:r>
      <w:r w:rsidR="001230CB" w:rsidRPr="00BA73CB">
        <w:rPr>
          <w:rFonts w:ascii="Arial" w:hAnsi="Arial" w:cs="Arial"/>
          <w:sz w:val="24"/>
          <w:szCs w:val="24"/>
        </w:rPr>
        <w:t>believes gas prices are valued at</w:t>
      </w:r>
      <w:r w:rsidR="00C04680" w:rsidRPr="00BA73CB">
        <w:rPr>
          <w:rFonts w:ascii="Arial" w:hAnsi="Arial" w:cs="Arial"/>
          <w:sz w:val="24"/>
          <w:szCs w:val="24"/>
        </w:rPr>
        <w:t xml:space="preserve"> through 2030. In</w:t>
      </w:r>
      <w:r w:rsidR="00D85BE0" w:rsidRPr="00BA73CB">
        <w:rPr>
          <w:rFonts w:ascii="Arial" w:hAnsi="Arial" w:cs="Arial"/>
          <w:sz w:val="24"/>
          <w:szCs w:val="24"/>
        </w:rPr>
        <w:t xml:space="preserve"> fact, by 2030, AEP’s </w:t>
      </w:r>
      <w:r w:rsidR="001230CB" w:rsidRPr="00BA73CB">
        <w:rPr>
          <w:rFonts w:ascii="Arial" w:hAnsi="Arial" w:cs="Arial"/>
          <w:sz w:val="24"/>
          <w:szCs w:val="24"/>
        </w:rPr>
        <w:t xml:space="preserve">natural gas </w:t>
      </w:r>
      <w:r w:rsidR="00D85BE0" w:rsidRPr="00BA73CB">
        <w:rPr>
          <w:rFonts w:ascii="Arial" w:hAnsi="Arial" w:cs="Arial"/>
          <w:sz w:val="24"/>
          <w:szCs w:val="24"/>
        </w:rPr>
        <w:t xml:space="preserve">price estimate is $6.479 while the market is valuing natural gas prices in 2030 at $3.389 or almost half of AEP’s forecasted prices.  </w:t>
      </w:r>
    </w:p>
    <w:p w:rsidR="001900D9" w:rsidRDefault="003C4D0C" w:rsidP="00BA73CB">
      <w:pPr>
        <w:spacing w:line="480" w:lineRule="auto"/>
        <w:rPr>
          <w:rFonts w:ascii="Arial" w:hAnsi="Arial" w:cs="Arial"/>
          <w:sz w:val="24"/>
          <w:szCs w:val="24"/>
        </w:rPr>
      </w:pPr>
      <w:r w:rsidRPr="00BA73CB">
        <w:rPr>
          <w:rFonts w:ascii="Arial" w:hAnsi="Arial" w:cs="Arial"/>
          <w:sz w:val="24"/>
          <w:szCs w:val="24"/>
        </w:rPr>
        <w:tab/>
      </w:r>
      <w:r w:rsidRPr="00BA73CB">
        <w:rPr>
          <w:rFonts w:ascii="Arial" w:hAnsi="Arial" w:cs="Arial"/>
          <w:sz w:val="24"/>
          <w:szCs w:val="24"/>
        </w:rPr>
        <w:tab/>
      </w:r>
      <w:r w:rsidRPr="00BA73CB">
        <w:rPr>
          <w:rFonts w:ascii="Arial" w:hAnsi="Arial" w:cs="Arial"/>
          <w:sz w:val="24"/>
          <w:szCs w:val="24"/>
        </w:rPr>
        <w:tab/>
      </w:r>
    </w:p>
    <w:p w:rsidR="003C4D0C" w:rsidRPr="00BA73CB" w:rsidRDefault="003C4D0C" w:rsidP="001900D9">
      <w:pPr>
        <w:spacing w:line="480" w:lineRule="auto"/>
        <w:jc w:val="center"/>
        <w:rPr>
          <w:rFonts w:ascii="Arial" w:hAnsi="Arial" w:cs="Arial"/>
          <w:sz w:val="24"/>
          <w:szCs w:val="24"/>
        </w:rPr>
      </w:pPr>
      <w:r w:rsidRPr="00BA73CB">
        <w:rPr>
          <w:rFonts w:ascii="Arial" w:hAnsi="Arial" w:cs="Arial"/>
          <w:sz w:val="24"/>
          <w:szCs w:val="24"/>
        </w:rPr>
        <w:lastRenderedPageBreak/>
        <w:t xml:space="preserve">Figure </w:t>
      </w:r>
      <w:r w:rsidR="009D7A16">
        <w:rPr>
          <w:rFonts w:ascii="Arial" w:hAnsi="Arial" w:cs="Arial"/>
          <w:sz w:val="24"/>
          <w:szCs w:val="24"/>
        </w:rPr>
        <w:t>2</w:t>
      </w:r>
    </w:p>
    <w:p w:rsidR="001162BB" w:rsidRPr="00BA73CB" w:rsidRDefault="00F46E83" w:rsidP="00C82C62">
      <w:pPr>
        <w:spacing w:line="480" w:lineRule="auto"/>
        <w:jc w:val="center"/>
        <w:rPr>
          <w:rFonts w:ascii="Arial" w:hAnsi="Arial" w:cs="Arial"/>
          <w:sz w:val="24"/>
          <w:szCs w:val="24"/>
        </w:rPr>
      </w:pPr>
      <w:r>
        <w:rPr>
          <w:noProof/>
        </w:rPr>
        <w:drawing>
          <wp:inline distT="0" distB="0" distL="0" distR="0" wp14:anchorId="209EEFA8" wp14:editId="7ACE9A7F">
            <wp:extent cx="4591050" cy="2771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1050" cy="2771775"/>
                    </a:xfrm>
                    <a:prstGeom prst="rect">
                      <a:avLst/>
                    </a:prstGeom>
                  </pic:spPr>
                </pic:pic>
              </a:graphicData>
            </a:graphic>
          </wp:inline>
        </w:drawing>
      </w:r>
    </w:p>
    <w:p w:rsidR="00114BFF" w:rsidRPr="00C82C62" w:rsidRDefault="00114BFF" w:rsidP="00277CEC">
      <w:pPr>
        <w:spacing w:line="480" w:lineRule="auto"/>
        <w:jc w:val="both"/>
        <w:rPr>
          <w:rFonts w:ascii="Arial" w:hAnsi="Arial" w:cs="Arial"/>
          <w:b/>
          <w:sz w:val="24"/>
          <w:szCs w:val="24"/>
        </w:rPr>
      </w:pPr>
      <w:r w:rsidRPr="00C82C62">
        <w:rPr>
          <w:rFonts w:ascii="Arial" w:hAnsi="Arial" w:cs="Arial"/>
          <w:b/>
          <w:sz w:val="24"/>
          <w:szCs w:val="24"/>
        </w:rPr>
        <w:t xml:space="preserve">Q. </w:t>
      </w:r>
      <w:r w:rsidRPr="00C82C62">
        <w:rPr>
          <w:rFonts w:ascii="Arial" w:hAnsi="Arial" w:cs="Arial"/>
          <w:b/>
          <w:sz w:val="24"/>
          <w:szCs w:val="24"/>
        </w:rPr>
        <w:tab/>
        <w:t xml:space="preserve">Can </w:t>
      </w:r>
      <w:r w:rsidR="00393CB8">
        <w:rPr>
          <w:rFonts w:ascii="Arial" w:hAnsi="Arial" w:cs="Arial"/>
          <w:b/>
          <w:sz w:val="24"/>
          <w:szCs w:val="24"/>
        </w:rPr>
        <w:t>an unreliable</w:t>
      </w:r>
      <w:r w:rsidRPr="00C82C62">
        <w:rPr>
          <w:rFonts w:ascii="Arial" w:hAnsi="Arial" w:cs="Arial"/>
          <w:b/>
          <w:sz w:val="24"/>
          <w:szCs w:val="24"/>
        </w:rPr>
        <w:t xml:space="preserve"> natural gas forecast impact </w:t>
      </w:r>
      <w:proofErr w:type="gramStart"/>
      <w:r w:rsidR="004525E2" w:rsidRPr="00C82C62">
        <w:rPr>
          <w:rFonts w:ascii="Arial" w:hAnsi="Arial" w:cs="Arial"/>
          <w:b/>
          <w:sz w:val="24"/>
          <w:szCs w:val="24"/>
        </w:rPr>
        <w:t>forecasted</w:t>
      </w:r>
      <w:proofErr w:type="gramEnd"/>
      <w:r w:rsidRPr="00C82C62">
        <w:rPr>
          <w:rFonts w:ascii="Arial" w:hAnsi="Arial" w:cs="Arial"/>
          <w:b/>
          <w:sz w:val="24"/>
          <w:szCs w:val="24"/>
        </w:rPr>
        <w:t xml:space="preserve"> power prices?</w:t>
      </w:r>
    </w:p>
    <w:p w:rsidR="0076211A" w:rsidRDefault="00114BFF" w:rsidP="00C82C62">
      <w:pPr>
        <w:spacing w:line="480" w:lineRule="auto"/>
        <w:ind w:left="720" w:hanging="720"/>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t>Y</w:t>
      </w:r>
      <w:r w:rsidR="00B25B88" w:rsidRPr="00BA73CB">
        <w:rPr>
          <w:rFonts w:ascii="Arial" w:hAnsi="Arial" w:cs="Arial"/>
          <w:sz w:val="24"/>
          <w:szCs w:val="24"/>
        </w:rPr>
        <w:t>es</w:t>
      </w:r>
      <w:r w:rsidRPr="00BA73CB">
        <w:rPr>
          <w:rFonts w:ascii="Arial" w:hAnsi="Arial" w:cs="Arial"/>
          <w:sz w:val="24"/>
          <w:szCs w:val="24"/>
        </w:rPr>
        <w:t>. As mentioned earlier</w:t>
      </w:r>
      <w:r w:rsidR="002C69D0" w:rsidRPr="00BA73CB">
        <w:rPr>
          <w:rFonts w:ascii="Arial" w:hAnsi="Arial" w:cs="Arial"/>
          <w:sz w:val="24"/>
          <w:szCs w:val="24"/>
        </w:rPr>
        <w:t>,</w:t>
      </w:r>
      <w:r w:rsidRPr="00BA73CB">
        <w:rPr>
          <w:rFonts w:ascii="Arial" w:hAnsi="Arial" w:cs="Arial"/>
          <w:sz w:val="24"/>
          <w:szCs w:val="24"/>
        </w:rPr>
        <w:t xml:space="preserve"> gas prices and power prices are connected by a ratio called the </w:t>
      </w:r>
      <w:r w:rsidR="00AC3628">
        <w:rPr>
          <w:rFonts w:ascii="Arial" w:hAnsi="Arial" w:cs="Arial"/>
          <w:sz w:val="24"/>
          <w:szCs w:val="24"/>
        </w:rPr>
        <w:t>h</w:t>
      </w:r>
      <w:r w:rsidRPr="00BA73CB">
        <w:rPr>
          <w:rFonts w:ascii="Arial" w:hAnsi="Arial" w:cs="Arial"/>
          <w:sz w:val="24"/>
          <w:szCs w:val="24"/>
        </w:rPr>
        <w:t xml:space="preserve">eat </w:t>
      </w:r>
      <w:r w:rsidR="00AC3628">
        <w:rPr>
          <w:rFonts w:ascii="Arial" w:hAnsi="Arial" w:cs="Arial"/>
          <w:sz w:val="24"/>
          <w:szCs w:val="24"/>
        </w:rPr>
        <w:t>r</w:t>
      </w:r>
      <w:r w:rsidRPr="00BA73CB">
        <w:rPr>
          <w:rFonts w:ascii="Arial" w:hAnsi="Arial" w:cs="Arial"/>
          <w:sz w:val="24"/>
          <w:szCs w:val="24"/>
        </w:rPr>
        <w:t xml:space="preserve">ate and while this heat </w:t>
      </w:r>
      <w:r w:rsidR="002C69D0" w:rsidRPr="00BA73CB">
        <w:rPr>
          <w:rFonts w:ascii="Arial" w:hAnsi="Arial" w:cs="Arial"/>
          <w:sz w:val="24"/>
          <w:szCs w:val="24"/>
        </w:rPr>
        <w:t>rate ratio</w:t>
      </w:r>
      <w:r w:rsidRPr="00BA73CB">
        <w:rPr>
          <w:rFonts w:ascii="Arial" w:hAnsi="Arial" w:cs="Arial"/>
          <w:sz w:val="24"/>
          <w:szCs w:val="24"/>
        </w:rPr>
        <w:t xml:space="preserve"> can and will change over time as generation plants become more efficient and the fuel mix changes </w:t>
      </w:r>
      <w:r w:rsidR="001230CB" w:rsidRPr="00BA73CB">
        <w:rPr>
          <w:rFonts w:ascii="Arial" w:hAnsi="Arial" w:cs="Arial"/>
          <w:sz w:val="24"/>
          <w:szCs w:val="24"/>
        </w:rPr>
        <w:t xml:space="preserve">this </w:t>
      </w:r>
      <w:r w:rsidR="005E0E26" w:rsidRPr="00BA73CB">
        <w:rPr>
          <w:rFonts w:ascii="Arial" w:hAnsi="Arial" w:cs="Arial"/>
          <w:sz w:val="24"/>
          <w:szCs w:val="24"/>
        </w:rPr>
        <w:t>ratio</w:t>
      </w:r>
      <w:r w:rsidR="001230CB" w:rsidRPr="00BA73CB">
        <w:rPr>
          <w:rFonts w:ascii="Arial" w:hAnsi="Arial" w:cs="Arial"/>
          <w:sz w:val="24"/>
          <w:szCs w:val="24"/>
        </w:rPr>
        <w:t xml:space="preserve"> ties gas and power prices together in areas that use gas as a feedstock for power generation.</w:t>
      </w:r>
      <w:r w:rsidR="002C69D0" w:rsidRPr="00BA73CB">
        <w:rPr>
          <w:rFonts w:ascii="Arial" w:hAnsi="Arial" w:cs="Arial"/>
          <w:sz w:val="24"/>
          <w:szCs w:val="24"/>
        </w:rPr>
        <w:t xml:space="preserve"> Using </w:t>
      </w:r>
      <w:r w:rsidR="00DA6796" w:rsidRPr="00BA73CB">
        <w:rPr>
          <w:rFonts w:ascii="Arial" w:hAnsi="Arial" w:cs="Arial"/>
          <w:sz w:val="24"/>
          <w:szCs w:val="24"/>
        </w:rPr>
        <w:t>the average Heat Rate of 9.63</w:t>
      </w:r>
      <w:r w:rsidR="002C69D0" w:rsidRPr="00BA73CB">
        <w:rPr>
          <w:rFonts w:ascii="Arial" w:hAnsi="Arial" w:cs="Arial"/>
          <w:sz w:val="24"/>
          <w:szCs w:val="24"/>
        </w:rPr>
        <w:t xml:space="preserve"> from AEP’s Nominal Forecast</w:t>
      </w:r>
      <w:r w:rsidR="006C6AB2" w:rsidRPr="00BA73CB">
        <w:rPr>
          <w:rFonts w:ascii="Arial" w:hAnsi="Arial" w:cs="Arial"/>
          <w:sz w:val="24"/>
          <w:szCs w:val="24"/>
        </w:rPr>
        <w:t>,</w:t>
      </w:r>
      <w:r w:rsidR="002C69D0" w:rsidRPr="00BA73CB">
        <w:rPr>
          <w:rFonts w:ascii="Arial" w:hAnsi="Arial" w:cs="Arial"/>
          <w:sz w:val="24"/>
          <w:szCs w:val="24"/>
        </w:rPr>
        <w:t xml:space="preserve"> a $1.00 increase in the price of natural gas will increa</w:t>
      </w:r>
      <w:r w:rsidR="00DA6796" w:rsidRPr="00BA73CB">
        <w:rPr>
          <w:rFonts w:ascii="Arial" w:hAnsi="Arial" w:cs="Arial"/>
          <w:sz w:val="24"/>
          <w:szCs w:val="24"/>
        </w:rPr>
        <w:t>se power prices by approximately $9.63</w:t>
      </w:r>
      <w:r w:rsidR="001230CB" w:rsidRPr="00BA73CB">
        <w:rPr>
          <w:rFonts w:ascii="Arial" w:hAnsi="Arial" w:cs="Arial"/>
          <w:sz w:val="24"/>
          <w:szCs w:val="24"/>
        </w:rPr>
        <w:t xml:space="preserve"> or $1.00 times the heat rate ratio</w:t>
      </w:r>
      <w:r w:rsidR="002C69D0" w:rsidRPr="00BA73CB">
        <w:rPr>
          <w:rFonts w:ascii="Arial" w:hAnsi="Arial" w:cs="Arial"/>
          <w:sz w:val="24"/>
          <w:szCs w:val="24"/>
        </w:rPr>
        <w:t xml:space="preserve">. </w:t>
      </w:r>
      <w:proofErr w:type="gramStart"/>
      <w:r w:rsidR="004D1F62" w:rsidRPr="00BA73CB">
        <w:rPr>
          <w:rFonts w:ascii="Arial" w:hAnsi="Arial" w:cs="Arial"/>
          <w:sz w:val="24"/>
          <w:szCs w:val="24"/>
        </w:rPr>
        <w:t>G</w:t>
      </w:r>
      <w:r w:rsidR="002C69D0" w:rsidRPr="00BA73CB">
        <w:rPr>
          <w:rFonts w:ascii="Arial" w:hAnsi="Arial" w:cs="Arial"/>
          <w:sz w:val="24"/>
          <w:szCs w:val="24"/>
        </w:rPr>
        <w:t xml:space="preserve">enerally speaking, </w:t>
      </w:r>
      <w:r w:rsidR="004525E2" w:rsidRPr="00BA73CB">
        <w:rPr>
          <w:rFonts w:ascii="Arial" w:hAnsi="Arial" w:cs="Arial"/>
          <w:sz w:val="24"/>
          <w:szCs w:val="24"/>
        </w:rPr>
        <w:t>if</w:t>
      </w:r>
      <w:proofErr w:type="gramEnd"/>
      <w:r w:rsidR="004525E2" w:rsidRPr="00BA73CB">
        <w:rPr>
          <w:rFonts w:ascii="Arial" w:hAnsi="Arial" w:cs="Arial"/>
          <w:sz w:val="24"/>
          <w:szCs w:val="24"/>
        </w:rPr>
        <w:t xml:space="preserve"> </w:t>
      </w:r>
      <w:r w:rsidR="002C69D0" w:rsidRPr="00BA73CB">
        <w:rPr>
          <w:rFonts w:ascii="Arial" w:hAnsi="Arial" w:cs="Arial"/>
          <w:sz w:val="24"/>
          <w:szCs w:val="24"/>
        </w:rPr>
        <w:t xml:space="preserve">Ohio Power uses the AEP Nominal Forecast </w:t>
      </w:r>
      <w:r w:rsidR="008C765B" w:rsidRPr="00BA73CB">
        <w:rPr>
          <w:rFonts w:ascii="Arial" w:hAnsi="Arial" w:cs="Arial"/>
          <w:sz w:val="24"/>
          <w:szCs w:val="24"/>
        </w:rPr>
        <w:t xml:space="preserve">price of $6.48 for natural gas </w:t>
      </w:r>
      <w:r w:rsidR="002C69D0" w:rsidRPr="00BA73CB">
        <w:rPr>
          <w:rFonts w:ascii="Arial" w:hAnsi="Arial" w:cs="Arial"/>
          <w:sz w:val="24"/>
          <w:szCs w:val="24"/>
        </w:rPr>
        <w:t>in</w:t>
      </w:r>
      <w:r w:rsidR="008C765B" w:rsidRPr="00BA73CB">
        <w:rPr>
          <w:rFonts w:ascii="Arial" w:hAnsi="Arial" w:cs="Arial"/>
          <w:sz w:val="24"/>
          <w:szCs w:val="24"/>
        </w:rPr>
        <w:t xml:space="preserve"> </w:t>
      </w:r>
      <w:r w:rsidR="002C69D0" w:rsidRPr="00BA73CB">
        <w:rPr>
          <w:rFonts w:ascii="Arial" w:hAnsi="Arial" w:cs="Arial"/>
          <w:sz w:val="24"/>
          <w:szCs w:val="24"/>
        </w:rPr>
        <w:t xml:space="preserve">2030 and the market is valuing gas in 2030 at $3.39, the </w:t>
      </w:r>
      <w:r w:rsidR="00A356C8" w:rsidRPr="00BA73CB">
        <w:rPr>
          <w:rFonts w:ascii="Arial" w:hAnsi="Arial" w:cs="Arial"/>
          <w:sz w:val="24"/>
          <w:szCs w:val="24"/>
        </w:rPr>
        <w:t xml:space="preserve">price </w:t>
      </w:r>
      <w:r w:rsidR="002C69D0" w:rsidRPr="00BA73CB">
        <w:rPr>
          <w:rFonts w:ascii="Arial" w:hAnsi="Arial" w:cs="Arial"/>
          <w:sz w:val="24"/>
          <w:szCs w:val="24"/>
        </w:rPr>
        <w:t>difference of $3.09</w:t>
      </w:r>
      <w:r w:rsidR="006C6AB2" w:rsidRPr="00BA73CB">
        <w:rPr>
          <w:rFonts w:ascii="Arial" w:hAnsi="Arial" w:cs="Arial"/>
          <w:sz w:val="24"/>
          <w:szCs w:val="24"/>
        </w:rPr>
        <w:t xml:space="preserve"> translates to an</w:t>
      </w:r>
      <w:r w:rsidR="008C08C4" w:rsidRPr="00BA73CB">
        <w:rPr>
          <w:rFonts w:ascii="Arial" w:hAnsi="Arial" w:cs="Arial"/>
          <w:sz w:val="24"/>
          <w:szCs w:val="24"/>
        </w:rPr>
        <w:t xml:space="preserve"> overinflated power price by approximately </w:t>
      </w:r>
      <w:r w:rsidR="006C6AB2" w:rsidRPr="00BA73CB">
        <w:rPr>
          <w:rFonts w:ascii="Arial" w:hAnsi="Arial" w:cs="Arial"/>
          <w:sz w:val="24"/>
          <w:szCs w:val="24"/>
        </w:rPr>
        <w:t>$</w:t>
      </w:r>
      <w:r w:rsidR="00DA6796" w:rsidRPr="00BA73CB">
        <w:rPr>
          <w:rFonts w:ascii="Arial" w:hAnsi="Arial" w:cs="Arial"/>
          <w:sz w:val="24"/>
          <w:szCs w:val="24"/>
        </w:rPr>
        <w:t>29</w:t>
      </w:r>
      <w:r w:rsidR="00C82C62">
        <w:rPr>
          <w:rFonts w:ascii="Arial" w:hAnsi="Arial" w:cs="Arial"/>
          <w:sz w:val="24"/>
          <w:szCs w:val="24"/>
        </w:rPr>
        <w:t xml:space="preserve"> per megawatt hour</w:t>
      </w:r>
      <w:r w:rsidR="006C6AB2" w:rsidRPr="00BA73CB">
        <w:rPr>
          <w:rFonts w:ascii="Arial" w:hAnsi="Arial" w:cs="Arial"/>
          <w:sz w:val="24"/>
          <w:szCs w:val="24"/>
        </w:rPr>
        <w:t xml:space="preserve"> in </w:t>
      </w:r>
      <w:r w:rsidR="008C765B" w:rsidRPr="00BA73CB">
        <w:rPr>
          <w:rFonts w:ascii="Arial" w:hAnsi="Arial" w:cs="Arial"/>
          <w:sz w:val="24"/>
          <w:szCs w:val="24"/>
        </w:rPr>
        <w:t>2030</w:t>
      </w:r>
      <w:r w:rsidR="006C6AB2" w:rsidRPr="00BA73CB">
        <w:rPr>
          <w:rFonts w:ascii="Arial" w:hAnsi="Arial" w:cs="Arial"/>
          <w:sz w:val="24"/>
          <w:szCs w:val="24"/>
        </w:rPr>
        <w:t xml:space="preserve">. In other words, higher </w:t>
      </w:r>
      <w:r w:rsidR="004651F3" w:rsidRPr="00BA73CB">
        <w:rPr>
          <w:rFonts w:ascii="Arial" w:hAnsi="Arial" w:cs="Arial"/>
          <w:sz w:val="24"/>
          <w:szCs w:val="24"/>
        </w:rPr>
        <w:t xml:space="preserve">forecasted </w:t>
      </w:r>
      <w:r w:rsidR="006C6AB2" w:rsidRPr="00BA73CB">
        <w:rPr>
          <w:rFonts w:ascii="Arial" w:hAnsi="Arial" w:cs="Arial"/>
          <w:sz w:val="24"/>
          <w:szCs w:val="24"/>
        </w:rPr>
        <w:t>gas price</w:t>
      </w:r>
      <w:r w:rsidR="004651F3" w:rsidRPr="00BA73CB">
        <w:rPr>
          <w:rFonts w:ascii="Arial" w:hAnsi="Arial" w:cs="Arial"/>
          <w:sz w:val="24"/>
          <w:szCs w:val="24"/>
        </w:rPr>
        <w:t xml:space="preserve">s </w:t>
      </w:r>
      <w:r w:rsidR="00781F6B" w:rsidRPr="00BA73CB">
        <w:rPr>
          <w:rFonts w:ascii="Arial" w:hAnsi="Arial" w:cs="Arial"/>
          <w:sz w:val="24"/>
          <w:szCs w:val="24"/>
        </w:rPr>
        <w:t>translate</w:t>
      </w:r>
      <w:r w:rsidR="004651F3" w:rsidRPr="00BA73CB">
        <w:rPr>
          <w:rFonts w:ascii="Arial" w:hAnsi="Arial" w:cs="Arial"/>
          <w:sz w:val="24"/>
          <w:szCs w:val="24"/>
        </w:rPr>
        <w:t xml:space="preserve"> into</w:t>
      </w:r>
      <w:r w:rsidR="006C6AB2" w:rsidRPr="00BA73CB">
        <w:rPr>
          <w:rFonts w:ascii="Arial" w:hAnsi="Arial" w:cs="Arial"/>
          <w:sz w:val="24"/>
          <w:szCs w:val="24"/>
        </w:rPr>
        <w:t xml:space="preserve"> higher </w:t>
      </w:r>
      <w:r w:rsidR="004651F3" w:rsidRPr="00BA73CB">
        <w:rPr>
          <w:rFonts w:ascii="Arial" w:hAnsi="Arial" w:cs="Arial"/>
          <w:sz w:val="24"/>
          <w:szCs w:val="24"/>
        </w:rPr>
        <w:t xml:space="preserve">forecasted </w:t>
      </w:r>
      <w:r w:rsidR="006C6AB2" w:rsidRPr="00BA73CB">
        <w:rPr>
          <w:rFonts w:ascii="Arial" w:hAnsi="Arial" w:cs="Arial"/>
          <w:sz w:val="24"/>
          <w:szCs w:val="24"/>
        </w:rPr>
        <w:t xml:space="preserve">power prices. </w:t>
      </w:r>
      <w:r w:rsidR="00143346">
        <w:rPr>
          <w:rFonts w:ascii="Arial" w:hAnsi="Arial" w:cs="Arial"/>
          <w:sz w:val="24"/>
          <w:szCs w:val="24"/>
        </w:rPr>
        <w:t xml:space="preserve"> </w:t>
      </w:r>
    </w:p>
    <w:p w:rsidR="001230CB" w:rsidRPr="00C82C62" w:rsidRDefault="001230CB" w:rsidP="00C82C62">
      <w:pPr>
        <w:spacing w:line="480" w:lineRule="auto"/>
        <w:ind w:left="720" w:hanging="720"/>
        <w:rPr>
          <w:rFonts w:ascii="Arial" w:hAnsi="Arial" w:cs="Arial"/>
          <w:b/>
          <w:sz w:val="24"/>
          <w:szCs w:val="24"/>
        </w:rPr>
      </w:pPr>
      <w:r w:rsidRPr="00C82C62">
        <w:rPr>
          <w:rFonts w:ascii="Arial" w:hAnsi="Arial" w:cs="Arial"/>
          <w:b/>
          <w:sz w:val="24"/>
          <w:szCs w:val="24"/>
        </w:rPr>
        <w:lastRenderedPageBreak/>
        <w:t xml:space="preserve">Q. </w:t>
      </w:r>
      <w:r w:rsidRPr="00C82C62">
        <w:rPr>
          <w:rFonts w:ascii="Arial" w:hAnsi="Arial" w:cs="Arial"/>
          <w:b/>
          <w:sz w:val="24"/>
          <w:szCs w:val="24"/>
        </w:rPr>
        <w:tab/>
        <w:t xml:space="preserve">Do you agree with Mr. </w:t>
      </w:r>
      <w:proofErr w:type="spellStart"/>
      <w:r w:rsidRPr="00C82C62">
        <w:rPr>
          <w:rFonts w:ascii="Arial" w:hAnsi="Arial" w:cs="Arial"/>
          <w:b/>
          <w:sz w:val="24"/>
          <w:szCs w:val="24"/>
        </w:rPr>
        <w:t>Bletzacker’s</w:t>
      </w:r>
      <w:proofErr w:type="spellEnd"/>
      <w:r w:rsidRPr="00C82C62">
        <w:rPr>
          <w:rFonts w:ascii="Arial" w:hAnsi="Arial" w:cs="Arial"/>
          <w:b/>
          <w:sz w:val="24"/>
          <w:szCs w:val="24"/>
        </w:rPr>
        <w:t xml:space="preserve"> testimony that it is unreasonable to rely on NYMEX futures for long term corporate planning purposes?    </w:t>
      </w:r>
    </w:p>
    <w:p w:rsidR="00DF2D7C" w:rsidRDefault="001230CB"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t xml:space="preserve">No.  </w:t>
      </w:r>
      <w:r w:rsidR="00606312">
        <w:rPr>
          <w:rFonts w:ascii="Arial" w:hAnsi="Arial" w:cs="Arial"/>
          <w:sz w:val="24"/>
          <w:szCs w:val="24"/>
        </w:rPr>
        <w:t>D</w:t>
      </w:r>
      <w:r w:rsidRPr="00BA73CB">
        <w:rPr>
          <w:rFonts w:ascii="Arial" w:hAnsi="Arial" w:cs="Arial"/>
          <w:sz w:val="24"/>
          <w:szCs w:val="24"/>
        </w:rPr>
        <w:t>isregard</w:t>
      </w:r>
      <w:r w:rsidR="00606312">
        <w:rPr>
          <w:rFonts w:ascii="Arial" w:hAnsi="Arial" w:cs="Arial"/>
          <w:sz w:val="24"/>
          <w:szCs w:val="24"/>
        </w:rPr>
        <w:t>ing</w:t>
      </w:r>
      <w:r w:rsidRPr="00BA73CB">
        <w:rPr>
          <w:rFonts w:ascii="Arial" w:hAnsi="Arial" w:cs="Arial"/>
          <w:sz w:val="24"/>
          <w:szCs w:val="24"/>
        </w:rPr>
        <w:t xml:space="preserve"> the market sentiment and market views of pricing is irresponsible and falls more into speculation than forecasting. Specific to gas, the market is always sending price signals that change the expectations of market participants either po</w:t>
      </w:r>
      <w:r w:rsidR="00B50FF3" w:rsidRPr="00BA73CB">
        <w:rPr>
          <w:rFonts w:ascii="Arial" w:hAnsi="Arial" w:cs="Arial"/>
          <w:sz w:val="24"/>
          <w:szCs w:val="24"/>
        </w:rPr>
        <w:t>sitively or</w:t>
      </w:r>
      <w:r w:rsidRPr="00BA73CB">
        <w:rPr>
          <w:rFonts w:ascii="Arial" w:hAnsi="Arial" w:cs="Arial"/>
          <w:sz w:val="24"/>
          <w:szCs w:val="24"/>
        </w:rPr>
        <w:t xml:space="preserve"> negatively.</w:t>
      </w:r>
      <w:r w:rsidR="00B50FF3" w:rsidRPr="00BA73CB">
        <w:rPr>
          <w:rFonts w:ascii="Arial" w:hAnsi="Arial" w:cs="Arial"/>
          <w:sz w:val="24"/>
          <w:szCs w:val="24"/>
        </w:rPr>
        <w:t xml:space="preserve"> For example, on November 28, 2018, the Department of the Interior, US Geological Survey (USGS) identified the largest continuous oil and gas resource potential ever, located in Texas and New Mexico’s </w:t>
      </w:r>
      <w:proofErr w:type="spellStart"/>
      <w:r w:rsidR="00B50FF3" w:rsidRPr="00BA73CB">
        <w:rPr>
          <w:rFonts w:ascii="Arial" w:hAnsi="Arial" w:cs="Arial"/>
          <w:sz w:val="24"/>
          <w:szCs w:val="24"/>
        </w:rPr>
        <w:t>Wolfcamp</w:t>
      </w:r>
      <w:proofErr w:type="spellEnd"/>
      <w:r w:rsidR="00B50FF3" w:rsidRPr="00BA73CB">
        <w:rPr>
          <w:rFonts w:ascii="Arial" w:hAnsi="Arial" w:cs="Arial"/>
          <w:sz w:val="24"/>
          <w:szCs w:val="24"/>
        </w:rPr>
        <w:t xml:space="preserve"> Shale and Bone Spring Formation. The USGS estimates</w:t>
      </w:r>
      <w:r w:rsidR="00505287" w:rsidRPr="00BA73CB">
        <w:rPr>
          <w:rFonts w:ascii="Arial" w:hAnsi="Arial" w:cs="Arial"/>
          <w:sz w:val="24"/>
          <w:szCs w:val="24"/>
        </w:rPr>
        <w:t xml:space="preserve"> this formation contains </w:t>
      </w:r>
      <w:r w:rsidR="00B50FF3" w:rsidRPr="00BA73CB">
        <w:rPr>
          <w:rFonts w:ascii="Arial" w:hAnsi="Arial" w:cs="Arial"/>
          <w:sz w:val="24"/>
          <w:szCs w:val="24"/>
        </w:rPr>
        <w:t>46.3 Billion barrels of oil, 281 Trillion cubic feet of natural gas, and 20 Billion barrels of natural gas liquids.</w:t>
      </w:r>
      <w:r w:rsidR="00533295">
        <w:rPr>
          <w:rStyle w:val="FootnoteReference"/>
          <w:rFonts w:ascii="Arial" w:hAnsi="Arial" w:cs="Arial"/>
          <w:sz w:val="24"/>
          <w:szCs w:val="24"/>
        </w:rPr>
        <w:footnoteReference w:id="1"/>
      </w:r>
      <w:r w:rsidR="00B50FF3" w:rsidRPr="00BA73CB">
        <w:rPr>
          <w:rFonts w:ascii="Arial" w:hAnsi="Arial" w:cs="Arial"/>
          <w:sz w:val="24"/>
          <w:szCs w:val="24"/>
        </w:rPr>
        <w:t xml:space="preserve"> This new production find is in the Permian basin where there is already more supply than demand and pipeline capacity is fully utilized leading to </w:t>
      </w:r>
      <w:r w:rsidR="008C765B" w:rsidRPr="00BA73CB">
        <w:rPr>
          <w:rFonts w:ascii="Arial" w:hAnsi="Arial" w:cs="Arial"/>
          <w:sz w:val="24"/>
          <w:szCs w:val="24"/>
        </w:rPr>
        <w:t xml:space="preserve">very low </w:t>
      </w:r>
      <w:r w:rsidR="00B50FF3" w:rsidRPr="00BA73CB">
        <w:rPr>
          <w:rFonts w:ascii="Arial" w:hAnsi="Arial" w:cs="Arial"/>
          <w:sz w:val="24"/>
          <w:szCs w:val="24"/>
        </w:rPr>
        <w:t>regional prices</w:t>
      </w:r>
      <w:r w:rsidR="008C765B" w:rsidRPr="00BA73CB">
        <w:rPr>
          <w:rFonts w:ascii="Arial" w:hAnsi="Arial" w:cs="Arial"/>
          <w:sz w:val="24"/>
          <w:szCs w:val="24"/>
        </w:rPr>
        <w:t>. R</w:t>
      </w:r>
      <w:r w:rsidR="00B50FF3" w:rsidRPr="00BA73CB">
        <w:rPr>
          <w:rFonts w:ascii="Arial" w:hAnsi="Arial" w:cs="Arial"/>
          <w:sz w:val="24"/>
          <w:szCs w:val="24"/>
        </w:rPr>
        <w:t xml:space="preserve">ecently prices at the </w:t>
      </w:r>
      <w:proofErr w:type="spellStart"/>
      <w:r w:rsidR="00B50FF3" w:rsidRPr="00BA73CB">
        <w:rPr>
          <w:rFonts w:ascii="Arial" w:hAnsi="Arial" w:cs="Arial"/>
          <w:sz w:val="24"/>
          <w:szCs w:val="24"/>
        </w:rPr>
        <w:t>Waha</w:t>
      </w:r>
      <w:proofErr w:type="spellEnd"/>
      <w:r w:rsidR="00B50FF3" w:rsidRPr="00BA73CB">
        <w:rPr>
          <w:rFonts w:ascii="Arial" w:hAnsi="Arial" w:cs="Arial"/>
          <w:sz w:val="24"/>
          <w:szCs w:val="24"/>
        </w:rPr>
        <w:t xml:space="preserve"> Hub</w:t>
      </w:r>
      <w:r w:rsidR="008C765B" w:rsidRPr="00BA73CB">
        <w:rPr>
          <w:rFonts w:ascii="Arial" w:hAnsi="Arial" w:cs="Arial"/>
          <w:sz w:val="24"/>
          <w:szCs w:val="24"/>
        </w:rPr>
        <w:t xml:space="preserve"> (benchmark hub for the Permian Basin)</w:t>
      </w:r>
      <w:r w:rsidR="00B50FF3" w:rsidRPr="00BA73CB">
        <w:rPr>
          <w:rFonts w:ascii="Arial" w:hAnsi="Arial" w:cs="Arial"/>
          <w:sz w:val="24"/>
          <w:szCs w:val="24"/>
        </w:rPr>
        <w:t xml:space="preserve"> have traded negative meaning owners of supply have paid counterparties to take their gas. </w:t>
      </w:r>
    </w:p>
    <w:p w:rsidR="00143346" w:rsidRPr="00BA58DC" w:rsidRDefault="00143346" w:rsidP="00277CEC">
      <w:pPr>
        <w:spacing w:line="480" w:lineRule="auto"/>
        <w:ind w:left="720" w:hanging="720"/>
        <w:jc w:val="both"/>
        <w:rPr>
          <w:rFonts w:ascii="Arial" w:hAnsi="Arial" w:cs="Arial"/>
          <w:b/>
          <w:sz w:val="24"/>
          <w:szCs w:val="24"/>
        </w:rPr>
      </w:pPr>
      <w:r>
        <w:rPr>
          <w:rFonts w:ascii="Arial" w:hAnsi="Arial" w:cs="Arial"/>
          <w:b/>
          <w:sz w:val="24"/>
          <w:szCs w:val="24"/>
        </w:rPr>
        <w:t>Q.</w:t>
      </w:r>
      <w:r w:rsidR="00606312">
        <w:rPr>
          <w:rFonts w:ascii="Arial" w:hAnsi="Arial" w:cs="Arial"/>
          <w:b/>
          <w:sz w:val="24"/>
          <w:szCs w:val="24"/>
        </w:rPr>
        <w:tab/>
      </w:r>
      <w:r>
        <w:rPr>
          <w:rFonts w:ascii="Arial" w:hAnsi="Arial" w:cs="Arial"/>
          <w:b/>
          <w:sz w:val="24"/>
          <w:szCs w:val="24"/>
        </w:rPr>
        <w:t xml:space="preserve"> Can you identify specific examples where NYMEX futures prices impact the corporate planning process?</w:t>
      </w:r>
    </w:p>
    <w:p w:rsidR="001230CB" w:rsidRPr="00BA73CB" w:rsidRDefault="005E7182" w:rsidP="005E7182">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EC5AE9">
        <w:rPr>
          <w:rFonts w:ascii="Arial" w:hAnsi="Arial" w:cs="Arial"/>
          <w:sz w:val="24"/>
          <w:szCs w:val="24"/>
        </w:rPr>
        <w:t xml:space="preserve">Yes, </w:t>
      </w:r>
      <w:r w:rsidR="008C765B" w:rsidRPr="00BA73CB">
        <w:rPr>
          <w:rFonts w:ascii="Arial" w:hAnsi="Arial" w:cs="Arial"/>
          <w:sz w:val="24"/>
          <w:szCs w:val="24"/>
        </w:rPr>
        <w:t xml:space="preserve">corporate </w:t>
      </w:r>
      <w:r w:rsidR="00B50FF3" w:rsidRPr="00BA73CB">
        <w:rPr>
          <w:rFonts w:ascii="Arial" w:hAnsi="Arial" w:cs="Arial"/>
          <w:sz w:val="24"/>
          <w:szCs w:val="24"/>
        </w:rPr>
        <w:t>decisions are made all the time based on NYMEX</w:t>
      </w:r>
      <w:r w:rsidR="005E0E26" w:rsidRPr="00BA73CB">
        <w:rPr>
          <w:rFonts w:ascii="Arial" w:hAnsi="Arial" w:cs="Arial"/>
          <w:sz w:val="24"/>
          <w:szCs w:val="24"/>
        </w:rPr>
        <w:t xml:space="preserve"> futures</w:t>
      </w:r>
      <w:r w:rsidR="00B50FF3" w:rsidRPr="00BA73CB">
        <w:rPr>
          <w:rFonts w:ascii="Arial" w:hAnsi="Arial" w:cs="Arial"/>
          <w:sz w:val="24"/>
          <w:szCs w:val="24"/>
        </w:rPr>
        <w:t xml:space="preserve"> prices. </w:t>
      </w:r>
      <w:r w:rsidR="001230CB" w:rsidRPr="00BA73CB">
        <w:rPr>
          <w:rFonts w:ascii="Arial" w:hAnsi="Arial" w:cs="Arial"/>
          <w:sz w:val="24"/>
          <w:szCs w:val="24"/>
        </w:rPr>
        <w:t>For example,</w:t>
      </w:r>
      <w:r w:rsidR="00505287" w:rsidRPr="00BA73CB">
        <w:rPr>
          <w:rFonts w:ascii="Arial" w:hAnsi="Arial" w:cs="Arial"/>
          <w:sz w:val="24"/>
          <w:szCs w:val="24"/>
        </w:rPr>
        <w:t xml:space="preserve"> just as the market is currently giving price signals that additional transportation is needed out of the Permian Basin, </w:t>
      </w:r>
      <w:r w:rsidR="001230CB" w:rsidRPr="00BA73CB">
        <w:rPr>
          <w:rFonts w:ascii="Arial" w:hAnsi="Arial" w:cs="Arial"/>
          <w:sz w:val="24"/>
          <w:szCs w:val="24"/>
        </w:rPr>
        <w:t xml:space="preserve">increased pipeline capacity was constructed out of the Marcellus and Utica production region specifically because </w:t>
      </w:r>
      <w:r w:rsidR="001230CB" w:rsidRPr="00BA73CB">
        <w:rPr>
          <w:rFonts w:ascii="Arial" w:hAnsi="Arial" w:cs="Arial"/>
          <w:sz w:val="24"/>
          <w:szCs w:val="24"/>
        </w:rPr>
        <w:lastRenderedPageBreak/>
        <w:t xml:space="preserve">the market was given a price signal that the Northeast regional supply was higher than the demand which was driving regional prices down. Investor owned companies built and contracted for pipelines based on the price signal determined by the market. As </w:t>
      </w:r>
      <w:r w:rsidR="00B50FF3" w:rsidRPr="00BA73CB">
        <w:rPr>
          <w:rFonts w:ascii="Arial" w:hAnsi="Arial" w:cs="Arial"/>
          <w:sz w:val="24"/>
          <w:szCs w:val="24"/>
        </w:rPr>
        <w:t>another</w:t>
      </w:r>
      <w:r w:rsidR="001230CB" w:rsidRPr="00BA73CB">
        <w:rPr>
          <w:rFonts w:ascii="Arial" w:hAnsi="Arial" w:cs="Arial"/>
          <w:sz w:val="24"/>
          <w:szCs w:val="24"/>
        </w:rPr>
        <w:t xml:space="preserve"> example, the US is in the center of a rather dramatic race to build liquified natural gas (LNG) exporting facilities. To provide an acceptable rate of return</w:t>
      </w:r>
      <w:r w:rsidR="008C08C4" w:rsidRPr="00BA73CB">
        <w:rPr>
          <w:rFonts w:ascii="Arial" w:hAnsi="Arial" w:cs="Arial"/>
          <w:sz w:val="24"/>
          <w:szCs w:val="24"/>
        </w:rPr>
        <w:t xml:space="preserve">, </w:t>
      </w:r>
      <w:r w:rsidR="001230CB" w:rsidRPr="00BA73CB">
        <w:rPr>
          <w:rFonts w:ascii="Arial" w:hAnsi="Arial" w:cs="Arial"/>
          <w:sz w:val="24"/>
          <w:szCs w:val="24"/>
        </w:rPr>
        <w:t xml:space="preserve">investor owned companies </w:t>
      </w:r>
      <w:r w:rsidR="00B50FF3" w:rsidRPr="00BA73CB">
        <w:rPr>
          <w:rFonts w:ascii="Arial" w:hAnsi="Arial" w:cs="Arial"/>
          <w:sz w:val="24"/>
          <w:szCs w:val="24"/>
        </w:rPr>
        <w:t xml:space="preserve">are </w:t>
      </w:r>
      <w:r w:rsidR="001230CB" w:rsidRPr="00BA73CB">
        <w:rPr>
          <w:rFonts w:ascii="Arial" w:hAnsi="Arial" w:cs="Arial"/>
          <w:sz w:val="24"/>
          <w:szCs w:val="24"/>
        </w:rPr>
        <w:t>spending billions of dollars in capital co</w:t>
      </w:r>
      <w:r w:rsidR="005E0E26" w:rsidRPr="00BA73CB">
        <w:rPr>
          <w:rFonts w:ascii="Arial" w:hAnsi="Arial" w:cs="Arial"/>
          <w:sz w:val="24"/>
          <w:szCs w:val="24"/>
        </w:rPr>
        <w:t>sts to build the LNG facilities and</w:t>
      </w:r>
      <w:r w:rsidR="001230CB" w:rsidRPr="00BA73CB">
        <w:rPr>
          <w:rFonts w:ascii="Arial" w:hAnsi="Arial" w:cs="Arial"/>
          <w:sz w:val="24"/>
          <w:szCs w:val="24"/>
        </w:rPr>
        <w:t xml:space="preserve"> low cost natural gas as a feedstock is a must</w:t>
      </w:r>
      <w:r w:rsidR="00CF7C19" w:rsidRPr="00BA73CB">
        <w:rPr>
          <w:rFonts w:ascii="Arial" w:hAnsi="Arial" w:cs="Arial"/>
          <w:sz w:val="24"/>
          <w:szCs w:val="24"/>
        </w:rPr>
        <w:t xml:space="preserve"> if</w:t>
      </w:r>
      <w:r w:rsidR="00B50FF3" w:rsidRPr="00BA73CB">
        <w:rPr>
          <w:rFonts w:ascii="Arial" w:hAnsi="Arial" w:cs="Arial"/>
          <w:sz w:val="24"/>
          <w:szCs w:val="24"/>
        </w:rPr>
        <w:t xml:space="preserve"> they expect to earn a </w:t>
      </w:r>
      <w:r w:rsidR="00CF7C19" w:rsidRPr="00BA73CB">
        <w:rPr>
          <w:rFonts w:ascii="Arial" w:hAnsi="Arial" w:cs="Arial"/>
          <w:sz w:val="24"/>
          <w:szCs w:val="24"/>
        </w:rPr>
        <w:t>decent rate of return</w:t>
      </w:r>
      <w:r w:rsidR="001230CB" w:rsidRPr="00BA73CB">
        <w:rPr>
          <w:rFonts w:ascii="Arial" w:hAnsi="Arial" w:cs="Arial"/>
          <w:sz w:val="24"/>
          <w:szCs w:val="24"/>
        </w:rPr>
        <w:t xml:space="preserve">. If the investor owed LNG facilities believed that Henry Hub natural gas prices would </w:t>
      </w:r>
      <w:r w:rsidR="005E0E26" w:rsidRPr="00BA73CB">
        <w:rPr>
          <w:rFonts w:ascii="Arial" w:hAnsi="Arial" w:cs="Arial"/>
          <w:sz w:val="24"/>
          <w:szCs w:val="24"/>
        </w:rPr>
        <w:t>average</w:t>
      </w:r>
      <w:r w:rsidR="001230CB" w:rsidRPr="00BA73CB">
        <w:rPr>
          <w:rFonts w:ascii="Arial" w:hAnsi="Arial" w:cs="Arial"/>
          <w:sz w:val="24"/>
          <w:szCs w:val="24"/>
        </w:rPr>
        <w:t xml:space="preserve"> $6.48 by 2030, as Mr. </w:t>
      </w:r>
      <w:proofErr w:type="spellStart"/>
      <w:r w:rsidR="001230CB" w:rsidRPr="00BA73CB">
        <w:rPr>
          <w:rFonts w:ascii="Arial" w:hAnsi="Arial" w:cs="Arial"/>
          <w:sz w:val="24"/>
          <w:szCs w:val="24"/>
        </w:rPr>
        <w:t>Bletzacker</w:t>
      </w:r>
      <w:proofErr w:type="spellEnd"/>
      <w:r w:rsidR="001230CB" w:rsidRPr="00BA73CB">
        <w:rPr>
          <w:rFonts w:ascii="Arial" w:hAnsi="Arial" w:cs="Arial"/>
          <w:sz w:val="24"/>
          <w:szCs w:val="24"/>
        </w:rPr>
        <w:t xml:space="preserve"> has forecasted, these facilities </w:t>
      </w:r>
      <w:r w:rsidR="001C7FDF" w:rsidRPr="00BA73CB">
        <w:rPr>
          <w:rFonts w:ascii="Arial" w:hAnsi="Arial" w:cs="Arial"/>
          <w:sz w:val="24"/>
          <w:szCs w:val="24"/>
        </w:rPr>
        <w:t>might</w:t>
      </w:r>
      <w:r w:rsidR="001230CB" w:rsidRPr="00BA73CB">
        <w:rPr>
          <w:rFonts w:ascii="Arial" w:hAnsi="Arial" w:cs="Arial"/>
          <w:sz w:val="24"/>
          <w:szCs w:val="24"/>
        </w:rPr>
        <w:t xml:space="preserve"> </w:t>
      </w:r>
      <w:r w:rsidR="00CF7C19" w:rsidRPr="00BA73CB">
        <w:rPr>
          <w:rFonts w:ascii="Arial" w:hAnsi="Arial" w:cs="Arial"/>
          <w:sz w:val="24"/>
          <w:szCs w:val="24"/>
        </w:rPr>
        <w:t xml:space="preserve">have trouble </w:t>
      </w:r>
      <w:r w:rsidR="001230CB" w:rsidRPr="00BA73CB">
        <w:rPr>
          <w:rFonts w:ascii="Arial" w:hAnsi="Arial" w:cs="Arial"/>
          <w:sz w:val="24"/>
          <w:szCs w:val="24"/>
        </w:rPr>
        <w:t>recover</w:t>
      </w:r>
      <w:r w:rsidR="00CF7C19" w:rsidRPr="00BA73CB">
        <w:rPr>
          <w:rFonts w:ascii="Arial" w:hAnsi="Arial" w:cs="Arial"/>
          <w:sz w:val="24"/>
          <w:szCs w:val="24"/>
        </w:rPr>
        <w:t>ing</w:t>
      </w:r>
      <w:r w:rsidR="001230CB" w:rsidRPr="00BA73CB">
        <w:rPr>
          <w:rFonts w:ascii="Arial" w:hAnsi="Arial" w:cs="Arial"/>
          <w:sz w:val="24"/>
          <w:szCs w:val="24"/>
        </w:rPr>
        <w:t xml:space="preserve"> their variable costs, let alone the billions in capital costs.      </w:t>
      </w:r>
    </w:p>
    <w:p w:rsidR="001230CB" w:rsidRPr="00BA73CB" w:rsidRDefault="001230CB" w:rsidP="00277CEC">
      <w:pPr>
        <w:spacing w:line="480" w:lineRule="auto"/>
        <w:ind w:left="720"/>
        <w:jc w:val="both"/>
        <w:rPr>
          <w:rFonts w:ascii="Arial" w:hAnsi="Arial" w:cs="Arial"/>
          <w:sz w:val="24"/>
          <w:szCs w:val="24"/>
        </w:rPr>
      </w:pPr>
      <w:r w:rsidRPr="00BA73CB">
        <w:rPr>
          <w:rFonts w:ascii="Arial" w:hAnsi="Arial" w:cs="Arial"/>
          <w:sz w:val="24"/>
          <w:szCs w:val="24"/>
        </w:rPr>
        <w:t xml:space="preserve">In </w:t>
      </w:r>
      <w:r w:rsidR="00CF7C19" w:rsidRPr="00BA73CB">
        <w:rPr>
          <w:rFonts w:ascii="Arial" w:hAnsi="Arial" w:cs="Arial"/>
          <w:sz w:val="24"/>
          <w:szCs w:val="24"/>
        </w:rPr>
        <w:t>th</w:t>
      </w:r>
      <w:r w:rsidRPr="00BA73CB">
        <w:rPr>
          <w:rFonts w:ascii="Arial" w:hAnsi="Arial" w:cs="Arial"/>
          <w:sz w:val="24"/>
          <w:szCs w:val="24"/>
        </w:rPr>
        <w:t>e examples above, the market evaluated information and make an educated decision on future prices. Unfortunately, the AEP Nominal Forecast will be oblivious to the market conditions which could lead to poor investment decisions for AEP’s captive rate payers.</w:t>
      </w:r>
    </w:p>
    <w:p w:rsidR="002E1EA8" w:rsidRPr="00143346" w:rsidRDefault="001201A7" w:rsidP="00277CEC">
      <w:pPr>
        <w:spacing w:line="480" w:lineRule="auto"/>
        <w:ind w:left="720" w:hanging="720"/>
        <w:jc w:val="both"/>
        <w:rPr>
          <w:rFonts w:ascii="Arial" w:hAnsi="Arial" w:cs="Arial"/>
          <w:b/>
          <w:sz w:val="24"/>
          <w:szCs w:val="24"/>
        </w:rPr>
      </w:pPr>
      <w:r w:rsidRPr="00143346">
        <w:rPr>
          <w:rFonts w:ascii="Arial" w:hAnsi="Arial" w:cs="Arial"/>
          <w:b/>
          <w:sz w:val="24"/>
          <w:szCs w:val="24"/>
        </w:rPr>
        <w:t xml:space="preserve">Q. </w:t>
      </w:r>
      <w:r w:rsidRPr="00143346">
        <w:rPr>
          <w:rFonts w:ascii="Arial" w:hAnsi="Arial" w:cs="Arial"/>
          <w:b/>
          <w:sz w:val="24"/>
          <w:szCs w:val="24"/>
        </w:rPr>
        <w:tab/>
      </w:r>
      <w:r w:rsidR="008B3F36" w:rsidRPr="00143346">
        <w:rPr>
          <w:rFonts w:ascii="Arial" w:hAnsi="Arial" w:cs="Arial"/>
          <w:b/>
          <w:sz w:val="24"/>
          <w:szCs w:val="24"/>
        </w:rPr>
        <w:t>Historically, d</w:t>
      </w:r>
      <w:r w:rsidR="002E1EA8" w:rsidRPr="00143346">
        <w:rPr>
          <w:rFonts w:ascii="Arial" w:hAnsi="Arial" w:cs="Arial"/>
          <w:b/>
          <w:sz w:val="24"/>
          <w:szCs w:val="24"/>
        </w:rPr>
        <w:t xml:space="preserve">o you feel AEP has done an adequate job forecasting </w:t>
      </w:r>
      <w:r w:rsidR="005E0E26" w:rsidRPr="00143346">
        <w:rPr>
          <w:rFonts w:ascii="Arial" w:hAnsi="Arial" w:cs="Arial"/>
          <w:b/>
          <w:sz w:val="24"/>
          <w:szCs w:val="24"/>
        </w:rPr>
        <w:t>short and long-</w:t>
      </w:r>
      <w:r w:rsidR="002E1EA8" w:rsidRPr="00143346">
        <w:rPr>
          <w:rFonts w:ascii="Arial" w:hAnsi="Arial" w:cs="Arial"/>
          <w:b/>
          <w:sz w:val="24"/>
          <w:szCs w:val="24"/>
        </w:rPr>
        <w:t>term commodity prices, specifically</w:t>
      </w:r>
      <w:r w:rsidR="00CF7C19" w:rsidRPr="00143346">
        <w:rPr>
          <w:rFonts w:ascii="Arial" w:hAnsi="Arial" w:cs="Arial"/>
          <w:b/>
          <w:sz w:val="24"/>
          <w:szCs w:val="24"/>
        </w:rPr>
        <w:t>,</w:t>
      </w:r>
      <w:r w:rsidR="002E1EA8" w:rsidRPr="00143346">
        <w:rPr>
          <w:rFonts w:ascii="Arial" w:hAnsi="Arial" w:cs="Arial"/>
          <w:b/>
          <w:sz w:val="24"/>
          <w:szCs w:val="24"/>
        </w:rPr>
        <w:t xml:space="preserve"> natural gas prices?</w:t>
      </w:r>
    </w:p>
    <w:p w:rsidR="00DE0ED8" w:rsidRPr="00BA73CB" w:rsidRDefault="002E1EA8"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t xml:space="preserve">No. In 2015, Mr. </w:t>
      </w:r>
      <w:proofErr w:type="spellStart"/>
      <w:r w:rsidRPr="00BA73CB">
        <w:rPr>
          <w:rFonts w:ascii="Arial" w:hAnsi="Arial" w:cs="Arial"/>
          <w:sz w:val="24"/>
          <w:szCs w:val="24"/>
        </w:rPr>
        <w:t>Bletzacker</w:t>
      </w:r>
      <w:proofErr w:type="spellEnd"/>
      <w:r w:rsidRPr="00BA73CB">
        <w:rPr>
          <w:rFonts w:ascii="Arial" w:hAnsi="Arial" w:cs="Arial"/>
          <w:sz w:val="24"/>
          <w:szCs w:val="24"/>
        </w:rPr>
        <w:t xml:space="preserve"> provided AEP forecasted natural gas prices as part of</w:t>
      </w:r>
      <w:r w:rsidR="00661034" w:rsidRPr="00BA73CB">
        <w:rPr>
          <w:rFonts w:ascii="Arial" w:hAnsi="Arial" w:cs="Arial"/>
          <w:sz w:val="24"/>
          <w:szCs w:val="24"/>
        </w:rPr>
        <w:t xml:space="preserve"> his testimony in</w:t>
      </w:r>
      <w:r w:rsidRPr="00BA73CB">
        <w:rPr>
          <w:rFonts w:ascii="Arial" w:hAnsi="Arial" w:cs="Arial"/>
          <w:sz w:val="24"/>
          <w:szCs w:val="24"/>
        </w:rPr>
        <w:t xml:space="preserve"> Case No. 14-1694-EL. In his testimony, Mr. </w:t>
      </w:r>
      <w:proofErr w:type="spellStart"/>
      <w:r w:rsidRPr="00BA73CB">
        <w:rPr>
          <w:rFonts w:ascii="Arial" w:hAnsi="Arial" w:cs="Arial"/>
          <w:sz w:val="24"/>
          <w:szCs w:val="24"/>
        </w:rPr>
        <w:t>Bletzacker</w:t>
      </w:r>
      <w:r w:rsidR="00661034" w:rsidRPr="00BA73CB">
        <w:rPr>
          <w:rFonts w:ascii="Arial" w:hAnsi="Arial" w:cs="Arial"/>
          <w:sz w:val="24"/>
          <w:szCs w:val="24"/>
        </w:rPr>
        <w:t>’s</w:t>
      </w:r>
      <w:proofErr w:type="spellEnd"/>
      <w:r w:rsidR="00661034" w:rsidRPr="00BA73CB">
        <w:rPr>
          <w:rFonts w:ascii="Arial" w:hAnsi="Arial" w:cs="Arial"/>
          <w:sz w:val="24"/>
          <w:szCs w:val="24"/>
        </w:rPr>
        <w:t xml:space="preserve"> forecast</w:t>
      </w:r>
      <w:r w:rsidR="00F63F45">
        <w:rPr>
          <w:rFonts w:ascii="Arial" w:hAnsi="Arial" w:cs="Arial"/>
          <w:sz w:val="24"/>
          <w:szCs w:val="24"/>
        </w:rPr>
        <w:t xml:space="preserve"> of</w:t>
      </w:r>
      <w:r w:rsidR="00661034" w:rsidRPr="00BA73CB">
        <w:rPr>
          <w:rFonts w:ascii="Arial" w:hAnsi="Arial" w:cs="Arial"/>
          <w:sz w:val="24"/>
          <w:szCs w:val="24"/>
        </w:rPr>
        <w:t xml:space="preserve"> natural gas prices at the Henry Hub, in nominal dollars, would average $6.01 in 2017, $6.12 in 201</w:t>
      </w:r>
      <w:r w:rsidR="00C45919" w:rsidRPr="00BA73CB">
        <w:rPr>
          <w:rFonts w:ascii="Arial" w:hAnsi="Arial" w:cs="Arial"/>
          <w:sz w:val="24"/>
          <w:szCs w:val="24"/>
        </w:rPr>
        <w:t xml:space="preserve">8, </w:t>
      </w:r>
      <w:r w:rsidR="00661034" w:rsidRPr="00BA73CB">
        <w:rPr>
          <w:rFonts w:ascii="Arial" w:hAnsi="Arial" w:cs="Arial"/>
          <w:sz w:val="24"/>
          <w:szCs w:val="24"/>
        </w:rPr>
        <w:t xml:space="preserve">$6.19 in 2019 and by 2027 natural gas prices would average $8.04. On the date Mr. </w:t>
      </w:r>
      <w:proofErr w:type="spellStart"/>
      <w:r w:rsidR="00661034" w:rsidRPr="00BA73CB">
        <w:rPr>
          <w:rFonts w:ascii="Arial" w:hAnsi="Arial" w:cs="Arial"/>
          <w:sz w:val="24"/>
          <w:szCs w:val="24"/>
        </w:rPr>
        <w:t>Bletzacker’s</w:t>
      </w:r>
      <w:proofErr w:type="spellEnd"/>
      <w:r w:rsidR="00661034" w:rsidRPr="00BA73CB">
        <w:rPr>
          <w:rFonts w:ascii="Arial" w:hAnsi="Arial" w:cs="Arial"/>
          <w:sz w:val="24"/>
          <w:szCs w:val="24"/>
        </w:rPr>
        <w:t xml:space="preserve"> testimony was filed, May 15, 2015, the NYMEX </w:t>
      </w:r>
      <w:r w:rsidR="00DE0ED8" w:rsidRPr="00BA73CB">
        <w:rPr>
          <w:rFonts w:ascii="Arial" w:hAnsi="Arial" w:cs="Arial"/>
          <w:sz w:val="24"/>
          <w:szCs w:val="24"/>
        </w:rPr>
        <w:t xml:space="preserve">showed a </w:t>
      </w:r>
      <w:r w:rsidR="00661034" w:rsidRPr="00BA73CB">
        <w:rPr>
          <w:rFonts w:ascii="Arial" w:hAnsi="Arial" w:cs="Arial"/>
          <w:sz w:val="24"/>
          <w:szCs w:val="24"/>
        </w:rPr>
        <w:t xml:space="preserve">natural gas </w:t>
      </w:r>
      <w:r w:rsidR="00EF04C3" w:rsidRPr="00BA73CB">
        <w:rPr>
          <w:rFonts w:ascii="Arial" w:hAnsi="Arial" w:cs="Arial"/>
          <w:sz w:val="24"/>
          <w:szCs w:val="24"/>
        </w:rPr>
        <w:t xml:space="preserve">average </w:t>
      </w:r>
      <w:r w:rsidR="00661034" w:rsidRPr="00BA73CB">
        <w:rPr>
          <w:rFonts w:ascii="Arial" w:hAnsi="Arial" w:cs="Arial"/>
          <w:sz w:val="24"/>
          <w:szCs w:val="24"/>
        </w:rPr>
        <w:t xml:space="preserve">closing price </w:t>
      </w:r>
      <w:r w:rsidR="00DE0ED8" w:rsidRPr="00BA73CB">
        <w:rPr>
          <w:rFonts w:ascii="Arial" w:hAnsi="Arial" w:cs="Arial"/>
          <w:sz w:val="24"/>
          <w:szCs w:val="24"/>
        </w:rPr>
        <w:t xml:space="preserve">of </w:t>
      </w:r>
      <w:r w:rsidR="00EF04C3" w:rsidRPr="00BA73CB">
        <w:rPr>
          <w:rFonts w:ascii="Arial" w:hAnsi="Arial" w:cs="Arial"/>
          <w:sz w:val="24"/>
          <w:szCs w:val="24"/>
        </w:rPr>
        <w:t xml:space="preserve">$3.37 </w:t>
      </w:r>
      <w:r w:rsidR="00661034" w:rsidRPr="00BA73CB">
        <w:rPr>
          <w:rFonts w:ascii="Arial" w:hAnsi="Arial" w:cs="Arial"/>
          <w:sz w:val="24"/>
          <w:szCs w:val="24"/>
        </w:rPr>
        <w:t xml:space="preserve">for </w:t>
      </w:r>
      <w:r w:rsidR="00EF04C3" w:rsidRPr="00BA73CB">
        <w:rPr>
          <w:rFonts w:ascii="Arial" w:hAnsi="Arial" w:cs="Arial"/>
          <w:sz w:val="24"/>
          <w:szCs w:val="24"/>
        </w:rPr>
        <w:t xml:space="preserve">2017, </w:t>
      </w:r>
      <w:r w:rsidR="00C45919" w:rsidRPr="00BA73CB">
        <w:rPr>
          <w:rFonts w:ascii="Arial" w:hAnsi="Arial" w:cs="Arial"/>
          <w:sz w:val="24"/>
          <w:szCs w:val="24"/>
        </w:rPr>
        <w:t>$3.46 for 2018,</w:t>
      </w:r>
      <w:r w:rsidR="00EF04C3" w:rsidRPr="00BA73CB">
        <w:rPr>
          <w:rFonts w:ascii="Arial" w:hAnsi="Arial" w:cs="Arial"/>
          <w:sz w:val="24"/>
          <w:szCs w:val="24"/>
        </w:rPr>
        <w:t xml:space="preserve"> </w:t>
      </w:r>
      <w:r w:rsidR="00EF04C3" w:rsidRPr="00BA73CB">
        <w:rPr>
          <w:rFonts w:ascii="Arial" w:hAnsi="Arial" w:cs="Arial"/>
          <w:sz w:val="24"/>
          <w:szCs w:val="24"/>
        </w:rPr>
        <w:lastRenderedPageBreak/>
        <w:t>$3.56 for 2019 and by 2027, the NYMEX price for natural gas averaged $4.655. As you can see</w:t>
      </w:r>
      <w:r w:rsidR="00DE0ED8" w:rsidRPr="00BA73CB">
        <w:rPr>
          <w:rFonts w:ascii="Arial" w:hAnsi="Arial" w:cs="Arial"/>
          <w:sz w:val="24"/>
          <w:szCs w:val="24"/>
        </w:rPr>
        <w:t xml:space="preserve"> in Figure </w:t>
      </w:r>
      <w:r w:rsidR="00C20EDC">
        <w:rPr>
          <w:rFonts w:ascii="Arial" w:hAnsi="Arial" w:cs="Arial"/>
          <w:sz w:val="24"/>
          <w:szCs w:val="24"/>
        </w:rPr>
        <w:t>3</w:t>
      </w:r>
      <w:r w:rsidR="00EF04C3" w:rsidRPr="00BA73CB">
        <w:rPr>
          <w:rFonts w:ascii="Arial" w:hAnsi="Arial" w:cs="Arial"/>
          <w:sz w:val="24"/>
          <w:szCs w:val="24"/>
        </w:rPr>
        <w:t xml:space="preserve">, </w:t>
      </w:r>
      <w:r w:rsidR="00DE0ED8" w:rsidRPr="00BA73CB">
        <w:rPr>
          <w:rFonts w:ascii="Arial" w:hAnsi="Arial" w:cs="Arial"/>
          <w:sz w:val="24"/>
          <w:szCs w:val="24"/>
        </w:rPr>
        <w:t xml:space="preserve">if we compare AEP’s Forecasted prices to the value </w:t>
      </w:r>
      <w:r w:rsidR="0006201E" w:rsidRPr="00BA73CB">
        <w:rPr>
          <w:rFonts w:ascii="Arial" w:hAnsi="Arial" w:cs="Arial"/>
          <w:sz w:val="24"/>
          <w:szCs w:val="24"/>
        </w:rPr>
        <w:t xml:space="preserve">assigned by </w:t>
      </w:r>
      <w:r w:rsidR="00DE0ED8" w:rsidRPr="00BA73CB">
        <w:rPr>
          <w:rFonts w:ascii="Arial" w:hAnsi="Arial" w:cs="Arial"/>
          <w:sz w:val="24"/>
          <w:szCs w:val="24"/>
        </w:rPr>
        <w:t xml:space="preserve">the market </w:t>
      </w:r>
      <w:r w:rsidR="0006201E" w:rsidRPr="00BA73CB">
        <w:rPr>
          <w:rFonts w:ascii="Arial" w:hAnsi="Arial" w:cs="Arial"/>
          <w:sz w:val="24"/>
          <w:szCs w:val="24"/>
        </w:rPr>
        <w:t xml:space="preserve">via the NYMEX </w:t>
      </w:r>
      <w:r w:rsidR="00DE0ED8" w:rsidRPr="00BA73CB">
        <w:rPr>
          <w:rFonts w:ascii="Arial" w:hAnsi="Arial" w:cs="Arial"/>
          <w:sz w:val="24"/>
          <w:szCs w:val="24"/>
        </w:rPr>
        <w:t xml:space="preserve">on May 15, 2015, you will notice that the market did a much better job </w:t>
      </w:r>
      <w:r w:rsidR="0006201E" w:rsidRPr="00BA73CB">
        <w:rPr>
          <w:rFonts w:ascii="Arial" w:hAnsi="Arial" w:cs="Arial"/>
          <w:sz w:val="24"/>
          <w:szCs w:val="24"/>
        </w:rPr>
        <w:t>in determining the future value of natural</w:t>
      </w:r>
      <w:r w:rsidR="00DE0ED8" w:rsidRPr="00BA73CB">
        <w:rPr>
          <w:rFonts w:ascii="Arial" w:hAnsi="Arial" w:cs="Arial"/>
          <w:sz w:val="24"/>
          <w:szCs w:val="24"/>
        </w:rPr>
        <w:t xml:space="preserve"> gas.</w:t>
      </w:r>
      <w:r w:rsidR="00C45919" w:rsidRPr="00BA73CB">
        <w:rPr>
          <w:rFonts w:ascii="Arial" w:hAnsi="Arial" w:cs="Arial"/>
          <w:sz w:val="24"/>
          <w:szCs w:val="24"/>
        </w:rPr>
        <w:t xml:space="preserve"> AEP’s forecast </w:t>
      </w:r>
      <w:r w:rsidR="008C08C4" w:rsidRPr="00BA73CB">
        <w:rPr>
          <w:rFonts w:ascii="Arial" w:hAnsi="Arial" w:cs="Arial"/>
          <w:sz w:val="24"/>
          <w:szCs w:val="24"/>
        </w:rPr>
        <w:t>ca</w:t>
      </w:r>
      <w:r w:rsidR="00C45919" w:rsidRPr="00BA73CB">
        <w:rPr>
          <w:rFonts w:ascii="Arial" w:hAnsi="Arial" w:cs="Arial"/>
          <w:sz w:val="24"/>
          <w:szCs w:val="24"/>
        </w:rPr>
        <w:t xml:space="preserve">me nowhere near </w:t>
      </w:r>
      <w:r w:rsidR="003A5CDC" w:rsidRPr="00BA73CB">
        <w:rPr>
          <w:rFonts w:ascii="Arial" w:hAnsi="Arial" w:cs="Arial"/>
          <w:sz w:val="24"/>
          <w:szCs w:val="24"/>
        </w:rPr>
        <w:t>the prices that</w:t>
      </w:r>
      <w:r w:rsidR="00C45919" w:rsidRPr="00BA73CB">
        <w:rPr>
          <w:rFonts w:ascii="Arial" w:hAnsi="Arial" w:cs="Arial"/>
          <w:sz w:val="24"/>
          <w:szCs w:val="24"/>
        </w:rPr>
        <w:t xml:space="preserve"> </w:t>
      </w:r>
      <w:proofErr w:type="gramStart"/>
      <w:r w:rsidR="00C45919" w:rsidRPr="00BA73CB">
        <w:rPr>
          <w:rFonts w:ascii="Arial" w:hAnsi="Arial" w:cs="Arial"/>
          <w:sz w:val="24"/>
          <w:szCs w:val="24"/>
        </w:rPr>
        <w:t xml:space="preserve">actually </w:t>
      </w:r>
      <w:r w:rsidR="003A5CDC" w:rsidRPr="00BA73CB">
        <w:rPr>
          <w:rFonts w:ascii="Arial" w:hAnsi="Arial" w:cs="Arial"/>
          <w:sz w:val="24"/>
          <w:szCs w:val="24"/>
        </w:rPr>
        <w:t>occurred</w:t>
      </w:r>
      <w:proofErr w:type="gramEnd"/>
      <w:r w:rsidR="003A5CDC" w:rsidRPr="00BA73CB">
        <w:rPr>
          <w:rFonts w:ascii="Arial" w:hAnsi="Arial" w:cs="Arial"/>
          <w:sz w:val="24"/>
          <w:szCs w:val="24"/>
        </w:rPr>
        <w:t xml:space="preserve"> </w:t>
      </w:r>
      <w:r w:rsidR="00C45919" w:rsidRPr="00BA73CB">
        <w:rPr>
          <w:rFonts w:ascii="Arial" w:hAnsi="Arial" w:cs="Arial"/>
          <w:sz w:val="24"/>
          <w:szCs w:val="24"/>
        </w:rPr>
        <w:t>and continues to be well out of step with reality.</w:t>
      </w:r>
      <w:r w:rsidR="0071269B" w:rsidRPr="00BA73CB">
        <w:rPr>
          <w:rFonts w:ascii="Arial" w:hAnsi="Arial" w:cs="Arial"/>
          <w:sz w:val="24"/>
          <w:szCs w:val="24"/>
        </w:rPr>
        <w:t xml:space="preserve"> In fact, AEP’s forecasting</w:t>
      </w:r>
      <w:r w:rsidR="00A356C8" w:rsidRPr="00BA73CB">
        <w:rPr>
          <w:rFonts w:ascii="Arial" w:hAnsi="Arial" w:cs="Arial"/>
          <w:sz w:val="24"/>
          <w:szCs w:val="24"/>
        </w:rPr>
        <w:t xml:space="preserve"> of commodity prices</w:t>
      </w:r>
      <w:r w:rsidR="0071269B" w:rsidRPr="00BA73CB">
        <w:rPr>
          <w:rFonts w:ascii="Arial" w:hAnsi="Arial" w:cs="Arial"/>
          <w:sz w:val="24"/>
          <w:szCs w:val="24"/>
        </w:rPr>
        <w:t xml:space="preserve"> was so</w:t>
      </w:r>
      <w:r w:rsidR="008C08C4" w:rsidRPr="00BA73CB">
        <w:rPr>
          <w:rFonts w:ascii="Arial" w:hAnsi="Arial" w:cs="Arial"/>
          <w:sz w:val="24"/>
          <w:szCs w:val="24"/>
        </w:rPr>
        <w:t xml:space="preserve"> far</w:t>
      </w:r>
      <w:r w:rsidR="0071269B" w:rsidRPr="00BA73CB">
        <w:rPr>
          <w:rFonts w:ascii="Arial" w:hAnsi="Arial" w:cs="Arial"/>
          <w:sz w:val="24"/>
          <w:szCs w:val="24"/>
        </w:rPr>
        <w:t xml:space="preserve"> out of touch with reality that approximately 18 months after Mr. </w:t>
      </w:r>
      <w:proofErr w:type="spellStart"/>
      <w:r w:rsidR="0071269B" w:rsidRPr="00BA73CB">
        <w:rPr>
          <w:rFonts w:ascii="Arial" w:hAnsi="Arial" w:cs="Arial"/>
          <w:sz w:val="24"/>
          <w:szCs w:val="24"/>
        </w:rPr>
        <w:t>Bletzacker’s</w:t>
      </w:r>
      <w:proofErr w:type="spellEnd"/>
      <w:r w:rsidR="0071269B" w:rsidRPr="00BA73CB">
        <w:rPr>
          <w:rFonts w:ascii="Arial" w:hAnsi="Arial" w:cs="Arial"/>
          <w:sz w:val="24"/>
          <w:szCs w:val="24"/>
        </w:rPr>
        <w:t xml:space="preserve"> forecasting testimony, AEP</w:t>
      </w:r>
      <w:r w:rsidR="00B01A53" w:rsidRPr="00BA73CB">
        <w:rPr>
          <w:rFonts w:ascii="Arial" w:hAnsi="Arial" w:cs="Arial"/>
          <w:sz w:val="24"/>
          <w:szCs w:val="24"/>
        </w:rPr>
        <w:t xml:space="preserve"> </w:t>
      </w:r>
      <w:r w:rsidR="00143346">
        <w:rPr>
          <w:rFonts w:ascii="Arial" w:hAnsi="Arial" w:cs="Arial"/>
          <w:sz w:val="24"/>
          <w:szCs w:val="24"/>
        </w:rPr>
        <w:t>took an economic impairment of</w:t>
      </w:r>
      <w:r w:rsidR="00B01A53" w:rsidRPr="00BA73CB">
        <w:rPr>
          <w:rFonts w:ascii="Arial" w:hAnsi="Arial" w:cs="Arial"/>
          <w:sz w:val="24"/>
          <w:szCs w:val="24"/>
        </w:rPr>
        <w:t xml:space="preserve"> $</w:t>
      </w:r>
      <w:r w:rsidR="00BA58DC">
        <w:rPr>
          <w:rFonts w:ascii="Arial" w:hAnsi="Arial" w:cs="Arial"/>
          <w:sz w:val="24"/>
          <w:szCs w:val="24"/>
        </w:rPr>
        <w:t>2.3 Billion</w:t>
      </w:r>
      <w:r w:rsidR="00B01A53" w:rsidRPr="00BA73CB">
        <w:rPr>
          <w:rFonts w:ascii="Arial" w:hAnsi="Arial" w:cs="Arial"/>
          <w:sz w:val="24"/>
          <w:szCs w:val="24"/>
        </w:rPr>
        <w:t xml:space="preserve">, which according to AEP’s news release, “…largely relates to AEP’s ownership of 2,684 megawatts of competitive generation in Ohio, including the Cardinal, </w:t>
      </w:r>
      <w:proofErr w:type="spellStart"/>
      <w:r w:rsidR="00B01A53" w:rsidRPr="00BA73CB">
        <w:rPr>
          <w:rFonts w:ascii="Arial" w:hAnsi="Arial" w:cs="Arial"/>
          <w:sz w:val="24"/>
          <w:szCs w:val="24"/>
        </w:rPr>
        <w:t>Conesville</w:t>
      </w:r>
      <w:proofErr w:type="spellEnd"/>
      <w:r w:rsidR="00B01A53" w:rsidRPr="00BA73CB">
        <w:rPr>
          <w:rFonts w:ascii="Arial" w:hAnsi="Arial" w:cs="Arial"/>
          <w:sz w:val="24"/>
          <w:szCs w:val="24"/>
        </w:rPr>
        <w:t xml:space="preserve">, Stuart and Zimmer plants.” </w:t>
      </w:r>
      <w:r w:rsidR="00B01A53" w:rsidRPr="00BA58DC">
        <w:rPr>
          <w:rFonts w:ascii="Arial" w:hAnsi="Arial" w:cs="Arial"/>
          <w:sz w:val="24"/>
          <w:szCs w:val="24"/>
        </w:rPr>
        <w:t>(from AEP’s Securities and Exchange Commission Form 8-K dated November 1, 2016</w:t>
      </w:r>
      <w:r w:rsidR="00EC5AE9" w:rsidRPr="00BA58DC">
        <w:rPr>
          <w:rFonts w:ascii="Arial" w:hAnsi="Arial" w:cs="Arial"/>
          <w:sz w:val="24"/>
          <w:szCs w:val="24"/>
        </w:rPr>
        <w:t>)</w:t>
      </w:r>
      <w:r w:rsidR="00143346" w:rsidRPr="00BA58DC">
        <w:rPr>
          <w:rFonts w:ascii="Arial" w:hAnsi="Arial" w:cs="Arial"/>
          <w:sz w:val="24"/>
          <w:szCs w:val="24"/>
        </w:rPr>
        <w:t>.</w:t>
      </w:r>
      <w:r w:rsidR="00F05440">
        <w:rPr>
          <w:rStyle w:val="FootnoteReference"/>
          <w:rFonts w:ascii="Arial" w:hAnsi="Arial" w:cs="Arial"/>
          <w:sz w:val="24"/>
          <w:szCs w:val="24"/>
        </w:rPr>
        <w:footnoteReference w:id="2"/>
      </w:r>
    </w:p>
    <w:p w:rsidR="001900D9" w:rsidRDefault="00DE0ED8" w:rsidP="0059253A">
      <w:pPr>
        <w:spacing w:line="480" w:lineRule="auto"/>
        <w:ind w:left="720"/>
        <w:jc w:val="both"/>
        <w:rPr>
          <w:rFonts w:ascii="Arial" w:hAnsi="Arial" w:cs="Arial"/>
          <w:sz w:val="24"/>
          <w:szCs w:val="24"/>
        </w:rPr>
      </w:pPr>
      <w:r w:rsidRPr="00BA73CB">
        <w:rPr>
          <w:rFonts w:ascii="Arial" w:hAnsi="Arial" w:cs="Arial"/>
          <w:sz w:val="24"/>
          <w:szCs w:val="24"/>
        </w:rPr>
        <w:t xml:space="preserve">Figure </w:t>
      </w:r>
      <w:r w:rsidR="00C20EDC">
        <w:rPr>
          <w:rFonts w:ascii="Arial" w:hAnsi="Arial" w:cs="Arial"/>
          <w:sz w:val="24"/>
          <w:szCs w:val="24"/>
        </w:rPr>
        <w:t>3</w:t>
      </w:r>
      <w:r w:rsidRPr="00BA73CB">
        <w:rPr>
          <w:rFonts w:ascii="Arial" w:hAnsi="Arial" w:cs="Arial"/>
          <w:sz w:val="24"/>
          <w:szCs w:val="24"/>
        </w:rPr>
        <w:t xml:space="preserve"> shows AEP’s forecasted natural gas prices from 2015, along with NYMEX closing natural gas prices from May 15, 2015, compared to the actual NYMEX settlements</w:t>
      </w:r>
      <w:r w:rsidR="006D2C89" w:rsidRPr="00BA73CB">
        <w:rPr>
          <w:rFonts w:ascii="Arial" w:hAnsi="Arial" w:cs="Arial"/>
          <w:sz w:val="24"/>
          <w:szCs w:val="24"/>
        </w:rPr>
        <w:t xml:space="preserve"> and the future NYMEX curve as </w:t>
      </w:r>
      <w:r w:rsidR="006D2C89" w:rsidRPr="001A60B1">
        <w:rPr>
          <w:rFonts w:ascii="Arial" w:hAnsi="Arial" w:cs="Arial"/>
          <w:sz w:val="24"/>
          <w:szCs w:val="24"/>
        </w:rPr>
        <w:t xml:space="preserve">of </w:t>
      </w:r>
      <w:r w:rsidR="006D2C89" w:rsidRPr="00BA58DC">
        <w:rPr>
          <w:rFonts w:ascii="Arial" w:hAnsi="Arial" w:cs="Arial"/>
          <w:sz w:val="24"/>
          <w:szCs w:val="24"/>
        </w:rPr>
        <w:t>December 4</w:t>
      </w:r>
      <w:r w:rsidR="006D2C89" w:rsidRPr="00BA58DC">
        <w:rPr>
          <w:rFonts w:ascii="Arial" w:hAnsi="Arial" w:cs="Arial"/>
          <w:sz w:val="24"/>
          <w:szCs w:val="24"/>
          <w:vertAlign w:val="superscript"/>
        </w:rPr>
        <w:t>th</w:t>
      </w:r>
      <w:r w:rsidR="006D2C89" w:rsidRPr="00BA58DC">
        <w:rPr>
          <w:rFonts w:ascii="Arial" w:hAnsi="Arial" w:cs="Arial"/>
          <w:sz w:val="24"/>
          <w:szCs w:val="24"/>
        </w:rPr>
        <w:t xml:space="preserve">, </w:t>
      </w:r>
      <w:r w:rsidR="006D2C89" w:rsidRPr="00BA73CB">
        <w:rPr>
          <w:rFonts w:ascii="Arial" w:hAnsi="Arial" w:cs="Arial"/>
          <w:sz w:val="24"/>
          <w:szCs w:val="24"/>
        </w:rPr>
        <w:t>2018.</w:t>
      </w:r>
      <w:r w:rsidRPr="00BA73CB">
        <w:rPr>
          <w:rFonts w:ascii="Arial" w:hAnsi="Arial" w:cs="Arial"/>
          <w:sz w:val="24"/>
          <w:szCs w:val="24"/>
        </w:rPr>
        <w:t xml:space="preserve">   </w:t>
      </w:r>
      <w:r w:rsidR="00EF04C3" w:rsidRPr="00BA73CB">
        <w:rPr>
          <w:rFonts w:ascii="Arial" w:hAnsi="Arial" w:cs="Arial"/>
          <w:sz w:val="24"/>
          <w:szCs w:val="24"/>
        </w:rPr>
        <w:t xml:space="preserve">   </w:t>
      </w:r>
      <w:r w:rsidR="00661034" w:rsidRPr="00BA73CB">
        <w:rPr>
          <w:rFonts w:ascii="Arial" w:hAnsi="Arial" w:cs="Arial"/>
          <w:sz w:val="24"/>
          <w:szCs w:val="24"/>
        </w:rPr>
        <w:t xml:space="preserve"> </w:t>
      </w:r>
    </w:p>
    <w:p w:rsidR="00533295" w:rsidRDefault="00533295" w:rsidP="00BA58DC">
      <w:pPr>
        <w:spacing w:line="480" w:lineRule="auto"/>
        <w:ind w:left="720"/>
        <w:jc w:val="center"/>
        <w:rPr>
          <w:rFonts w:ascii="Arial" w:hAnsi="Arial" w:cs="Arial"/>
          <w:sz w:val="24"/>
          <w:szCs w:val="24"/>
        </w:rPr>
      </w:pPr>
    </w:p>
    <w:p w:rsidR="00533295" w:rsidRDefault="00533295" w:rsidP="00BA58DC">
      <w:pPr>
        <w:spacing w:line="480" w:lineRule="auto"/>
        <w:ind w:left="720"/>
        <w:jc w:val="center"/>
        <w:rPr>
          <w:rFonts w:ascii="Arial" w:hAnsi="Arial" w:cs="Arial"/>
          <w:sz w:val="24"/>
          <w:szCs w:val="24"/>
        </w:rPr>
      </w:pPr>
    </w:p>
    <w:p w:rsidR="00533295" w:rsidRDefault="00533295" w:rsidP="00BA58DC">
      <w:pPr>
        <w:spacing w:line="480" w:lineRule="auto"/>
        <w:ind w:left="720"/>
        <w:jc w:val="center"/>
        <w:rPr>
          <w:rFonts w:ascii="Arial" w:hAnsi="Arial" w:cs="Arial"/>
          <w:sz w:val="24"/>
          <w:szCs w:val="24"/>
        </w:rPr>
      </w:pPr>
    </w:p>
    <w:p w:rsidR="00533295" w:rsidRDefault="00533295" w:rsidP="00BA58DC">
      <w:pPr>
        <w:spacing w:line="480" w:lineRule="auto"/>
        <w:ind w:left="720"/>
        <w:jc w:val="center"/>
        <w:rPr>
          <w:rFonts w:ascii="Arial" w:hAnsi="Arial" w:cs="Arial"/>
          <w:sz w:val="24"/>
          <w:szCs w:val="24"/>
        </w:rPr>
      </w:pPr>
    </w:p>
    <w:p w:rsidR="00533295" w:rsidRDefault="00533295" w:rsidP="00BA58DC">
      <w:pPr>
        <w:spacing w:line="480" w:lineRule="auto"/>
        <w:ind w:left="720"/>
        <w:jc w:val="center"/>
        <w:rPr>
          <w:rFonts w:ascii="Arial" w:hAnsi="Arial" w:cs="Arial"/>
          <w:sz w:val="24"/>
          <w:szCs w:val="24"/>
        </w:rPr>
      </w:pPr>
    </w:p>
    <w:p w:rsidR="00533295" w:rsidRDefault="00533295" w:rsidP="00BA58DC">
      <w:pPr>
        <w:spacing w:line="480" w:lineRule="auto"/>
        <w:ind w:left="720"/>
        <w:jc w:val="center"/>
        <w:rPr>
          <w:rFonts w:ascii="Arial" w:hAnsi="Arial" w:cs="Arial"/>
          <w:sz w:val="24"/>
          <w:szCs w:val="24"/>
        </w:rPr>
      </w:pPr>
    </w:p>
    <w:p w:rsidR="001201A7" w:rsidRPr="00BA73CB" w:rsidRDefault="00C20EDC" w:rsidP="00BA58DC">
      <w:pPr>
        <w:spacing w:line="480" w:lineRule="auto"/>
        <w:ind w:left="720"/>
        <w:jc w:val="center"/>
        <w:rPr>
          <w:rFonts w:ascii="Arial" w:hAnsi="Arial" w:cs="Arial"/>
          <w:sz w:val="24"/>
          <w:szCs w:val="24"/>
        </w:rPr>
      </w:pPr>
      <w:r>
        <w:rPr>
          <w:rFonts w:ascii="Arial" w:hAnsi="Arial" w:cs="Arial"/>
          <w:sz w:val="24"/>
          <w:szCs w:val="24"/>
        </w:rPr>
        <w:t>Figure 3</w:t>
      </w:r>
    </w:p>
    <w:p w:rsidR="004651F3" w:rsidRPr="00BA73CB" w:rsidRDefault="00C8486B" w:rsidP="00BA58DC">
      <w:pPr>
        <w:spacing w:line="480" w:lineRule="auto"/>
        <w:jc w:val="center"/>
        <w:rPr>
          <w:rFonts w:ascii="Arial" w:hAnsi="Arial" w:cs="Arial"/>
          <w:sz w:val="24"/>
          <w:szCs w:val="24"/>
        </w:rPr>
      </w:pPr>
      <w:r w:rsidRPr="00BA73CB">
        <w:rPr>
          <w:rFonts w:ascii="Arial" w:hAnsi="Arial" w:cs="Arial"/>
          <w:noProof/>
          <w:sz w:val="24"/>
          <w:szCs w:val="24"/>
        </w:rPr>
        <w:drawing>
          <wp:inline distT="0" distB="0" distL="0" distR="0" wp14:anchorId="057794AF" wp14:editId="3C298CAF">
            <wp:extent cx="462915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9150" cy="2762250"/>
                    </a:xfrm>
                    <a:prstGeom prst="rect">
                      <a:avLst/>
                    </a:prstGeom>
                  </pic:spPr>
                </pic:pic>
              </a:graphicData>
            </a:graphic>
          </wp:inline>
        </w:drawing>
      </w:r>
    </w:p>
    <w:p w:rsidR="004376EA" w:rsidRDefault="00BA58DC" w:rsidP="0059253A">
      <w:pPr>
        <w:spacing w:line="480" w:lineRule="auto"/>
        <w:ind w:left="720"/>
        <w:rPr>
          <w:rFonts w:ascii="Arial" w:hAnsi="Arial" w:cs="Arial"/>
          <w:sz w:val="24"/>
          <w:szCs w:val="24"/>
        </w:rPr>
      </w:pPr>
      <w:r>
        <w:rPr>
          <w:rFonts w:ascii="Arial" w:hAnsi="Arial" w:cs="Arial"/>
          <w:sz w:val="24"/>
          <w:szCs w:val="24"/>
        </w:rPr>
        <w:t>Moreover, e</w:t>
      </w:r>
      <w:r w:rsidR="00606312">
        <w:rPr>
          <w:rFonts w:ascii="Arial" w:hAnsi="Arial" w:cs="Arial"/>
          <w:sz w:val="24"/>
          <w:szCs w:val="24"/>
        </w:rPr>
        <w:t xml:space="preserve">ach </w:t>
      </w:r>
      <w:r>
        <w:rPr>
          <w:rFonts w:ascii="Arial" w:hAnsi="Arial" w:cs="Arial"/>
          <w:sz w:val="24"/>
          <w:szCs w:val="24"/>
        </w:rPr>
        <w:t xml:space="preserve">of AEP’s fundamental forecasts since 2008 </w:t>
      </w:r>
      <w:r w:rsidR="00606312">
        <w:rPr>
          <w:rFonts w:ascii="Arial" w:hAnsi="Arial" w:cs="Arial"/>
          <w:sz w:val="24"/>
          <w:szCs w:val="24"/>
        </w:rPr>
        <w:t>has missed the mark by a wide margin</w:t>
      </w:r>
      <w:r w:rsidR="00606312" w:rsidRPr="0076211A">
        <w:rPr>
          <w:rFonts w:ascii="Arial" w:hAnsi="Arial" w:cs="Arial"/>
          <w:sz w:val="24"/>
          <w:szCs w:val="24"/>
        </w:rPr>
        <w:t>.</w:t>
      </w:r>
      <w:r w:rsidR="0076211A" w:rsidRPr="0076211A">
        <w:rPr>
          <w:rFonts w:ascii="Arial" w:hAnsi="Arial" w:cs="Arial"/>
          <w:sz w:val="24"/>
          <w:szCs w:val="24"/>
        </w:rPr>
        <w:t xml:space="preserve"> I </w:t>
      </w:r>
      <w:r w:rsidR="001900D9">
        <w:rPr>
          <w:rFonts w:ascii="Arial" w:hAnsi="Arial" w:cs="Arial"/>
          <w:sz w:val="24"/>
          <w:szCs w:val="24"/>
        </w:rPr>
        <w:t>reviewed</w:t>
      </w:r>
      <w:r w:rsidR="0076211A" w:rsidRPr="0076211A">
        <w:rPr>
          <w:rFonts w:ascii="Arial" w:hAnsi="Arial" w:cs="Arial"/>
          <w:sz w:val="24"/>
          <w:szCs w:val="24"/>
        </w:rPr>
        <w:t xml:space="preserve"> AEP Price Exhibits going back to 2008 and as </w:t>
      </w:r>
      <w:r w:rsidR="001900D9">
        <w:rPr>
          <w:rFonts w:ascii="Arial" w:hAnsi="Arial" w:cs="Arial"/>
          <w:sz w:val="24"/>
          <w:szCs w:val="24"/>
        </w:rPr>
        <w:t>you can tell from Figure 4</w:t>
      </w:r>
      <w:r w:rsidR="0076211A" w:rsidRPr="0076211A">
        <w:rPr>
          <w:rFonts w:ascii="Arial" w:hAnsi="Arial" w:cs="Arial"/>
          <w:sz w:val="24"/>
          <w:szCs w:val="24"/>
        </w:rPr>
        <w:t>, AEP always manages to forecast very high Henry Hub gas prices. Figure 4 shows AEP</w:t>
      </w:r>
      <w:r w:rsidR="001900D9">
        <w:rPr>
          <w:rFonts w:ascii="Arial" w:hAnsi="Arial" w:cs="Arial"/>
          <w:sz w:val="24"/>
          <w:szCs w:val="24"/>
        </w:rPr>
        <w:t xml:space="preserve"> forecasts from</w:t>
      </w:r>
      <w:r w:rsidR="0076211A">
        <w:rPr>
          <w:rFonts w:ascii="Arial" w:hAnsi="Arial" w:cs="Arial"/>
          <w:sz w:val="24"/>
          <w:szCs w:val="24"/>
        </w:rPr>
        <w:t xml:space="preserve"> 2008 through 2016</w:t>
      </w:r>
      <w:r w:rsidR="0076211A" w:rsidRPr="0076211A">
        <w:rPr>
          <w:rFonts w:ascii="Arial" w:hAnsi="Arial" w:cs="Arial"/>
          <w:sz w:val="24"/>
          <w:szCs w:val="24"/>
        </w:rPr>
        <w:t xml:space="preserve">, compared to where prices </w:t>
      </w:r>
      <w:proofErr w:type="gramStart"/>
      <w:r w:rsidR="0076211A" w:rsidRPr="0076211A">
        <w:rPr>
          <w:rFonts w:ascii="Arial" w:hAnsi="Arial" w:cs="Arial"/>
          <w:sz w:val="24"/>
          <w:szCs w:val="24"/>
        </w:rPr>
        <w:t>actually settled</w:t>
      </w:r>
      <w:proofErr w:type="gramEnd"/>
      <w:r w:rsidR="0076211A" w:rsidRPr="0076211A">
        <w:rPr>
          <w:rFonts w:ascii="Arial" w:hAnsi="Arial" w:cs="Arial"/>
          <w:sz w:val="24"/>
          <w:szCs w:val="24"/>
        </w:rPr>
        <w:t xml:space="preserve"> (thick black line) and the NYMEX settlement from December 4</w:t>
      </w:r>
      <w:r w:rsidR="0076211A" w:rsidRPr="0076211A">
        <w:rPr>
          <w:rFonts w:ascii="Arial" w:hAnsi="Arial" w:cs="Arial"/>
          <w:sz w:val="24"/>
          <w:szCs w:val="24"/>
          <w:vertAlign w:val="superscript"/>
        </w:rPr>
        <w:t>th</w:t>
      </w:r>
      <w:r w:rsidR="0076211A">
        <w:rPr>
          <w:rFonts w:ascii="Arial" w:hAnsi="Arial" w:cs="Arial"/>
          <w:sz w:val="24"/>
          <w:szCs w:val="24"/>
        </w:rPr>
        <w:t xml:space="preserve"> (thick</w:t>
      </w:r>
      <w:r w:rsidR="0076211A" w:rsidRPr="0076211A">
        <w:rPr>
          <w:rFonts w:ascii="Arial" w:hAnsi="Arial" w:cs="Arial"/>
          <w:sz w:val="24"/>
          <w:szCs w:val="24"/>
        </w:rPr>
        <w:t xml:space="preserve"> red line). In three of the years below, 2012, 2015, &amp; 2016, AEP forecasted Henry Hub prices to 2046 but it shows up as one line since the prices are virtually identical over the </w:t>
      </w:r>
      <w:proofErr w:type="gramStart"/>
      <w:r w:rsidR="0076211A" w:rsidRPr="0076211A">
        <w:rPr>
          <w:rFonts w:ascii="Arial" w:hAnsi="Arial" w:cs="Arial"/>
          <w:sz w:val="24"/>
          <w:szCs w:val="24"/>
        </w:rPr>
        <w:t>four year</w:t>
      </w:r>
      <w:proofErr w:type="gramEnd"/>
      <w:r w:rsidR="0076211A" w:rsidRPr="0076211A">
        <w:rPr>
          <w:rFonts w:ascii="Arial" w:hAnsi="Arial" w:cs="Arial"/>
          <w:sz w:val="24"/>
          <w:szCs w:val="24"/>
        </w:rPr>
        <w:t xml:space="preserve"> stretch. But, the big take away for me is that AEP can’t seem to accurately forecast 2 years out and becomes increasingly bad at forecasting the further out in time they project prices.  </w:t>
      </w:r>
    </w:p>
    <w:p w:rsidR="00533295" w:rsidRDefault="00533295" w:rsidP="00DF3868">
      <w:pPr>
        <w:spacing w:line="480" w:lineRule="auto"/>
        <w:ind w:left="720"/>
        <w:jc w:val="center"/>
        <w:rPr>
          <w:rFonts w:ascii="Arial" w:hAnsi="Arial" w:cs="Arial"/>
          <w:sz w:val="24"/>
          <w:szCs w:val="24"/>
        </w:rPr>
      </w:pPr>
    </w:p>
    <w:p w:rsidR="00533295" w:rsidRDefault="00533295" w:rsidP="00DF3868">
      <w:pPr>
        <w:spacing w:line="480" w:lineRule="auto"/>
        <w:ind w:left="720"/>
        <w:jc w:val="center"/>
        <w:rPr>
          <w:rFonts w:ascii="Arial" w:hAnsi="Arial" w:cs="Arial"/>
          <w:sz w:val="24"/>
          <w:szCs w:val="24"/>
        </w:rPr>
      </w:pPr>
    </w:p>
    <w:p w:rsidR="00533295" w:rsidRDefault="00533295" w:rsidP="00DF3868">
      <w:pPr>
        <w:spacing w:line="480" w:lineRule="auto"/>
        <w:ind w:left="720"/>
        <w:jc w:val="center"/>
        <w:rPr>
          <w:rFonts w:ascii="Arial" w:hAnsi="Arial" w:cs="Arial"/>
          <w:sz w:val="24"/>
          <w:szCs w:val="24"/>
        </w:rPr>
      </w:pPr>
    </w:p>
    <w:p w:rsidR="00533295" w:rsidRDefault="00533295" w:rsidP="00DF3868">
      <w:pPr>
        <w:spacing w:line="480" w:lineRule="auto"/>
        <w:ind w:left="720"/>
        <w:jc w:val="center"/>
        <w:rPr>
          <w:rFonts w:ascii="Arial" w:hAnsi="Arial" w:cs="Arial"/>
          <w:sz w:val="24"/>
          <w:szCs w:val="24"/>
        </w:rPr>
      </w:pPr>
    </w:p>
    <w:p w:rsidR="00DF3868" w:rsidRPr="004376EA" w:rsidRDefault="00DF3868" w:rsidP="00DF3868">
      <w:pPr>
        <w:spacing w:line="480" w:lineRule="auto"/>
        <w:ind w:left="720"/>
        <w:jc w:val="center"/>
        <w:rPr>
          <w:rFonts w:ascii="Arial" w:hAnsi="Arial" w:cs="Arial"/>
          <w:sz w:val="24"/>
          <w:szCs w:val="24"/>
        </w:rPr>
      </w:pPr>
      <w:r w:rsidRPr="004376EA">
        <w:rPr>
          <w:rFonts w:ascii="Arial" w:hAnsi="Arial" w:cs="Arial"/>
          <w:sz w:val="24"/>
          <w:szCs w:val="24"/>
        </w:rPr>
        <w:t>Figure 4</w:t>
      </w:r>
    </w:p>
    <w:p w:rsidR="009E08FF" w:rsidRDefault="009E08FF" w:rsidP="00BA58DC">
      <w:pPr>
        <w:spacing w:line="480" w:lineRule="auto"/>
        <w:ind w:left="720"/>
        <w:rPr>
          <w:rFonts w:ascii="Arial" w:hAnsi="Arial" w:cs="Arial"/>
          <w:b/>
          <w:sz w:val="24"/>
          <w:szCs w:val="24"/>
        </w:rPr>
      </w:pPr>
      <w:r>
        <w:rPr>
          <w:noProof/>
        </w:rPr>
        <w:drawing>
          <wp:inline distT="0" distB="0" distL="0" distR="0" wp14:anchorId="0B54F87D" wp14:editId="47AE504B">
            <wp:extent cx="459105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1050" cy="2762250"/>
                    </a:xfrm>
                    <a:prstGeom prst="rect">
                      <a:avLst/>
                    </a:prstGeom>
                  </pic:spPr>
                </pic:pic>
              </a:graphicData>
            </a:graphic>
          </wp:inline>
        </w:drawing>
      </w:r>
    </w:p>
    <w:p w:rsidR="00737F63" w:rsidRPr="00143346" w:rsidRDefault="00737F63" w:rsidP="009E08FF">
      <w:pPr>
        <w:spacing w:line="480" w:lineRule="auto"/>
        <w:ind w:left="720" w:hanging="720"/>
        <w:rPr>
          <w:rFonts w:ascii="Arial" w:hAnsi="Arial" w:cs="Arial"/>
          <w:b/>
          <w:sz w:val="24"/>
          <w:szCs w:val="24"/>
        </w:rPr>
      </w:pPr>
      <w:r w:rsidRPr="00143346">
        <w:rPr>
          <w:rFonts w:ascii="Arial" w:hAnsi="Arial" w:cs="Arial"/>
          <w:b/>
          <w:sz w:val="24"/>
          <w:szCs w:val="24"/>
        </w:rPr>
        <w:t>Q.</w:t>
      </w:r>
      <w:r w:rsidRPr="00143346">
        <w:rPr>
          <w:rFonts w:ascii="Arial" w:hAnsi="Arial" w:cs="Arial"/>
          <w:b/>
          <w:sz w:val="24"/>
          <w:szCs w:val="24"/>
        </w:rPr>
        <w:tab/>
        <w:t xml:space="preserve">Do you feel that NYMEX adequately represent market </w:t>
      </w:r>
      <w:r w:rsidR="006F448A" w:rsidRPr="00143346">
        <w:rPr>
          <w:rFonts w:ascii="Arial" w:hAnsi="Arial" w:cs="Arial"/>
          <w:b/>
          <w:sz w:val="24"/>
          <w:szCs w:val="24"/>
        </w:rPr>
        <w:t xml:space="preserve">natural gas </w:t>
      </w:r>
      <w:r w:rsidRPr="00143346">
        <w:rPr>
          <w:rFonts w:ascii="Arial" w:hAnsi="Arial" w:cs="Arial"/>
          <w:b/>
          <w:sz w:val="24"/>
          <w:szCs w:val="24"/>
        </w:rPr>
        <w:t>prices into the late 2020s?</w:t>
      </w:r>
    </w:p>
    <w:p w:rsidR="009E08FF" w:rsidRDefault="00737F63"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t xml:space="preserve"> </w:t>
      </w:r>
      <w:r w:rsidR="00704187" w:rsidRPr="00BA73CB">
        <w:rPr>
          <w:rFonts w:ascii="Arial" w:hAnsi="Arial" w:cs="Arial"/>
          <w:sz w:val="24"/>
          <w:szCs w:val="24"/>
        </w:rPr>
        <w:t>Yes.</w:t>
      </w:r>
      <w:r w:rsidR="008C08C4" w:rsidRPr="00BA73CB">
        <w:rPr>
          <w:rFonts w:ascii="Arial" w:hAnsi="Arial" w:cs="Arial"/>
          <w:sz w:val="24"/>
          <w:szCs w:val="24"/>
        </w:rPr>
        <w:t xml:space="preserve"> The forward natural gas markets, that inclu</w:t>
      </w:r>
      <w:r w:rsidR="00A356C8" w:rsidRPr="00BA73CB">
        <w:rPr>
          <w:rFonts w:ascii="Arial" w:hAnsi="Arial" w:cs="Arial"/>
          <w:sz w:val="24"/>
          <w:szCs w:val="24"/>
        </w:rPr>
        <w:t>de the NYMEX, Interconti</w:t>
      </w:r>
      <w:r w:rsidR="008C08C4" w:rsidRPr="00BA73CB">
        <w:rPr>
          <w:rFonts w:ascii="Arial" w:hAnsi="Arial" w:cs="Arial"/>
          <w:sz w:val="24"/>
          <w:szCs w:val="24"/>
        </w:rPr>
        <w:t>n</w:t>
      </w:r>
      <w:r w:rsidR="00A356C8" w:rsidRPr="00BA73CB">
        <w:rPr>
          <w:rFonts w:ascii="Arial" w:hAnsi="Arial" w:cs="Arial"/>
          <w:sz w:val="24"/>
          <w:szCs w:val="24"/>
        </w:rPr>
        <w:t>ent</w:t>
      </w:r>
      <w:r w:rsidR="008C08C4" w:rsidRPr="00BA73CB">
        <w:rPr>
          <w:rFonts w:ascii="Arial" w:hAnsi="Arial" w:cs="Arial"/>
          <w:sz w:val="24"/>
          <w:szCs w:val="24"/>
        </w:rPr>
        <w:t>al Exchange (ICE), the broker market and various others brings together short and long</w:t>
      </w:r>
      <w:r w:rsidR="00317263">
        <w:rPr>
          <w:rFonts w:ascii="Arial" w:hAnsi="Arial" w:cs="Arial"/>
          <w:sz w:val="24"/>
          <w:szCs w:val="24"/>
        </w:rPr>
        <w:t>-</w:t>
      </w:r>
      <w:r w:rsidR="008C08C4" w:rsidRPr="00BA73CB">
        <w:rPr>
          <w:rFonts w:ascii="Arial" w:hAnsi="Arial" w:cs="Arial"/>
          <w:sz w:val="24"/>
          <w:szCs w:val="24"/>
        </w:rPr>
        <w:t>term buyer</w:t>
      </w:r>
      <w:r w:rsidR="009F3233" w:rsidRPr="00BA73CB">
        <w:rPr>
          <w:rFonts w:ascii="Arial" w:hAnsi="Arial" w:cs="Arial"/>
          <w:sz w:val="24"/>
          <w:szCs w:val="24"/>
        </w:rPr>
        <w:t xml:space="preserve">, speculators, and investors who help determine market sentiment and develop market pricing. These daily interactions are captured by the NYMEX/CME and vigorously regulated by the Commodity Futures Trading Commission (CFTC). </w:t>
      </w:r>
      <w:r w:rsidR="00B050DF" w:rsidRPr="00BA73CB">
        <w:rPr>
          <w:rFonts w:ascii="Arial" w:hAnsi="Arial" w:cs="Arial"/>
          <w:sz w:val="24"/>
          <w:szCs w:val="24"/>
        </w:rPr>
        <w:t xml:space="preserve">The NYMEX merged with the Chicago Mercantile Exchange (CME) Group in 2008, and the CME is now responsible for all the NYMEX products that include futures, options, and cleared over the counter financial instruments. One of the CME’s important responsibilities </w:t>
      </w:r>
      <w:r w:rsidR="00FD337E" w:rsidRPr="00BA73CB">
        <w:rPr>
          <w:rFonts w:ascii="Arial" w:hAnsi="Arial" w:cs="Arial"/>
          <w:sz w:val="24"/>
          <w:szCs w:val="24"/>
        </w:rPr>
        <w:t xml:space="preserve">is </w:t>
      </w:r>
      <w:r w:rsidR="00B050DF" w:rsidRPr="00BA73CB">
        <w:rPr>
          <w:rFonts w:ascii="Arial" w:hAnsi="Arial" w:cs="Arial"/>
          <w:sz w:val="24"/>
          <w:szCs w:val="24"/>
        </w:rPr>
        <w:t>to</w:t>
      </w:r>
      <w:r w:rsidR="00FD337E" w:rsidRPr="00BA73CB">
        <w:rPr>
          <w:rFonts w:ascii="Arial" w:hAnsi="Arial" w:cs="Arial"/>
          <w:sz w:val="24"/>
          <w:szCs w:val="24"/>
        </w:rPr>
        <w:t xml:space="preserve"> determine the</w:t>
      </w:r>
      <w:r w:rsidR="00B050DF" w:rsidRPr="00BA73CB">
        <w:rPr>
          <w:rFonts w:ascii="Arial" w:hAnsi="Arial" w:cs="Arial"/>
          <w:sz w:val="24"/>
          <w:szCs w:val="24"/>
        </w:rPr>
        <w:t xml:space="preserve"> daily closing </w:t>
      </w:r>
      <w:r w:rsidR="00B050DF" w:rsidRPr="00BA73CB">
        <w:rPr>
          <w:rFonts w:ascii="Arial" w:hAnsi="Arial" w:cs="Arial"/>
          <w:sz w:val="24"/>
          <w:szCs w:val="24"/>
        </w:rPr>
        <w:lastRenderedPageBreak/>
        <w:t xml:space="preserve">settlement prices </w:t>
      </w:r>
      <w:r w:rsidR="00FD337E" w:rsidRPr="00BA73CB">
        <w:rPr>
          <w:rFonts w:ascii="Arial" w:hAnsi="Arial" w:cs="Arial"/>
          <w:sz w:val="24"/>
          <w:szCs w:val="24"/>
        </w:rPr>
        <w:t xml:space="preserve">as far out in time as the life of the contract which in the case of natural gas is through December 2031. </w:t>
      </w:r>
      <w:r w:rsidR="00595B5B" w:rsidRPr="00BA73CB">
        <w:rPr>
          <w:rFonts w:ascii="Arial" w:hAnsi="Arial" w:cs="Arial"/>
          <w:sz w:val="24"/>
          <w:szCs w:val="24"/>
        </w:rPr>
        <w:t>The CME looks at a variety of prices that includes Futures, Henry Hub Natural Gas Look-A-Like contracts, and time spreads to determine settlement prices when actual Futures have not traded in a future</w:t>
      </w:r>
      <w:r w:rsidR="00BC60EB" w:rsidRPr="00BA73CB">
        <w:rPr>
          <w:rFonts w:ascii="Arial" w:hAnsi="Arial" w:cs="Arial"/>
          <w:sz w:val="24"/>
          <w:szCs w:val="24"/>
        </w:rPr>
        <w:t xml:space="preserve"> month</w:t>
      </w:r>
      <w:r w:rsidR="00595B5B" w:rsidRPr="00BA73CB">
        <w:rPr>
          <w:rFonts w:ascii="Arial" w:hAnsi="Arial" w:cs="Arial"/>
          <w:sz w:val="24"/>
          <w:szCs w:val="24"/>
        </w:rPr>
        <w:t xml:space="preserve">. </w:t>
      </w:r>
      <w:r w:rsidR="00BC60EB" w:rsidRPr="00BA73CB">
        <w:rPr>
          <w:rFonts w:ascii="Arial" w:hAnsi="Arial" w:cs="Arial"/>
          <w:sz w:val="24"/>
          <w:szCs w:val="24"/>
        </w:rPr>
        <w:t xml:space="preserve">For contract settlements beyond six months the CME has </w:t>
      </w:r>
      <w:r w:rsidR="009E08FF">
        <w:rPr>
          <w:rFonts w:ascii="Arial" w:hAnsi="Arial" w:cs="Arial"/>
          <w:sz w:val="24"/>
          <w:szCs w:val="24"/>
        </w:rPr>
        <w:t>a proces</w:t>
      </w:r>
      <w:r w:rsidR="00533295">
        <w:rPr>
          <w:rFonts w:ascii="Arial" w:hAnsi="Arial" w:cs="Arial"/>
          <w:sz w:val="24"/>
          <w:szCs w:val="24"/>
        </w:rPr>
        <w:t>s</w:t>
      </w:r>
      <w:r w:rsidR="00BC60EB" w:rsidRPr="00BA73CB">
        <w:rPr>
          <w:rFonts w:ascii="Arial" w:hAnsi="Arial" w:cs="Arial"/>
          <w:sz w:val="24"/>
          <w:szCs w:val="24"/>
        </w:rPr>
        <w:t xml:space="preserve"> and views all forms of trading and just not Futures.</w:t>
      </w:r>
      <w:r w:rsidR="00533295">
        <w:rPr>
          <w:rStyle w:val="FootnoteReference"/>
          <w:rFonts w:ascii="Arial" w:hAnsi="Arial" w:cs="Arial"/>
          <w:sz w:val="24"/>
          <w:szCs w:val="24"/>
        </w:rPr>
        <w:footnoteReference w:id="3"/>
      </w:r>
      <w:r w:rsidR="00BC60EB" w:rsidRPr="00BA73CB">
        <w:rPr>
          <w:rFonts w:ascii="Arial" w:hAnsi="Arial" w:cs="Arial"/>
          <w:sz w:val="24"/>
          <w:szCs w:val="24"/>
        </w:rPr>
        <w:t xml:space="preserve">  </w:t>
      </w:r>
    </w:p>
    <w:p w:rsidR="00CF7C19" w:rsidRPr="00143346" w:rsidRDefault="00CF7C19" w:rsidP="00277CEC">
      <w:pPr>
        <w:spacing w:line="480" w:lineRule="auto"/>
        <w:ind w:left="720" w:hanging="720"/>
        <w:jc w:val="both"/>
        <w:rPr>
          <w:rFonts w:ascii="Arial" w:hAnsi="Arial" w:cs="Arial"/>
          <w:b/>
          <w:sz w:val="24"/>
          <w:szCs w:val="24"/>
        </w:rPr>
      </w:pPr>
      <w:r w:rsidRPr="00143346">
        <w:rPr>
          <w:rFonts w:ascii="Arial" w:hAnsi="Arial" w:cs="Arial"/>
          <w:b/>
          <w:sz w:val="24"/>
          <w:szCs w:val="24"/>
        </w:rPr>
        <w:t>Q.</w:t>
      </w:r>
      <w:r w:rsidRPr="00143346">
        <w:rPr>
          <w:rFonts w:ascii="Arial" w:hAnsi="Arial" w:cs="Arial"/>
          <w:b/>
          <w:sz w:val="24"/>
          <w:szCs w:val="24"/>
        </w:rPr>
        <w:tab/>
        <w:t xml:space="preserve"> </w:t>
      </w:r>
      <w:r w:rsidR="002E6791">
        <w:rPr>
          <w:rFonts w:ascii="Arial" w:hAnsi="Arial" w:cs="Arial"/>
          <w:b/>
          <w:sz w:val="24"/>
          <w:szCs w:val="24"/>
        </w:rPr>
        <w:t>Do you have reason to believe that AEP does not have faith in its own forecast?</w:t>
      </w:r>
    </w:p>
    <w:p w:rsidR="00FF0FA5" w:rsidRPr="00BA73CB" w:rsidRDefault="00CF7C19"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r>
      <w:r w:rsidR="00302039" w:rsidRPr="00BA73CB">
        <w:rPr>
          <w:rFonts w:ascii="Arial" w:hAnsi="Arial" w:cs="Arial"/>
          <w:sz w:val="24"/>
          <w:szCs w:val="24"/>
        </w:rPr>
        <w:t>Yes.</w:t>
      </w:r>
      <w:r w:rsidR="002E6791">
        <w:rPr>
          <w:rFonts w:ascii="Arial" w:hAnsi="Arial" w:cs="Arial"/>
          <w:sz w:val="24"/>
          <w:szCs w:val="24"/>
        </w:rPr>
        <w:t xml:space="preserve"> I have several reasons.  First, one only need observe current power market trends.</w:t>
      </w:r>
      <w:r w:rsidR="00302039" w:rsidRPr="00BA73CB">
        <w:rPr>
          <w:rFonts w:ascii="Arial" w:hAnsi="Arial" w:cs="Arial"/>
          <w:sz w:val="24"/>
          <w:szCs w:val="24"/>
        </w:rPr>
        <w:t xml:space="preserve"> G</w:t>
      </w:r>
      <w:r w:rsidRPr="00BA73CB">
        <w:rPr>
          <w:rFonts w:ascii="Arial" w:hAnsi="Arial" w:cs="Arial"/>
          <w:sz w:val="24"/>
          <w:szCs w:val="24"/>
        </w:rPr>
        <w:t>iven the comparatively low cost of long-term natural gas it’s hard for other types of generation to compete</w:t>
      </w:r>
      <w:r w:rsidR="00FF0FA5" w:rsidRPr="00BA73CB">
        <w:rPr>
          <w:rFonts w:ascii="Arial" w:hAnsi="Arial" w:cs="Arial"/>
          <w:sz w:val="24"/>
          <w:szCs w:val="24"/>
        </w:rPr>
        <w:t xml:space="preserve"> with combined cycle gas plants even if those </w:t>
      </w:r>
      <w:r w:rsidR="00411BC6" w:rsidRPr="00BA73CB">
        <w:rPr>
          <w:rFonts w:ascii="Arial" w:hAnsi="Arial" w:cs="Arial"/>
          <w:sz w:val="24"/>
          <w:szCs w:val="24"/>
        </w:rPr>
        <w:t xml:space="preserve">non-gas </w:t>
      </w:r>
      <w:r w:rsidR="00FF0FA5" w:rsidRPr="00BA73CB">
        <w:rPr>
          <w:rFonts w:ascii="Arial" w:hAnsi="Arial" w:cs="Arial"/>
          <w:sz w:val="24"/>
          <w:szCs w:val="24"/>
        </w:rPr>
        <w:t>plants are already built. Specifically, we’ve seen coal plants retiring at a quick pace and nuclear plants are feeling the price pressure also. Also, at a recent Global Energy Foru</w:t>
      </w:r>
      <w:r w:rsidR="0059253A">
        <w:rPr>
          <w:rFonts w:ascii="Arial" w:hAnsi="Arial" w:cs="Arial"/>
          <w:sz w:val="24"/>
          <w:szCs w:val="24"/>
        </w:rPr>
        <w:t>m in New York, AEP’s CEO Nick A</w:t>
      </w:r>
      <w:r w:rsidR="00FF0FA5" w:rsidRPr="00BA73CB">
        <w:rPr>
          <w:rFonts w:ascii="Arial" w:hAnsi="Arial" w:cs="Arial"/>
          <w:sz w:val="24"/>
          <w:szCs w:val="24"/>
        </w:rPr>
        <w:t>kins stated tha</w:t>
      </w:r>
      <w:r w:rsidR="00FF0FA5" w:rsidRPr="004376EA">
        <w:rPr>
          <w:rFonts w:ascii="Arial" w:hAnsi="Arial" w:cs="Arial"/>
          <w:sz w:val="24"/>
          <w:szCs w:val="24"/>
        </w:rPr>
        <w:t>t</w:t>
      </w:r>
      <w:r w:rsidR="000C513A" w:rsidRPr="004376EA">
        <w:rPr>
          <w:rFonts w:ascii="Arial" w:hAnsi="Arial" w:cs="Arial"/>
          <w:sz w:val="24"/>
          <w:szCs w:val="24"/>
        </w:rPr>
        <w:t>:</w:t>
      </w:r>
    </w:p>
    <w:p w:rsidR="00C20EDC" w:rsidRPr="00BA73CB" w:rsidRDefault="00FF0FA5" w:rsidP="0059253A">
      <w:pPr>
        <w:spacing w:line="480" w:lineRule="auto"/>
        <w:ind w:left="720"/>
        <w:jc w:val="both"/>
        <w:rPr>
          <w:rFonts w:ascii="Arial" w:hAnsi="Arial" w:cs="Arial"/>
          <w:sz w:val="24"/>
          <w:szCs w:val="24"/>
        </w:rPr>
      </w:pPr>
      <w:r w:rsidRPr="00BA73CB">
        <w:rPr>
          <w:rFonts w:ascii="Arial" w:hAnsi="Arial" w:cs="Arial"/>
          <w:sz w:val="24"/>
          <w:szCs w:val="24"/>
        </w:rPr>
        <w:t>“The power generation resource rebalancing occurring today at AEP is centered on less coal and moving toward other forms of energy.</w:t>
      </w:r>
      <w:r w:rsidR="002E6791">
        <w:rPr>
          <w:rFonts w:ascii="Arial" w:hAnsi="Arial" w:cs="Arial"/>
          <w:sz w:val="24"/>
          <w:szCs w:val="24"/>
        </w:rPr>
        <w:t xml:space="preserve"> . . </w:t>
      </w:r>
      <w:r w:rsidRPr="00BA73CB">
        <w:rPr>
          <w:rFonts w:ascii="Arial" w:hAnsi="Arial" w:cs="Arial"/>
          <w:sz w:val="24"/>
          <w:szCs w:val="24"/>
        </w:rPr>
        <w:t xml:space="preserve"> </w:t>
      </w:r>
      <w:r w:rsidRPr="00BA73CB">
        <w:rPr>
          <w:rFonts w:ascii="Arial" w:hAnsi="Arial" w:cs="Arial"/>
          <w:sz w:val="24"/>
          <w:szCs w:val="24"/>
          <w:u w:val="single"/>
        </w:rPr>
        <w:t xml:space="preserve">There is nothing </w:t>
      </w:r>
      <w:proofErr w:type="gramStart"/>
      <w:r w:rsidRPr="00BA73CB">
        <w:rPr>
          <w:rFonts w:ascii="Arial" w:hAnsi="Arial" w:cs="Arial"/>
          <w:sz w:val="24"/>
          <w:szCs w:val="24"/>
          <w:u w:val="single"/>
        </w:rPr>
        <w:t>more risky</w:t>
      </w:r>
      <w:proofErr w:type="gramEnd"/>
      <w:r w:rsidRPr="00BA73CB">
        <w:rPr>
          <w:rFonts w:ascii="Arial" w:hAnsi="Arial" w:cs="Arial"/>
          <w:sz w:val="24"/>
          <w:szCs w:val="24"/>
          <w:u w:val="single"/>
        </w:rPr>
        <w:t xml:space="preserve"> for us to make in our industry today than a generation-related investment</w:t>
      </w:r>
      <w:r w:rsidRPr="00BA73CB">
        <w:rPr>
          <w:rFonts w:ascii="Arial" w:hAnsi="Arial" w:cs="Arial"/>
          <w:sz w:val="24"/>
          <w:szCs w:val="24"/>
        </w:rPr>
        <w:t>.”</w:t>
      </w:r>
      <w:r w:rsidR="0059253A">
        <w:rPr>
          <w:rStyle w:val="FootnoteReference"/>
          <w:rFonts w:ascii="Arial" w:hAnsi="Arial" w:cs="Arial"/>
          <w:sz w:val="24"/>
          <w:szCs w:val="24"/>
        </w:rPr>
        <w:footnoteReference w:id="4"/>
      </w:r>
      <w:r w:rsidRPr="00BA73CB">
        <w:rPr>
          <w:rFonts w:ascii="Arial" w:hAnsi="Arial" w:cs="Arial"/>
          <w:sz w:val="24"/>
          <w:szCs w:val="24"/>
        </w:rPr>
        <w:t xml:space="preserve">  </w:t>
      </w:r>
      <w:r w:rsidR="002E6791">
        <w:rPr>
          <w:rFonts w:ascii="Arial" w:hAnsi="Arial" w:cs="Arial"/>
          <w:sz w:val="24"/>
          <w:szCs w:val="24"/>
        </w:rPr>
        <w:t>If AEP’s forecast was truly supported by the company, it would clearly not have such bearish sentiments regarding unregulated generation investment.</w:t>
      </w:r>
    </w:p>
    <w:p w:rsidR="004651F3" w:rsidRPr="00143346" w:rsidRDefault="004651F3" w:rsidP="00BA58DC">
      <w:pPr>
        <w:spacing w:line="480" w:lineRule="auto"/>
        <w:ind w:left="720" w:hanging="720"/>
        <w:rPr>
          <w:rFonts w:ascii="Arial" w:hAnsi="Arial" w:cs="Arial"/>
          <w:b/>
          <w:sz w:val="24"/>
          <w:szCs w:val="24"/>
        </w:rPr>
      </w:pPr>
      <w:r w:rsidRPr="00143346">
        <w:rPr>
          <w:rFonts w:ascii="Arial" w:hAnsi="Arial" w:cs="Arial"/>
          <w:b/>
          <w:sz w:val="24"/>
          <w:szCs w:val="24"/>
        </w:rPr>
        <w:lastRenderedPageBreak/>
        <w:t>Q.</w:t>
      </w:r>
      <w:r w:rsidRPr="00143346">
        <w:rPr>
          <w:rFonts w:ascii="Arial" w:hAnsi="Arial" w:cs="Arial"/>
          <w:b/>
          <w:sz w:val="24"/>
          <w:szCs w:val="24"/>
        </w:rPr>
        <w:tab/>
      </w:r>
      <w:r w:rsidR="002E6791">
        <w:rPr>
          <w:rFonts w:ascii="Arial" w:hAnsi="Arial" w:cs="Arial"/>
          <w:b/>
          <w:sz w:val="24"/>
          <w:szCs w:val="24"/>
        </w:rPr>
        <w:t>If AEP truly had faith in the Fundamentals Forecast, would it need Commission authorization to undertake these projects?</w:t>
      </w:r>
    </w:p>
    <w:p w:rsidR="00927985" w:rsidRPr="00BA73CB" w:rsidRDefault="004651F3"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00F66294">
        <w:rPr>
          <w:rFonts w:ascii="Arial" w:hAnsi="Arial" w:cs="Arial"/>
          <w:sz w:val="24"/>
          <w:szCs w:val="24"/>
        </w:rPr>
        <w:tab/>
      </w:r>
      <w:r w:rsidR="00BA58DC">
        <w:rPr>
          <w:rFonts w:ascii="Arial" w:hAnsi="Arial" w:cs="Arial"/>
          <w:sz w:val="24"/>
          <w:szCs w:val="24"/>
        </w:rPr>
        <w:t>No, i</w:t>
      </w:r>
      <w:r w:rsidR="00D2571D" w:rsidRPr="00D2571D">
        <w:rPr>
          <w:rFonts w:ascii="Arial" w:hAnsi="Arial" w:cs="Arial"/>
          <w:sz w:val="24"/>
          <w:szCs w:val="24"/>
        </w:rPr>
        <w:t xml:space="preserve">f AEP truly believed that these renewable energy projects would generate the benefit of $173 million as suggested in Table 3 of AEP’s Exhibit JFT-1 then they should structure these projects under an unregulated AEP generation entity and not force the AEP customers to foot the bill. Also, if these projects were built under an unregulated AEP entity, then this would help AEP recoup some of the $2.3 Billion in </w:t>
      </w:r>
      <w:r w:rsidR="00F63F45">
        <w:rPr>
          <w:rFonts w:ascii="Arial" w:hAnsi="Arial" w:cs="Arial"/>
          <w:sz w:val="24"/>
          <w:szCs w:val="24"/>
        </w:rPr>
        <w:t>impairment charges</w:t>
      </w:r>
      <w:r w:rsidR="00D2571D" w:rsidRPr="00D2571D">
        <w:rPr>
          <w:rFonts w:ascii="Arial" w:hAnsi="Arial" w:cs="Arial"/>
          <w:sz w:val="24"/>
          <w:szCs w:val="24"/>
        </w:rPr>
        <w:t xml:space="preserve"> related, in part, to owning coal plants, as mentioned earlier. In fact, the only reason that Table 3 of AEP’s Exhibit suggests a benefit of $173 million is because the AEP Fundamental Forecast grossly overestimates natural gas prices which inflate power prices which then look good compared to a renewable project with somewhat fixed costs. In addition, as we know from recent history, AEP is </w:t>
      </w:r>
      <w:r w:rsidR="00C7153F">
        <w:rPr>
          <w:rFonts w:ascii="Arial" w:hAnsi="Arial" w:cs="Arial"/>
          <w:sz w:val="24"/>
          <w:szCs w:val="24"/>
        </w:rPr>
        <w:t xml:space="preserve">not reliable when it comes to </w:t>
      </w:r>
      <w:r w:rsidR="00D2571D" w:rsidRPr="00D2571D">
        <w:rPr>
          <w:rFonts w:ascii="Arial" w:hAnsi="Arial" w:cs="Arial"/>
          <w:sz w:val="24"/>
          <w:szCs w:val="24"/>
        </w:rPr>
        <w:t xml:space="preserve">forecasting energy prices. </w:t>
      </w:r>
    </w:p>
    <w:p w:rsidR="00927985" w:rsidRPr="00BA73CB" w:rsidRDefault="00D2571D" w:rsidP="00277CEC">
      <w:pPr>
        <w:spacing w:line="480" w:lineRule="auto"/>
        <w:jc w:val="both"/>
        <w:rPr>
          <w:rFonts w:ascii="Arial" w:hAnsi="Arial" w:cs="Arial"/>
          <w:sz w:val="24"/>
          <w:szCs w:val="24"/>
        </w:rPr>
      </w:pPr>
      <w:r w:rsidRPr="00143346">
        <w:rPr>
          <w:rFonts w:ascii="Arial" w:hAnsi="Arial" w:cs="Arial"/>
          <w:b/>
          <w:sz w:val="24"/>
          <w:szCs w:val="24"/>
        </w:rPr>
        <w:t>Q.</w:t>
      </w:r>
      <w:r w:rsidRPr="00143346">
        <w:rPr>
          <w:rFonts w:ascii="Arial" w:hAnsi="Arial" w:cs="Arial"/>
          <w:b/>
          <w:sz w:val="24"/>
          <w:szCs w:val="24"/>
        </w:rPr>
        <w:tab/>
      </w:r>
      <w:r w:rsidR="00C7153F">
        <w:rPr>
          <w:rFonts w:ascii="Arial" w:hAnsi="Arial" w:cs="Arial"/>
          <w:b/>
          <w:sz w:val="24"/>
          <w:szCs w:val="24"/>
        </w:rPr>
        <w:t>Why would AEP want to inflate power prices</w:t>
      </w:r>
      <w:r>
        <w:rPr>
          <w:rFonts w:ascii="Arial" w:hAnsi="Arial" w:cs="Arial"/>
          <w:b/>
          <w:sz w:val="24"/>
          <w:szCs w:val="24"/>
        </w:rPr>
        <w:t>?</w:t>
      </w:r>
      <w:r w:rsidR="006D5A08" w:rsidRPr="00BA73CB">
        <w:rPr>
          <w:rFonts w:ascii="Arial" w:hAnsi="Arial" w:cs="Arial"/>
          <w:sz w:val="24"/>
          <w:szCs w:val="24"/>
        </w:rPr>
        <w:tab/>
      </w:r>
    </w:p>
    <w:p w:rsidR="00C7153F" w:rsidRDefault="00C7153F"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r>
      <w:r w:rsidRPr="00C7153F">
        <w:rPr>
          <w:rFonts w:ascii="Arial" w:hAnsi="Arial" w:cs="Arial"/>
          <w:sz w:val="24"/>
          <w:szCs w:val="24"/>
        </w:rPr>
        <w:t>It all comes down to comparable price. If you’re looking at a renewable project you have a fairly good idea what your fixed cost components are and since they’re renewable projects the energy feedstock price, wind and solar, is somewhat negligible. If your comparable future price, in this case AEP’s Fundamental Forecast, is grossly overinflated then the project looks profitable or favorable. But if you compare the renewable price to future market prices currently expected by the market (NYMEX) than your project profitability looks entirely different.</w:t>
      </w:r>
    </w:p>
    <w:p w:rsidR="00C7153F" w:rsidRDefault="00C7153F" w:rsidP="00277CEC">
      <w:pPr>
        <w:spacing w:line="480" w:lineRule="auto"/>
        <w:ind w:left="720" w:hanging="720"/>
        <w:jc w:val="both"/>
        <w:rPr>
          <w:rFonts w:ascii="Arial" w:hAnsi="Arial" w:cs="Arial"/>
          <w:b/>
          <w:sz w:val="24"/>
          <w:szCs w:val="24"/>
        </w:rPr>
      </w:pPr>
      <w:r w:rsidRPr="00143346">
        <w:rPr>
          <w:rFonts w:ascii="Arial" w:hAnsi="Arial" w:cs="Arial"/>
          <w:b/>
          <w:sz w:val="24"/>
          <w:szCs w:val="24"/>
        </w:rPr>
        <w:lastRenderedPageBreak/>
        <w:t>Q.</w:t>
      </w:r>
      <w:r w:rsidRPr="00143346">
        <w:rPr>
          <w:rFonts w:ascii="Arial" w:hAnsi="Arial" w:cs="Arial"/>
          <w:b/>
          <w:sz w:val="24"/>
          <w:szCs w:val="24"/>
        </w:rPr>
        <w:tab/>
      </w:r>
      <w:r>
        <w:rPr>
          <w:rFonts w:ascii="Arial" w:hAnsi="Arial" w:cs="Arial"/>
          <w:b/>
          <w:sz w:val="24"/>
          <w:szCs w:val="24"/>
        </w:rPr>
        <w:t>Are there other reasons that you feel AEP does not put much faith in the Fundamental Forecast?</w:t>
      </w:r>
    </w:p>
    <w:p w:rsidR="00C7153F" w:rsidRDefault="00C7153F" w:rsidP="00277CEC">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r>
      <w:r w:rsidRPr="00C7153F">
        <w:rPr>
          <w:rFonts w:ascii="Arial" w:hAnsi="Arial" w:cs="Arial"/>
          <w:sz w:val="24"/>
          <w:szCs w:val="24"/>
        </w:rPr>
        <w:t xml:space="preserve">Yes, if AEP believed in their natural gas forecast, </w:t>
      </w:r>
      <w:r w:rsidR="002E6791">
        <w:rPr>
          <w:rFonts w:ascii="Arial" w:hAnsi="Arial" w:cs="Arial"/>
          <w:sz w:val="24"/>
          <w:szCs w:val="24"/>
        </w:rPr>
        <w:t>an affiliate</w:t>
      </w:r>
      <w:r w:rsidRPr="00C7153F">
        <w:rPr>
          <w:rFonts w:ascii="Arial" w:hAnsi="Arial" w:cs="Arial"/>
          <w:sz w:val="24"/>
          <w:szCs w:val="24"/>
        </w:rPr>
        <w:t xml:space="preserve"> could purchase natural gas futures at current market prices and collect all the associated profits once the natural gas price reaches their forecasted price. The profit, given the large gap between market prices and AEP’s forecast, would be substantial and this substantial profit could be </w:t>
      </w:r>
      <w:r w:rsidR="002E6791">
        <w:rPr>
          <w:rFonts w:ascii="Arial" w:hAnsi="Arial" w:cs="Arial"/>
          <w:sz w:val="24"/>
          <w:szCs w:val="24"/>
        </w:rPr>
        <w:t>monetized by AEP’s affiliate</w:t>
      </w:r>
      <w:r w:rsidRPr="00C7153F">
        <w:rPr>
          <w:rFonts w:ascii="Arial" w:hAnsi="Arial" w:cs="Arial"/>
          <w:sz w:val="24"/>
          <w:szCs w:val="24"/>
        </w:rPr>
        <w:t>s.</w:t>
      </w:r>
    </w:p>
    <w:p w:rsidR="00927985" w:rsidRPr="00143346" w:rsidRDefault="00927985" w:rsidP="00277CEC">
      <w:pPr>
        <w:spacing w:line="480" w:lineRule="auto"/>
        <w:jc w:val="both"/>
        <w:rPr>
          <w:rFonts w:ascii="Arial" w:hAnsi="Arial" w:cs="Arial"/>
          <w:b/>
          <w:sz w:val="24"/>
          <w:szCs w:val="24"/>
        </w:rPr>
      </w:pPr>
      <w:r w:rsidRPr="00143346">
        <w:rPr>
          <w:rFonts w:ascii="Arial" w:hAnsi="Arial" w:cs="Arial"/>
          <w:b/>
          <w:sz w:val="24"/>
          <w:szCs w:val="24"/>
        </w:rPr>
        <w:t>Q.</w:t>
      </w:r>
      <w:r w:rsidRPr="00143346">
        <w:rPr>
          <w:rFonts w:ascii="Arial" w:hAnsi="Arial" w:cs="Arial"/>
          <w:b/>
          <w:sz w:val="24"/>
          <w:szCs w:val="24"/>
        </w:rPr>
        <w:tab/>
        <w:t xml:space="preserve">Can you quantify </w:t>
      </w:r>
      <w:r w:rsidR="004172F5">
        <w:rPr>
          <w:rFonts w:ascii="Arial" w:hAnsi="Arial" w:cs="Arial"/>
          <w:b/>
          <w:sz w:val="24"/>
          <w:szCs w:val="24"/>
        </w:rPr>
        <w:t>the profit opportunity you describe above?</w:t>
      </w:r>
    </w:p>
    <w:p w:rsidR="00D73829" w:rsidRPr="00BA73CB" w:rsidRDefault="00927985" w:rsidP="00277CEC">
      <w:pPr>
        <w:spacing w:line="480" w:lineRule="auto"/>
        <w:ind w:left="720" w:hanging="720"/>
        <w:jc w:val="both"/>
        <w:rPr>
          <w:rFonts w:ascii="Arial" w:hAnsi="Arial" w:cs="Arial"/>
          <w:sz w:val="24"/>
          <w:szCs w:val="24"/>
        </w:rPr>
      </w:pPr>
      <w:bookmarkStart w:id="0" w:name="_Hlk533592093"/>
      <w:r w:rsidRPr="00BA73CB">
        <w:rPr>
          <w:rFonts w:ascii="Arial" w:hAnsi="Arial" w:cs="Arial"/>
          <w:sz w:val="24"/>
          <w:szCs w:val="24"/>
        </w:rPr>
        <w:t>A.</w:t>
      </w:r>
      <w:r w:rsidRPr="00BA73CB">
        <w:rPr>
          <w:rFonts w:ascii="Arial" w:hAnsi="Arial" w:cs="Arial"/>
          <w:sz w:val="24"/>
          <w:szCs w:val="24"/>
        </w:rPr>
        <w:tab/>
        <w:t xml:space="preserve">At a very high level yes. Essentially you take the difference between the price </w:t>
      </w:r>
      <w:bookmarkEnd w:id="0"/>
      <w:r w:rsidRPr="00BA73CB">
        <w:rPr>
          <w:rFonts w:ascii="Arial" w:hAnsi="Arial" w:cs="Arial"/>
          <w:sz w:val="24"/>
          <w:szCs w:val="24"/>
        </w:rPr>
        <w:t xml:space="preserve">that natural gas contracts can be purchased at and what AEP’s shows as their forecasted price going out into the future and times that by the amount of gas you need to purchase annually. </w:t>
      </w:r>
      <w:r w:rsidR="003933A2" w:rsidRPr="00BA73CB">
        <w:rPr>
          <w:rFonts w:ascii="Arial" w:hAnsi="Arial" w:cs="Arial"/>
          <w:sz w:val="24"/>
          <w:szCs w:val="24"/>
        </w:rPr>
        <w:t xml:space="preserve">The price difference between the market and AEP’s forecast is shown in Table </w:t>
      </w:r>
      <w:r w:rsidR="00F66294">
        <w:rPr>
          <w:rFonts w:ascii="Arial" w:hAnsi="Arial" w:cs="Arial"/>
          <w:sz w:val="24"/>
          <w:szCs w:val="24"/>
        </w:rPr>
        <w:t>1</w:t>
      </w:r>
      <w:r w:rsidR="003933A2" w:rsidRPr="00BA73CB">
        <w:rPr>
          <w:rFonts w:ascii="Arial" w:hAnsi="Arial" w:cs="Arial"/>
          <w:sz w:val="24"/>
          <w:szCs w:val="24"/>
        </w:rPr>
        <w:t xml:space="preserve">. </w:t>
      </w:r>
    </w:p>
    <w:p w:rsidR="001830F0" w:rsidRPr="00BA73CB" w:rsidRDefault="00F46E83" w:rsidP="00BA58DC">
      <w:pPr>
        <w:spacing w:line="480" w:lineRule="auto"/>
        <w:jc w:val="center"/>
        <w:rPr>
          <w:rFonts w:ascii="Arial" w:hAnsi="Arial" w:cs="Arial"/>
          <w:color w:val="FF0000"/>
          <w:sz w:val="24"/>
          <w:szCs w:val="24"/>
        </w:rPr>
      </w:pPr>
      <w:r>
        <w:rPr>
          <w:noProof/>
        </w:rPr>
        <w:drawing>
          <wp:inline distT="0" distB="0" distL="0" distR="0" wp14:anchorId="0ADFF4CE" wp14:editId="76206A64">
            <wp:extent cx="3638550" cy="2943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8550" cy="2943225"/>
                    </a:xfrm>
                    <a:prstGeom prst="rect">
                      <a:avLst/>
                    </a:prstGeom>
                  </pic:spPr>
                </pic:pic>
              </a:graphicData>
            </a:graphic>
          </wp:inline>
        </w:drawing>
      </w:r>
    </w:p>
    <w:p w:rsidR="00D73829" w:rsidRPr="00BA73CB" w:rsidRDefault="00D73829" w:rsidP="00277CEC">
      <w:pPr>
        <w:spacing w:line="480" w:lineRule="auto"/>
        <w:ind w:left="720"/>
        <w:jc w:val="both"/>
        <w:rPr>
          <w:rFonts w:ascii="Arial" w:hAnsi="Arial" w:cs="Arial"/>
          <w:sz w:val="24"/>
          <w:szCs w:val="24"/>
        </w:rPr>
      </w:pPr>
      <w:r w:rsidRPr="00BA73CB">
        <w:rPr>
          <w:rFonts w:ascii="Arial" w:hAnsi="Arial" w:cs="Arial"/>
          <w:sz w:val="24"/>
          <w:szCs w:val="24"/>
        </w:rPr>
        <w:lastRenderedPageBreak/>
        <w:t xml:space="preserve">The amount of gas to purchase annually can be somewhat subjective so I considered two scenarios. The first scenario is </w:t>
      </w:r>
      <w:r w:rsidR="00472453" w:rsidRPr="00BA73CB">
        <w:rPr>
          <w:rFonts w:ascii="Arial" w:hAnsi="Arial" w:cs="Arial"/>
          <w:sz w:val="24"/>
          <w:szCs w:val="24"/>
        </w:rPr>
        <w:t>very</w:t>
      </w:r>
      <w:r w:rsidRPr="00BA73CB">
        <w:rPr>
          <w:rFonts w:ascii="Arial" w:hAnsi="Arial" w:cs="Arial"/>
          <w:sz w:val="24"/>
          <w:szCs w:val="24"/>
        </w:rPr>
        <w:t xml:space="preserve"> </w:t>
      </w:r>
      <w:r w:rsidR="00DB5BDE" w:rsidRPr="00BA73CB">
        <w:rPr>
          <w:rFonts w:ascii="Arial" w:hAnsi="Arial" w:cs="Arial"/>
          <w:sz w:val="24"/>
          <w:szCs w:val="24"/>
        </w:rPr>
        <w:t>conservative as it</w:t>
      </w:r>
      <w:r w:rsidRPr="00BA73CB">
        <w:rPr>
          <w:rFonts w:ascii="Arial" w:hAnsi="Arial" w:cs="Arial"/>
          <w:sz w:val="24"/>
          <w:szCs w:val="24"/>
        </w:rPr>
        <w:t xml:space="preserve"> considers only a straight energy conversion from MWh to MMBtu</w:t>
      </w:r>
      <w:r w:rsidR="004376EA">
        <w:rPr>
          <w:rFonts w:ascii="Arial" w:hAnsi="Arial" w:cs="Arial"/>
          <w:sz w:val="24"/>
          <w:szCs w:val="24"/>
        </w:rPr>
        <w:t xml:space="preserve"> -</w:t>
      </w:r>
      <w:r w:rsidRPr="00BA73CB">
        <w:rPr>
          <w:rFonts w:ascii="Arial" w:hAnsi="Arial" w:cs="Arial"/>
          <w:sz w:val="24"/>
          <w:szCs w:val="24"/>
        </w:rPr>
        <w:t xml:space="preserve"> </w:t>
      </w:r>
      <w:r w:rsidR="004376EA">
        <w:rPr>
          <w:rFonts w:ascii="Arial" w:hAnsi="Arial" w:cs="Arial"/>
          <w:sz w:val="24"/>
          <w:szCs w:val="24"/>
        </w:rPr>
        <w:t>t</w:t>
      </w:r>
      <w:r w:rsidRPr="00BA73CB">
        <w:rPr>
          <w:rFonts w:ascii="Arial" w:hAnsi="Arial" w:cs="Arial"/>
          <w:sz w:val="24"/>
          <w:szCs w:val="24"/>
        </w:rPr>
        <w:t>his is the standard MWh to MMBtu energy conversion of 3.41</w:t>
      </w:r>
      <w:r w:rsidR="00DB5BDE" w:rsidRPr="00BA73CB">
        <w:rPr>
          <w:rFonts w:ascii="Arial" w:hAnsi="Arial" w:cs="Arial"/>
          <w:sz w:val="24"/>
          <w:szCs w:val="24"/>
        </w:rPr>
        <w:t>2</w:t>
      </w:r>
      <w:r w:rsidRPr="00BA73CB">
        <w:rPr>
          <w:rFonts w:ascii="Arial" w:hAnsi="Arial" w:cs="Arial"/>
          <w:sz w:val="24"/>
          <w:szCs w:val="24"/>
        </w:rPr>
        <w:t>.</w:t>
      </w:r>
      <w:r w:rsidR="0059253A">
        <w:rPr>
          <w:rStyle w:val="FootnoteReference"/>
          <w:rFonts w:ascii="Arial" w:hAnsi="Arial" w:cs="Arial"/>
          <w:sz w:val="24"/>
          <w:szCs w:val="24"/>
        </w:rPr>
        <w:footnoteReference w:id="5"/>
      </w:r>
      <w:r w:rsidRPr="00BA73CB">
        <w:rPr>
          <w:rFonts w:ascii="Arial" w:hAnsi="Arial" w:cs="Arial"/>
          <w:sz w:val="24"/>
          <w:szCs w:val="24"/>
        </w:rPr>
        <w:t xml:space="preserve"> Under the energy only conversion I used the total annual MWh from AEP’s Exhibit JFT-1 and converted the amount to MMBtus which can then be purchased as natural gas contract</w:t>
      </w:r>
      <w:r w:rsidR="00914761" w:rsidRPr="00BA73CB">
        <w:rPr>
          <w:rFonts w:ascii="Arial" w:hAnsi="Arial" w:cs="Arial"/>
          <w:sz w:val="24"/>
          <w:szCs w:val="24"/>
        </w:rPr>
        <w:t>s</w:t>
      </w:r>
      <w:r w:rsidRPr="00BA73CB">
        <w:rPr>
          <w:rFonts w:ascii="Arial" w:hAnsi="Arial" w:cs="Arial"/>
          <w:sz w:val="24"/>
          <w:szCs w:val="24"/>
        </w:rPr>
        <w:t xml:space="preserve"> at the market rate. I then applied the Difference from Table 1 to the MMBtu amounts to come up with a Total Annual Gain column which quantifies the </w:t>
      </w:r>
      <w:r w:rsidR="00F66294">
        <w:rPr>
          <w:rFonts w:ascii="Arial" w:hAnsi="Arial" w:cs="Arial"/>
          <w:sz w:val="24"/>
          <w:szCs w:val="24"/>
        </w:rPr>
        <w:t>profit opportunity</w:t>
      </w:r>
      <w:r w:rsidRPr="00BA73CB">
        <w:rPr>
          <w:rFonts w:ascii="Arial" w:hAnsi="Arial" w:cs="Arial"/>
          <w:sz w:val="24"/>
          <w:szCs w:val="24"/>
        </w:rPr>
        <w:t>. As you can tell</w:t>
      </w:r>
      <w:r w:rsidR="008A2186" w:rsidRPr="00BA73CB">
        <w:rPr>
          <w:rFonts w:ascii="Arial" w:hAnsi="Arial" w:cs="Arial"/>
          <w:sz w:val="24"/>
          <w:szCs w:val="24"/>
        </w:rPr>
        <w:t xml:space="preserve"> the nominal gain</w:t>
      </w:r>
      <w:r w:rsidRPr="00BA73CB">
        <w:rPr>
          <w:rFonts w:ascii="Arial" w:hAnsi="Arial" w:cs="Arial"/>
          <w:sz w:val="24"/>
          <w:szCs w:val="24"/>
        </w:rPr>
        <w:t xml:space="preserve"> over the</w:t>
      </w:r>
      <w:r w:rsidR="00472453" w:rsidRPr="00BA73CB">
        <w:rPr>
          <w:rFonts w:ascii="Arial" w:hAnsi="Arial" w:cs="Arial"/>
          <w:sz w:val="24"/>
          <w:szCs w:val="24"/>
        </w:rPr>
        <w:t xml:space="preserve"> 20-</w:t>
      </w:r>
      <w:r w:rsidRPr="00BA73CB">
        <w:rPr>
          <w:rFonts w:ascii="Arial" w:hAnsi="Arial" w:cs="Arial"/>
          <w:sz w:val="24"/>
          <w:szCs w:val="24"/>
        </w:rPr>
        <w:t xml:space="preserve">year period is </w:t>
      </w:r>
      <w:r w:rsidR="00F46E83">
        <w:rPr>
          <w:rFonts w:ascii="Arial" w:hAnsi="Arial" w:cs="Arial"/>
          <w:sz w:val="24"/>
          <w:szCs w:val="24"/>
        </w:rPr>
        <w:t>over</w:t>
      </w:r>
      <w:r w:rsidR="00F46E83" w:rsidRPr="00BA73CB">
        <w:rPr>
          <w:rFonts w:ascii="Arial" w:hAnsi="Arial" w:cs="Arial"/>
          <w:sz w:val="24"/>
          <w:szCs w:val="24"/>
        </w:rPr>
        <w:t xml:space="preserve"> </w:t>
      </w:r>
      <w:r w:rsidRPr="00BA73CB">
        <w:rPr>
          <w:rFonts w:ascii="Arial" w:hAnsi="Arial" w:cs="Arial"/>
          <w:sz w:val="24"/>
          <w:szCs w:val="24"/>
        </w:rPr>
        <w:t>$2</w:t>
      </w:r>
      <w:r w:rsidR="001A60B1">
        <w:rPr>
          <w:rFonts w:ascii="Arial" w:hAnsi="Arial" w:cs="Arial"/>
          <w:sz w:val="24"/>
          <w:szCs w:val="24"/>
        </w:rPr>
        <w:t>81</w:t>
      </w:r>
      <w:r w:rsidRPr="00BA73CB">
        <w:rPr>
          <w:rFonts w:ascii="Arial" w:hAnsi="Arial" w:cs="Arial"/>
          <w:sz w:val="24"/>
          <w:szCs w:val="24"/>
        </w:rPr>
        <w:t xml:space="preserve"> million</w:t>
      </w:r>
      <w:r w:rsidR="008A2186" w:rsidRPr="00BA73CB">
        <w:rPr>
          <w:rFonts w:ascii="Arial" w:hAnsi="Arial" w:cs="Arial"/>
          <w:sz w:val="24"/>
          <w:szCs w:val="24"/>
        </w:rPr>
        <w:t xml:space="preserve"> shown in Table 2</w:t>
      </w:r>
      <w:r w:rsidRPr="00BA73CB">
        <w:rPr>
          <w:rFonts w:ascii="Arial" w:hAnsi="Arial" w:cs="Arial"/>
          <w:sz w:val="24"/>
          <w:szCs w:val="24"/>
        </w:rPr>
        <w:t xml:space="preserve">.  </w:t>
      </w:r>
    </w:p>
    <w:p w:rsidR="00584E0B" w:rsidRPr="00BA73CB" w:rsidRDefault="001A60B1" w:rsidP="00BA73CB">
      <w:pPr>
        <w:spacing w:line="480" w:lineRule="auto"/>
        <w:rPr>
          <w:rFonts w:ascii="Arial" w:hAnsi="Arial" w:cs="Arial"/>
          <w:sz w:val="24"/>
          <w:szCs w:val="24"/>
        </w:rPr>
      </w:pPr>
      <w:r>
        <w:rPr>
          <w:noProof/>
        </w:rPr>
        <w:lastRenderedPageBreak/>
        <w:drawing>
          <wp:inline distT="0" distB="0" distL="0" distR="0" wp14:anchorId="1293E05D" wp14:editId="3E35FF6E">
            <wp:extent cx="5943600" cy="49441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944110"/>
                    </a:xfrm>
                    <a:prstGeom prst="rect">
                      <a:avLst/>
                    </a:prstGeom>
                  </pic:spPr>
                </pic:pic>
              </a:graphicData>
            </a:graphic>
          </wp:inline>
        </w:drawing>
      </w:r>
    </w:p>
    <w:p w:rsidR="00DB5BDE" w:rsidRPr="00BA73CB" w:rsidRDefault="00DB5BDE" w:rsidP="00BA58DC">
      <w:pPr>
        <w:spacing w:line="480" w:lineRule="auto"/>
        <w:ind w:left="720"/>
        <w:rPr>
          <w:rFonts w:ascii="Arial" w:hAnsi="Arial" w:cs="Arial"/>
          <w:sz w:val="24"/>
          <w:szCs w:val="24"/>
        </w:rPr>
      </w:pPr>
      <w:r w:rsidRPr="00BA73CB">
        <w:rPr>
          <w:rFonts w:ascii="Arial" w:hAnsi="Arial" w:cs="Arial"/>
          <w:sz w:val="24"/>
          <w:szCs w:val="24"/>
        </w:rPr>
        <w:t xml:space="preserve">In the second scenario, I considered offsetting AEP’s renewable energy projects with a very efficient combined cycle gas fired power unit </w:t>
      </w:r>
      <w:r w:rsidR="008A2186" w:rsidRPr="00BA73CB">
        <w:rPr>
          <w:rFonts w:ascii="Arial" w:hAnsi="Arial" w:cs="Arial"/>
          <w:sz w:val="24"/>
          <w:szCs w:val="24"/>
        </w:rPr>
        <w:t>using</w:t>
      </w:r>
      <w:r w:rsidRPr="00BA73CB">
        <w:rPr>
          <w:rFonts w:ascii="Arial" w:hAnsi="Arial" w:cs="Arial"/>
          <w:sz w:val="24"/>
          <w:szCs w:val="24"/>
        </w:rPr>
        <w:t xml:space="preserve"> a heat rate of 6.5. </w:t>
      </w:r>
      <w:r w:rsidR="00472453" w:rsidRPr="00BA73CB">
        <w:rPr>
          <w:rFonts w:ascii="Arial" w:hAnsi="Arial" w:cs="Arial"/>
          <w:sz w:val="24"/>
          <w:szCs w:val="24"/>
        </w:rPr>
        <w:t xml:space="preserve">A heat rate of 6.5 </w:t>
      </w:r>
      <w:r w:rsidRPr="00BA73CB">
        <w:rPr>
          <w:rFonts w:ascii="Arial" w:hAnsi="Arial" w:cs="Arial"/>
          <w:sz w:val="24"/>
          <w:szCs w:val="24"/>
        </w:rPr>
        <w:t>is well below the average natural gas</w:t>
      </w:r>
      <w:r w:rsidR="00472453" w:rsidRPr="00BA73CB">
        <w:rPr>
          <w:rFonts w:ascii="Arial" w:hAnsi="Arial" w:cs="Arial"/>
          <w:sz w:val="24"/>
          <w:szCs w:val="24"/>
        </w:rPr>
        <w:t xml:space="preserve"> heat rate </w:t>
      </w:r>
      <w:r w:rsidR="00914761" w:rsidRPr="00BA73CB">
        <w:rPr>
          <w:rFonts w:ascii="Arial" w:hAnsi="Arial" w:cs="Arial"/>
          <w:sz w:val="24"/>
          <w:szCs w:val="24"/>
        </w:rPr>
        <w:t>of 7.812 which was determined by</w:t>
      </w:r>
      <w:r w:rsidR="00472453" w:rsidRPr="00BA73CB">
        <w:rPr>
          <w:rFonts w:ascii="Arial" w:hAnsi="Arial" w:cs="Arial"/>
          <w:sz w:val="24"/>
          <w:szCs w:val="24"/>
        </w:rPr>
        <w:t xml:space="preserve"> the EIA </w:t>
      </w:r>
      <w:r w:rsidR="00914761" w:rsidRPr="00BA73CB">
        <w:rPr>
          <w:rFonts w:ascii="Arial" w:hAnsi="Arial" w:cs="Arial"/>
          <w:sz w:val="24"/>
          <w:szCs w:val="24"/>
        </w:rPr>
        <w:t>for</w:t>
      </w:r>
      <w:r w:rsidR="00472453" w:rsidRPr="00BA73CB">
        <w:rPr>
          <w:rFonts w:ascii="Arial" w:hAnsi="Arial" w:cs="Arial"/>
          <w:sz w:val="24"/>
          <w:szCs w:val="24"/>
        </w:rPr>
        <w:t xml:space="preserve"> the year 2017.</w:t>
      </w:r>
      <w:r w:rsidR="0059253A">
        <w:rPr>
          <w:rStyle w:val="FootnoteReference"/>
          <w:rFonts w:ascii="Arial" w:hAnsi="Arial" w:cs="Arial"/>
          <w:sz w:val="24"/>
          <w:szCs w:val="24"/>
        </w:rPr>
        <w:footnoteReference w:id="6"/>
      </w:r>
      <w:r w:rsidR="008A2186" w:rsidRPr="00BA73CB">
        <w:rPr>
          <w:rFonts w:ascii="Arial" w:hAnsi="Arial" w:cs="Arial"/>
          <w:sz w:val="24"/>
          <w:szCs w:val="24"/>
        </w:rPr>
        <w:t xml:space="preserve"> I’ve added the Average Operating Heat Rate table from the EIA as a reference at the end of my testimony. In Table 3, I used the 6.5 heat rate factor which increases the amount of natural gas </w:t>
      </w:r>
      <w:r w:rsidR="008A2186" w:rsidRPr="00BA73CB">
        <w:rPr>
          <w:rFonts w:ascii="Arial" w:hAnsi="Arial" w:cs="Arial"/>
          <w:sz w:val="24"/>
          <w:szCs w:val="24"/>
        </w:rPr>
        <w:lastRenderedPageBreak/>
        <w:t>purchase</w:t>
      </w:r>
      <w:r w:rsidR="00914761" w:rsidRPr="00BA73CB">
        <w:rPr>
          <w:rFonts w:ascii="Arial" w:hAnsi="Arial" w:cs="Arial"/>
          <w:sz w:val="24"/>
          <w:szCs w:val="24"/>
        </w:rPr>
        <w:t>d</w:t>
      </w:r>
      <w:r w:rsidR="008A2186" w:rsidRPr="00BA73CB">
        <w:rPr>
          <w:rFonts w:ascii="Arial" w:hAnsi="Arial" w:cs="Arial"/>
          <w:sz w:val="24"/>
          <w:szCs w:val="24"/>
        </w:rPr>
        <w:t xml:space="preserve"> which increases the </w:t>
      </w:r>
      <w:r w:rsidR="004376EA">
        <w:rPr>
          <w:rFonts w:ascii="Arial" w:hAnsi="Arial" w:cs="Arial"/>
          <w:sz w:val="24"/>
          <w:szCs w:val="24"/>
        </w:rPr>
        <w:t>profit opportunity</w:t>
      </w:r>
      <w:r w:rsidR="008A2186" w:rsidRPr="00BA73CB">
        <w:rPr>
          <w:rFonts w:ascii="Arial" w:hAnsi="Arial" w:cs="Arial"/>
          <w:sz w:val="24"/>
          <w:szCs w:val="24"/>
        </w:rPr>
        <w:t xml:space="preserve"> from roughly $</w:t>
      </w:r>
      <w:r w:rsidR="001A60B1" w:rsidRPr="00BA73CB">
        <w:rPr>
          <w:rFonts w:ascii="Arial" w:hAnsi="Arial" w:cs="Arial"/>
          <w:sz w:val="24"/>
          <w:szCs w:val="24"/>
        </w:rPr>
        <w:t>2</w:t>
      </w:r>
      <w:r w:rsidR="001A60B1">
        <w:rPr>
          <w:rFonts w:ascii="Arial" w:hAnsi="Arial" w:cs="Arial"/>
          <w:sz w:val="24"/>
          <w:szCs w:val="24"/>
        </w:rPr>
        <w:t>81</w:t>
      </w:r>
      <w:r w:rsidR="001A60B1" w:rsidRPr="00BA73CB">
        <w:rPr>
          <w:rFonts w:ascii="Arial" w:hAnsi="Arial" w:cs="Arial"/>
          <w:sz w:val="24"/>
          <w:szCs w:val="24"/>
        </w:rPr>
        <w:t xml:space="preserve"> </w:t>
      </w:r>
      <w:r w:rsidR="008A2186" w:rsidRPr="00BA73CB">
        <w:rPr>
          <w:rFonts w:ascii="Arial" w:hAnsi="Arial" w:cs="Arial"/>
          <w:sz w:val="24"/>
          <w:szCs w:val="24"/>
        </w:rPr>
        <w:t xml:space="preserve">million to </w:t>
      </w:r>
      <w:r w:rsidR="001A60B1">
        <w:rPr>
          <w:rFonts w:ascii="Arial" w:hAnsi="Arial" w:cs="Arial"/>
          <w:sz w:val="24"/>
          <w:szCs w:val="24"/>
        </w:rPr>
        <w:t>over</w:t>
      </w:r>
      <w:r w:rsidR="008A2186" w:rsidRPr="00BA73CB">
        <w:rPr>
          <w:rFonts w:ascii="Arial" w:hAnsi="Arial" w:cs="Arial"/>
          <w:sz w:val="24"/>
          <w:szCs w:val="24"/>
        </w:rPr>
        <w:t xml:space="preserve"> $5</w:t>
      </w:r>
      <w:r w:rsidR="001A60B1">
        <w:rPr>
          <w:rFonts w:ascii="Arial" w:hAnsi="Arial" w:cs="Arial"/>
          <w:sz w:val="24"/>
          <w:szCs w:val="24"/>
        </w:rPr>
        <w:t>35</w:t>
      </w:r>
      <w:r w:rsidR="008A2186" w:rsidRPr="00BA73CB">
        <w:rPr>
          <w:rFonts w:ascii="Arial" w:hAnsi="Arial" w:cs="Arial"/>
          <w:sz w:val="24"/>
          <w:szCs w:val="24"/>
        </w:rPr>
        <w:t xml:space="preserve"> million over the 20-year period.   </w:t>
      </w:r>
      <w:r w:rsidR="00472453" w:rsidRPr="00BA73CB">
        <w:rPr>
          <w:rFonts w:ascii="Arial" w:hAnsi="Arial" w:cs="Arial"/>
          <w:sz w:val="24"/>
          <w:szCs w:val="24"/>
        </w:rPr>
        <w:t xml:space="preserve">  </w:t>
      </w:r>
      <w:r w:rsidRPr="00BA73CB">
        <w:rPr>
          <w:rFonts w:ascii="Arial" w:hAnsi="Arial" w:cs="Arial"/>
          <w:sz w:val="24"/>
          <w:szCs w:val="24"/>
        </w:rPr>
        <w:t xml:space="preserve">   </w:t>
      </w:r>
    </w:p>
    <w:p w:rsidR="00DB5BDE" w:rsidRPr="00BA73CB" w:rsidRDefault="001A60B1" w:rsidP="00BA73CB">
      <w:pPr>
        <w:spacing w:line="480" w:lineRule="auto"/>
        <w:rPr>
          <w:rFonts w:ascii="Arial" w:hAnsi="Arial" w:cs="Arial"/>
          <w:sz w:val="24"/>
          <w:szCs w:val="24"/>
        </w:rPr>
      </w:pPr>
      <w:r>
        <w:rPr>
          <w:noProof/>
        </w:rPr>
        <w:drawing>
          <wp:inline distT="0" distB="0" distL="0" distR="0" wp14:anchorId="469E7538" wp14:editId="15FFA18A">
            <wp:extent cx="5943600" cy="4900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900295"/>
                    </a:xfrm>
                    <a:prstGeom prst="rect">
                      <a:avLst/>
                    </a:prstGeom>
                  </pic:spPr>
                </pic:pic>
              </a:graphicData>
            </a:graphic>
          </wp:inline>
        </w:drawing>
      </w:r>
    </w:p>
    <w:p w:rsidR="008A2186" w:rsidRPr="00277CEC" w:rsidRDefault="008A2186" w:rsidP="004376EA">
      <w:pPr>
        <w:spacing w:line="480" w:lineRule="auto"/>
        <w:ind w:left="720" w:hanging="720"/>
        <w:rPr>
          <w:rFonts w:ascii="Arial" w:hAnsi="Arial" w:cs="Arial"/>
          <w:b/>
          <w:sz w:val="24"/>
          <w:szCs w:val="24"/>
        </w:rPr>
      </w:pPr>
      <w:r w:rsidRPr="00277CEC">
        <w:rPr>
          <w:rFonts w:ascii="Arial" w:hAnsi="Arial" w:cs="Arial"/>
          <w:b/>
          <w:sz w:val="24"/>
          <w:szCs w:val="24"/>
        </w:rPr>
        <w:t>Q.</w:t>
      </w:r>
      <w:r w:rsidRPr="00277CEC">
        <w:rPr>
          <w:rFonts w:ascii="Arial" w:hAnsi="Arial" w:cs="Arial"/>
          <w:b/>
          <w:sz w:val="24"/>
          <w:szCs w:val="24"/>
        </w:rPr>
        <w:tab/>
        <w:t>Are there any risk to AEP for implementing this type of NYMEX natural gas buying strategy?</w:t>
      </w:r>
    </w:p>
    <w:p w:rsidR="00533295" w:rsidRDefault="008A2186" w:rsidP="00533295">
      <w:pPr>
        <w:spacing w:line="480" w:lineRule="auto"/>
        <w:ind w:left="720" w:hanging="720"/>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t xml:space="preserve">Yes. As mentioned above, the amount of natural gas </w:t>
      </w:r>
      <w:r w:rsidR="00EA4CAE" w:rsidRPr="00BA73CB">
        <w:rPr>
          <w:rFonts w:ascii="Arial" w:hAnsi="Arial" w:cs="Arial"/>
          <w:sz w:val="24"/>
          <w:szCs w:val="24"/>
        </w:rPr>
        <w:t>purchased w</w:t>
      </w:r>
      <w:r w:rsidR="005842CB">
        <w:rPr>
          <w:rFonts w:ascii="Arial" w:hAnsi="Arial" w:cs="Arial"/>
          <w:sz w:val="24"/>
          <w:szCs w:val="24"/>
        </w:rPr>
        <w:t>ould</w:t>
      </w:r>
      <w:r w:rsidR="00EA4CAE" w:rsidRPr="00BA73CB">
        <w:rPr>
          <w:rFonts w:ascii="Arial" w:hAnsi="Arial" w:cs="Arial"/>
          <w:sz w:val="24"/>
          <w:szCs w:val="24"/>
        </w:rPr>
        <w:t xml:space="preserve"> change the amount of</w:t>
      </w:r>
      <w:r w:rsidR="00F66294">
        <w:rPr>
          <w:rFonts w:ascii="Arial" w:hAnsi="Arial" w:cs="Arial"/>
          <w:sz w:val="24"/>
          <w:szCs w:val="24"/>
        </w:rPr>
        <w:t xml:space="preserve"> </w:t>
      </w:r>
      <w:r w:rsidR="005842CB">
        <w:rPr>
          <w:rFonts w:ascii="Arial" w:hAnsi="Arial" w:cs="Arial"/>
          <w:sz w:val="24"/>
          <w:szCs w:val="24"/>
        </w:rPr>
        <w:t xml:space="preserve">profit </w:t>
      </w:r>
      <w:r w:rsidR="004172F5">
        <w:rPr>
          <w:rFonts w:ascii="Arial" w:hAnsi="Arial" w:cs="Arial"/>
          <w:sz w:val="24"/>
          <w:szCs w:val="24"/>
        </w:rPr>
        <w:t>s</w:t>
      </w:r>
      <w:r w:rsidR="00EA4CAE" w:rsidRPr="00BA73CB">
        <w:rPr>
          <w:rFonts w:ascii="Arial" w:hAnsi="Arial" w:cs="Arial"/>
          <w:sz w:val="24"/>
          <w:szCs w:val="24"/>
        </w:rPr>
        <w:t>o there’s a volumetric risk. Second, I’m assuming AEP</w:t>
      </w:r>
      <w:r w:rsidR="005842CB">
        <w:rPr>
          <w:rFonts w:ascii="Arial" w:hAnsi="Arial" w:cs="Arial"/>
          <w:sz w:val="24"/>
          <w:szCs w:val="24"/>
        </w:rPr>
        <w:t>’s affiliate</w:t>
      </w:r>
      <w:r w:rsidR="00EA4CAE" w:rsidRPr="00BA73CB">
        <w:rPr>
          <w:rFonts w:ascii="Arial" w:hAnsi="Arial" w:cs="Arial"/>
          <w:sz w:val="24"/>
          <w:szCs w:val="24"/>
        </w:rPr>
        <w:t xml:space="preserve"> can buy natural gas contracts close to the market </w:t>
      </w:r>
      <w:r w:rsidR="000623DE" w:rsidRPr="00BA73CB">
        <w:rPr>
          <w:rFonts w:ascii="Arial" w:hAnsi="Arial" w:cs="Arial"/>
          <w:sz w:val="24"/>
          <w:szCs w:val="24"/>
        </w:rPr>
        <w:t>but</w:t>
      </w:r>
      <w:r w:rsidR="00EA4CAE" w:rsidRPr="00BA73CB">
        <w:rPr>
          <w:rFonts w:ascii="Arial" w:hAnsi="Arial" w:cs="Arial"/>
          <w:sz w:val="24"/>
          <w:szCs w:val="24"/>
        </w:rPr>
        <w:t xml:space="preserve"> once </w:t>
      </w:r>
      <w:r w:rsidR="005842CB">
        <w:rPr>
          <w:rFonts w:ascii="Arial" w:hAnsi="Arial" w:cs="Arial"/>
          <w:sz w:val="24"/>
          <w:szCs w:val="24"/>
        </w:rPr>
        <w:t>it</w:t>
      </w:r>
      <w:r w:rsidR="00EA4CAE" w:rsidRPr="00BA73CB">
        <w:rPr>
          <w:rFonts w:ascii="Arial" w:hAnsi="Arial" w:cs="Arial"/>
          <w:sz w:val="24"/>
          <w:szCs w:val="24"/>
        </w:rPr>
        <w:t xml:space="preserve"> buy</w:t>
      </w:r>
      <w:r w:rsidR="000623DE" w:rsidRPr="00BA73CB">
        <w:rPr>
          <w:rFonts w:ascii="Arial" w:hAnsi="Arial" w:cs="Arial"/>
          <w:sz w:val="24"/>
          <w:szCs w:val="24"/>
        </w:rPr>
        <w:t>s</w:t>
      </w:r>
      <w:r w:rsidR="00EA4CAE" w:rsidRPr="00BA73CB">
        <w:rPr>
          <w:rFonts w:ascii="Arial" w:hAnsi="Arial" w:cs="Arial"/>
          <w:sz w:val="24"/>
          <w:szCs w:val="24"/>
        </w:rPr>
        <w:t xml:space="preserve"> </w:t>
      </w:r>
      <w:r w:rsidR="00914761" w:rsidRPr="00BA73CB">
        <w:rPr>
          <w:rFonts w:ascii="Arial" w:hAnsi="Arial" w:cs="Arial"/>
          <w:sz w:val="24"/>
          <w:szCs w:val="24"/>
        </w:rPr>
        <w:t>the contracts they</w:t>
      </w:r>
      <w:r w:rsidR="00EA4CAE" w:rsidRPr="00BA73CB">
        <w:rPr>
          <w:rFonts w:ascii="Arial" w:hAnsi="Arial" w:cs="Arial"/>
          <w:sz w:val="24"/>
          <w:szCs w:val="24"/>
        </w:rPr>
        <w:t xml:space="preserve"> know the price delta between </w:t>
      </w:r>
      <w:r w:rsidR="000623DE" w:rsidRPr="00BA73CB">
        <w:rPr>
          <w:rFonts w:ascii="Arial" w:hAnsi="Arial" w:cs="Arial"/>
          <w:sz w:val="24"/>
          <w:szCs w:val="24"/>
        </w:rPr>
        <w:t>what was purchased and AEP’s</w:t>
      </w:r>
      <w:r w:rsidR="002A7EA2">
        <w:rPr>
          <w:rFonts w:ascii="Arial" w:hAnsi="Arial" w:cs="Arial"/>
          <w:sz w:val="24"/>
          <w:szCs w:val="24"/>
        </w:rPr>
        <w:t xml:space="preserve"> </w:t>
      </w:r>
      <w:proofErr w:type="gramStart"/>
      <w:r w:rsidR="000623DE" w:rsidRPr="00BA73CB">
        <w:rPr>
          <w:rFonts w:ascii="Arial" w:hAnsi="Arial" w:cs="Arial"/>
          <w:sz w:val="24"/>
          <w:szCs w:val="24"/>
        </w:rPr>
        <w:t>forecast</w:t>
      </w:r>
      <w:proofErr w:type="gramEnd"/>
      <w:r w:rsidR="000623DE" w:rsidRPr="00BA73CB">
        <w:rPr>
          <w:rFonts w:ascii="Arial" w:hAnsi="Arial" w:cs="Arial"/>
          <w:sz w:val="24"/>
          <w:szCs w:val="24"/>
        </w:rPr>
        <w:t xml:space="preserve"> so the </w:t>
      </w:r>
      <w:r w:rsidR="007537F5" w:rsidRPr="00BA73CB">
        <w:rPr>
          <w:rFonts w:ascii="Arial" w:hAnsi="Arial" w:cs="Arial"/>
          <w:sz w:val="24"/>
          <w:szCs w:val="24"/>
        </w:rPr>
        <w:lastRenderedPageBreak/>
        <w:t>Per Unit</w:t>
      </w:r>
      <w:r w:rsidR="00EA4CAE" w:rsidRPr="00BA73CB">
        <w:rPr>
          <w:rFonts w:ascii="Arial" w:hAnsi="Arial" w:cs="Arial"/>
          <w:sz w:val="24"/>
          <w:szCs w:val="24"/>
        </w:rPr>
        <w:t xml:space="preserve"> Gain</w:t>
      </w:r>
      <w:r w:rsidR="000623DE" w:rsidRPr="00BA73CB">
        <w:rPr>
          <w:rFonts w:ascii="Arial" w:hAnsi="Arial" w:cs="Arial"/>
          <w:sz w:val="24"/>
          <w:szCs w:val="24"/>
        </w:rPr>
        <w:t xml:space="preserve"> becomes somewhat locked in</w:t>
      </w:r>
      <w:r w:rsidR="00EA4CAE" w:rsidRPr="00BA73CB">
        <w:rPr>
          <w:rFonts w:ascii="Arial" w:hAnsi="Arial" w:cs="Arial"/>
          <w:sz w:val="24"/>
          <w:szCs w:val="24"/>
        </w:rPr>
        <w:t>. Third, there are a lot of factors that go into AEP’s power price forecast that are not determined by the natural gas price and if any of these factors change there could be a corresponding change to</w:t>
      </w:r>
      <w:r w:rsidR="00092A6A">
        <w:rPr>
          <w:rFonts w:ascii="Arial" w:hAnsi="Arial" w:cs="Arial"/>
          <w:sz w:val="24"/>
          <w:szCs w:val="24"/>
        </w:rPr>
        <w:t xml:space="preserve"> the</w:t>
      </w:r>
      <w:r w:rsidR="00EA4CAE" w:rsidRPr="00BA73CB">
        <w:rPr>
          <w:rFonts w:ascii="Arial" w:hAnsi="Arial" w:cs="Arial"/>
          <w:sz w:val="24"/>
          <w:szCs w:val="24"/>
        </w:rPr>
        <w:t xml:space="preserve"> AEP power price forecast. Lastly,</w:t>
      </w:r>
      <w:r w:rsidR="005842CB">
        <w:rPr>
          <w:rFonts w:ascii="Arial" w:hAnsi="Arial" w:cs="Arial"/>
          <w:sz w:val="24"/>
          <w:szCs w:val="24"/>
        </w:rPr>
        <w:t xml:space="preserve"> and most importantly,</w:t>
      </w:r>
      <w:r w:rsidR="00EA4CAE" w:rsidRPr="00BA73CB">
        <w:rPr>
          <w:rFonts w:ascii="Arial" w:hAnsi="Arial" w:cs="Arial"/>
          <w:sz w:val="24"/>
          <w:szCs w:val="24"/>
        </w:rPr>
        <w:t xml:space="preserve"> only considering future natural gas prices</w:t>
      </w:r>
      <w:r w:rsidR="000623DE" w:rsidRPr="00BA73CB">
        <w:rPr>
          <w:rFonts w:ascii="Arial" w:hAnsi="Arial" w:cs="Arial"/>
          <w:sz w:val="24"/>
          <w:szCs w:val="24"/>
        </w:rPr>
        <w:t>,</w:t>
      </w:r>
      <w:r w:rsidR="00EA4CAE" w:rsidRPr="00BA73CB">
        <w:rPr>
          <w:rFonts w:ascii="Arial" w:hAnsi="Arial" w:cs="Arial"/>
          <w:sz w:val="24"/>
          <w:szCs w:val="24"/>
        </w:rPr>
        <w:t xml:space="preserve"> if AEP’s natural gas price forecast fails to materialize</w:t>
      </w:r>
      <w:r w:rsidR="000623DE" w:rsidRPr="00BA73CB">
        <w:rPr>
          <w:rFonts w:ascii="Arial" w:hAnsi="Arial" w:cs="Arial"/>
          <w:sz w:val="24"/>
          <w:szCs w:val="24"/>
        </w:rPr>
        <w:t xml:space="preserve"> than this strategy unravels very quickly. If natural gas prices come in well below what Mr. </w:t>
      </w:r>
      <w:proofErr w:type="spellStart"/>
      <w:r w:rsidR="000623DE" w:rsidRPr="00BA73CB">
        <w:rPr>
          <w:rFonts w:ascii="Arial" w:hAnsi="Arial" w:cs="Arial"/>
          <w:sz w:val="24"/>
          <w:szCs w:val="24"/>
        </w:rPr>
        <w:t>Bletzacker</w:t>
      </w:r>
      <w:proofErr w:type="spellEnd"/>
      <w:r w:rsidR="007537F5" w:rsidRPr="00BA73CB">
        <w:rPr>
          <w:rFonts w:ascii="Arial" w:hAnsi="Arial" w:cs="Arial"/>
          <w:sz w:val="24"/>
          <w:szCs w:val="24"/>
        </w:rPr>
        <w:t xml:space="preserve"> forecast</w:t>
      </w:r>
      <w:r w:rsidR="005A34E2">
        <w:rPr>
          <w:rFonts w:ascii="Arial" w:hAnsi="Arial" w:cs="Arial"/>
          <w:sz w:val="24"/>
          <w:szCs w:val="24"/>
        </w:rPr>
        <w:t>ed</w:t>
      </w:r>
      <w:r w:rsidR="000623DE" w:rsidRPr="00BA73CB">
        <w:rPr>
          <w:rFonts w:ascii="Arial" w:hAnsi="Arial" w:cs="Arial"/>
          <w:sz w:val="24"/>
          <w:szCs w:val="24"/>
        </w:rPr>
        <w:t xml:space="preserve"> as they did in </w:t>
      </w:r>
      <w:r w:rsidR="004376EA">
        <w:rPr>
          <w:rFonts w:ascii="Arial" w:hAnsi="Arial" w:cs="Arial"/>
          <w:sz w:val="24"/>
          <w:szCs w:val="24"/>
        </w:rPr>
        <w:t xml:space="preserve">2008, 2009, 2010, 2011, 2012, 2013, 2014, </w:t>
      </w:r>
      <w:r w:rsidR="000623DE" w:rsidRPr="00BA73CB">
        <w:rPr>
          <w:rFonts w:ascii="Arial" w:hAnsi="Arial" w:cs="Arial"/>
          <w:sz w:val="24"/>
          <w:szCs w:val="24"/>
        </w:rPr>
        <w:t>2015,</w:t>
      </w:r>
      <w:r w:rsidR="004376EA">
        <w:rPr>
          <w:rFonts w:ascii="Arial" w:hAnsi="Arial" w:cs="Arial"/>
          <w:sz w:val="24"/>
          <w:szCs w:val="24"/>
        </w:rPr>
        <w:t xml:space="preserve"> and 2016</w:t>
      </w:r>
      <w:r w:rsidR="00914761" w:rsidRPr="00BA73CB">
        <w:rPr>
          <w:rFonts w:ascii="Arial" w:hAnsi="Arial" w:cs="Arial"/>
          <w:sz w:val="24"/>
          <w:szCs w:val="24"/>
        </w:rPr>
        <w:t xml:space="preserve"> the</w:t>
      </w:r>
      <w:r w:rsidR="000623DE" w:rsidRPr="00BA73CB">
        <w:rPr>
          <w:rFonts w:ascii="Arial" w:hAnsi="Arial" w:cs="Arial"/>
          <w:sz w:val="24"/>
          <w:szCs w:val="24"/>
        </w:rPr>
        <w:t>n</w:t>
      </w:r>
      <w:r w:rsidR="00914761" w:rsidRPr="00BA73CB">
        <w:rPr>
          <w:rFonts w:ascii="Arial" w:hAnsi="Arial" w:cs="Arial"/>
          <w:sz w:val="24"/>
          <w:szCs w:val="24"/>
        </w:rPr>
        <w:t>,</w:t>
      </w:r>
      <w:r w:rsidR="000623DE" w:rsidRPr="00BA73CB">
        <w:rPr>
          <w:rFonts w:ascii="Arial" w:hAnsi="Arial" w:cs="Arial"/>
          <w:sz w:val="24"/>
          <w:szCs w:val="24"/>
        </w:rPr>
        <w:t xml:space="preserve"> due to heat rate correlations, power prices will </w:t>
      </w:r>
      <w:r w:rsidR="007537F5" w:rsidRPr="00BA73CB">
        <w:rPr>
          <w:rFonts w:ascii="Arial" w:hAnsi="Arial" w:cs="Arial"/>
          <w:sz w:val="24"/>
          <w:szCs w:val="24"/>
        </w:rPr>
        <w:t xml:space="preserve">also </w:t>
      </w:r>
      <w:r w:rsidR="000623DE" w:rsidRPr="00BA73CB">
        <w:rPr>
          <w:rFonts w:ascii="Arial" w:hAnsi="Arial" w:cs="Arial"/>
          <w:sz w:val="24"/>
          <w:szCs w:val="24"/>
        </w:rPr>
        <w:t xml:space="preserve">fall well below Mr. </w:t>
      </w:r>
      <w:proofErr w:type="spellStart"/>
      <w:r w:rsidR="000623DE" w:rsidRPr="00BA73CB">
        <w:rPr>
          <w:rFonts w:ascii="Arial" w:hAnsi="Arial" w:cs="Arial"/>
          <w:sz w:val="24"/>
          <w:szCs w:val="24"/>
        </w:rPr>
        <w:t>Bletzacker</w:t>
      </w:r>
      <w:proofErr w:type="spellEnd"/>
      <w:r w:rsidR="000623DE" w:rsidRPr="00BA73CB">
        <w:rPr>
          <w:rFonts w:ascii="Arial" w:hAnsi="Arial" w:cs="Arial"/>
          <w:sz w:val="24"/>
          <w:szCs w:val="24"/>
        </w:rPr>
        <w:t xml:space="preserve"> </w:t>
      </w:r>
      <w:r w:rsidR="00AF7149" w:rsidRPr="00BA73CB">
        <w:rPr>
          <w:rFonts w:ascii="Arial" w:hAnsi="Arial" w:cs="Arial"/>
          <w:sz w:val="24"/>
          <w:szCs w:val="24"/>
        </w:rPr>
        <w:t>power</w:t>
      </w:r>
      <w:r w:rsidR="000623DE" w:rsidRPr="00BA73CB">
        <w:rPr>
          <w:rFonts w:ascii="Arial" w:hAnsi="Arial" w:cs="Arial"/>
          <w:sz w:val="24"/>
          <w:szCs w:val="24"/>
        </w:rPr>
        <w:t xml:space="preserve"> forecas</w:t>
      </w:r>
      <w:r w:rsidR="00AF7149" w:rsidRPr="00BA73CB">
        <w:rPr>
          <w:rFonts w:ascii="Arial" w:hAnsi="Arial" w:cs="Arial"/>
          <w:sz w:val="24"/>
          <w:szCs w:val="24"/>
        </w:rPr>
        <w:t>t</w:t>
      </w:r>
      <w:r w:rsidR="000623DE" w:rsidRPr="00BA73CB">
        <w:rPr>
          <w:rFonts w:ascii="Arial" w:hAnsi="Arial" w:cs="Arial"/>
          <w:sz w:val="24"/>
          <w:szCs w:val="24"/>
        </w:rPr>
        <w:t>. If power prices come in well below AEP’</w:t>
      </w:r>
      <w:r w:rsidR="00AF7149" w:rsidRPr="00BA73CB">
        <w:rPr>
          <w:rFonts w:ascii="Arial" w:hAnsi="Arial" w:cs="Arial"/>
          <w:sz w:val="24"/>
          <w:szCs w:val="24"/>
        </w:rPr>
        <w:t>s forecasted price than many of the assumptions made in AEP’s Exhibit JFT-1 fall apart.</w:t>
      </w:r>
      <w:r w:rsidR="000623DE" w:rsidRPr="00BA73CB">
        <w:rPr>
          <w:rFonts w:ascii="Arial" w:hAnsi="Arial" w:cs="Arial"/>
          <w:sz w:val="24"/>
          <w:szCs w:val="24"/>
        </w:rPr>
        <w:t xml:space="preserve">  </w:t>
      </w:r>
      <w:r w:rsidR="00EA4CAE" w:rsidRPr="00BA73CB">
        <w:rPr>
          <w:rFonts w:ascii="Arial" w:hAnsi="Arial" w:cs="Arial"/>
          <w:sz w:val="24"/>
          <w:szCs w:val="24"/>
        </w:rPr>
        <w:t xml:space="preserve">  </w:t>
      </w:r>
    </w:p>
    <w:p w:rsidR="00584E0B" w:rsidRPr="00277CEC" w:rsidRDefault="00584E0B" w:rsidP="00533295">
      <w:pPr>
        <w:spacing w:line="480" w:lineRule="auto"/>
        <w:ind w:left="720" w:hanging="720"/>
        <w:jc w:val="both"/>
        <w:rPr>
          <w:rFonts w:ascii="Arial" w:hAnsi="Arial" w:cs="Arial"/>
          <w:b/>
          <w:sz w:val="24"/>
          <w:szCs w:val="24"/>
        </w:rPr>
      </w:pPr>
      <w:r w:rsidRPr="00277CEC">
        <w:rPr>
          <w:rFonts w:ascii="Arial" w:hAnsi="Arial" w:cs="Arial"/>
          <w:b/>
          <w:sz w:val="24"/>
          <w:szCs w:val="24"/>
        </w:rPr>
        <w:t xml:space="preserve">Q. </w:t>
      </w:r>
      <w:r w:rsidRPr="00277CEC">
        <w:rPr>
          <w:rFonts w:ascii="Arial" w:hAnsi="Arial" w:cs="Arial"/>
          <w:b/>
          <w:sz w:val="24"/>
          <w:szCs w:val="24"/>
        </w:rPr>
        <w:tab/>
        <w:t xml:space="preserve">Do you agree with Mr. </w:t>
      </w:r>
      <w:proofErr w:type="spellStart"/>
      <w:r w:rsidRPr="00277CEC">
        <w:rPr>
          <w:rFonts w:ascii="Arial" w:hAnsi="Arial" w:cs="Arial"/>
          <w:b/>
          <w:sz w:val="24"/>
          <w:szCs w:val="24"/>
        </w:rPr>
        <w:t>Bletzacker</w:t>
      </w:r>
      <w:proofErr w:type="spellEnd"/>
      <w:r w:rsidRPr="00277CEC">
        <w:rPr>
          <w:rFonts w:ascii="Arial" w:hAnsi="Arial" w:cs="Arial"/>
          <w:b/>
          <w:sz w:val="24"/>
          <w:szCs w:val="24"/>
        </w:rPr>
        <w:t xml:space="preserve"> that a Fundamentals Forecast should be used in lieu of the NYMEX market for corporate planning purposes?</w:t>
      </w:r>
    </w:p>
    <w:p w:rsidR="00D815BE" w:rsidRPr="00BA73CB" w:rsidRDefault="00584E0B" w:rsidP="00533295">
      <w:pPr>
        <w:spacing w:line="480" w:lineRule="auto"/>
        <w:ind w:left="720" w:hanging="720"/>
        <w:jc w:val="both"/>
        <w:rPr>
          <w:rFonts w:ascii="Arial" w:hAnsi="Arial" w:cs="Arial"/>
          <w:sz w:val="24"/>
          <w:szCs w:val="24"/>
        </w:rPr>
      </w:pPr>
      <w:r w:rsidRPr="00BA73CB">
        <w:rPr>
          <w:rFonts w:ascii="Arial" w:hAnsi="Arial" w:cs="Arial"/>
          <w:sz w:val="24"/>
          <w:szCs w:val="24"/>
        </w:rPr>
        <w:t>A.</w:t>
      </w:r>
      <w:r w:rsidR="006C669C" w:rsidRPr="00BA73CB">
        <w:rPr>
          <w:rFonts w:ascii="Arial" w:hAnsi="Arial" w:cs="Arial"/>
          <w:sz w:val="24"/>
          <w:szCs w:val="24"/>
        </w:rPr>
        <w:tab/>
        <w:t>No.</w:t>
      </w:r>
      <w:r w:rsidR="00984DA1" w:rsidRPr="00BA73CB">
        <w:rPr>
          <w:rFonts w:ascii="Arial" w:hAnsi="Arial" w:cs="Arial"/>
          <w:sz w:val="24"/>
          <w:szCs w:val="24"/>
        </w:rPr>
        <w:t xml:space="preserve"> As mentioned earlier, many if not most privately held and investor owned corporations rely, at least in some part, on NYMEX market prices for planning purposes when natural gas is involved. Specifically, for planning purposes, step one is to look at forward market prices whether it’s for commodities or interest rates or any financial element where a market exists.</w:t>
      </w:r>
      <w:r w:rsidR="008B7CD3" w:rsidRPr="00BA73CB">
        <w:rPr>
          <w:rFonts w:ascii="Arial" w:hAnsi="Arial" w:cs="Arial"/>
          <w:sz w:val="24"/>
          <w:szCs w:val="24"/>
        </w:rPr>
        <w:t xml:space="preserve"> But, b</w:t>
      </w:r>
      <w:r w:rsidR="006C669C" w:rsidRPr="00BA73CB">
        <w:rPr>
          <w:rFonts w:ascii="Arial" w:hAnsi="Arial" w:cs="Arial"/>
          <w:sz w:val="24"/>
          <w:szCs w:val="24"/>
        </w:rPr>
        <w:t xml:space="preserve">ased on </w:t>
      </w:r>
      <w:r w:rsidR="00D815BE" w:rsidRPr="00BA73CB">
        <w:rPr>
          <w:rFonts w:ascii="Arial" w:hAnsi="Arial" w:cs="Arial"/>
          <w:sz w:val="24"/>
          <w:szCs w:val="24"/>
        </w:rPr>
        <w:t>page 4</w:t>
      </w:r>
      <w:r w:rsidR="008B7CD3" w:rsidRPr="00BA73CB">
        <w:rPr>
          <w:rFonts w:ascii="Arial" w:hAnsi="Arial" w:cs="Arial"/>
          <w:sz w:val="24"/>
          <w:szCs w:val="24"/>
        </w:rPr>
        <w:t xml:space="preserve"> and 5</w:t>
      </w:r>
      <w:r w:rsidR="00D815BE" w:rsidRPr="00BA73CB">
        <w:rPr>
          <w:rFonts w:ascii="Arial" w:hAnsi="Arial" w:cs="Arial"/>
          <w:sz w:val="24"/>
          <w:szCs w:val="24"/>
        </w:rPr>
        <w:t xml:space="preserve"> of </w:t>
      </w:r>
      <w:r w:rsidR="006C669C" w:rsidRPr="00BA73CB">
        <w:rPr>
          <w:rFonts w:ascii="Arial" w:hAnsi="Arial" w:cs="Arial"/>
          <w:sz w:val="24"/>
          <w:szCs w:val="24"/>
        </w:rPr>
        <w:t xml:space="preserve">Mr. </w:t>
      </w:r>
      <w:proofErr w:type="spellStart"/>
      <w:r w:rsidR="006C669C" w:rsidRPr="00BA73CB">
        <w:rPr>
          <w:rFonts w:ascii="Arial" w:hAnsi="Arial" w:cs="Arial"/>
          <w:sz w:val="24"/>
          <w:szCs w:val="24"/>
        </w:rPr>
        <w:t>Bletzacker’s</w:t>
      </w:r>
      <w:proofErr w:type="spellEnd"/>
      <w:r w:rsidR="006C669C" w:rsidRPr="00BA73CB">
        <w:rPr>
          <w:rFonts w:ascii="Arial" w:hAnsi="Arial" w:cs="Arial"/>
          <w:sz w:val="24"/>
          <w:szCs w:val="24"/>
        </w:rPr>
        <w:t xml:space="preserve"> testimony</w:t>
      </w:r>
      <w:r w:rsidR="000C513A" w:rsidRPr="00BA73CB">
        <w:rPr>
          <w:rFonts w:ascii="Arial" w:hAnsi="Arial" w:cs="Arial"/>
          <w:color w:val="FF0000"/>
          <w:sz w:val="24"/>
          <w:szCs w:val="24"/>
        </w:rPr>
        <w:t>:</w:t>
      </w:r>
      <w:r w:rsidR="00D815BE" w:rsidRPr="00BA73CB">
        <w:rPr>
          <w:rFonts w:ascii="Arial" w:hAnsi="Arial" w:cs="Arial"/>
          <w:sz w:val="24"/>
          <w:szCs w:val="24"/>
        </w:rPr>
        <w:t xml:space="preserve"> </w:t>
      </w:r>
    </w:p>
    <w:p w:rsidR="00584E0B" w:rsidRPr="00BA73CB" w:rsidRDefault="00D815BE" w:rsidP="00533295">
      <w:pPr>
        <w:spacing w:line="480" w:lineRule="auto"/>
        <w:ind w:left="720"/>
        <w:jc w:val="both"/>
        <w:rPr>
          <w:rFonts w:ascii="Arial" w:hAnsi="Arial" w:cs="Arial"/>
          <w:sz w:val="24"/>
          <w:szCs w:val="24"/>
        </w:rPr>
      </w:pPr>
      <w:r w:rsidRPr="00BA73CB">
        <w:rPr>
          <w:rFonts w:ascii="Arial" w:hAnsi="Arial" w:cs="Arial"/>
          <w:sz w:val="24"/>
          <w:szCs w:val="24"/>
        </w:rPr>
        <w:t xml:space="preserve">“The primary tool used to develop the North American long-term energy market pricing forecast is the Aurora energy market simulation model… AEPSC also has ample energy market research information available for its reference, from sources including third-party consultants, industry groups, governmental agencies, trade </w:t>
      </w:r>
      <w:r w:rsidRPr="00BA73CB">
        <w:rPr>
          <w:rFonts w:ascii="Arial" w:hAnsi="Arial" w:cs="Arial"/>
          <w:sz w:val="24"/>
          <w:szCs w:val="24"/>
        </w:rPr>
        <w:lastRenderedPageBreak/>
        <w:t>press, investment community, AEP-internal expertise, various stakeholders, and others.”</w:t>
      </w:r>
      <w:r w:rsidR="006C669C" w:rsidRPr="00BA73CB">
        <w:rPr>
          <w:rFonts w:ascii="Arial" w:hAnsi="Arial" w:cs="Arial"/>
          <w:sz w:val="24"/>
          <w:szCs w:val="24"/>
        </w:rPr>
        <w:t xml:space="preserve"> </w:t>
      </w:r>
    </w:p>
    <w:p w:rsidR="009E08FF" w:rsidRDefault="00D815BE" w:rsidP="00533295">
      <w:pPr>
        <w:spacing w:line="480" w:lineRule="auto"/>
        <w:ind w:left="720"/>
        <w:jc w:val="both"/>
        <w:rPr>
          <w:rFonts w:ascii="Arial" w:hAnsi="Arial" w:cs="Arial"/>
          <w:sz w:val="24"/>
          <w:szCs w:val="24"/>
        </w:rPr>
      </w:pPr>
      <w:r w:rsidRPr="00BA73CB">
        <w:rPr>
          <w:rFonts w:ascii="Arial" w:hAnsi="Arial" w:cs="Arial"/>
          <w:sz w:val="24"/>
          <w:szCs w:val="24"/>
        </w:rPr>
        <w:t xml:space="preserve">Nowhere in </w:t>
      </w:r>
      <w:r w:rsidR="006F7A98" w:rsidRPr="00BA73CB">
        <w:rPr>
          <w:rFonts w:ascii="Arial" w:hAnsi="Arial" w:cs="Arial"/>
          <w:sz w:val="24"/>
          <w:szCs w:val="24"/>
        </w:rPr>
        <w:t xml:space="preserve">Mr. </w:t>
      </w:r>
      <w:proofErr w:type="spellStart"/>
      <w:r w:rsidR="006F7A98" w:rsidRPr="00BA73CB">
        <w:rPr>
          <w:rFonts w:ascii="Arial" w:hAnsi="Arial" w:cs="Arial"/>
          <w:sz w:val="24"/>
          <w:szCs w:val="24"/>
        </w:rPr>
        <w:t>Bletzacker’s</w:t>
      </w:r>
      <w:proofErr w:type="spellEnd"/>
      <w:r w:rsidR="006F7A98" w:rsidRPr="00BA73CB">
        <w:rPr>
          <w:rFonts w:ascii="Arial" w:hAnsi="Arial" w:cs="Arial"/>
          <w:sz w:val="24"/>
          <w:szCs w:val="24"/>
        </w:rPr>
        <w:t xml:space="preserve"> testimony</w:t>
      </w:r>
      <w:r w:rsidRPr="00BA73CB">
        <w:rPr>
          <w:rFonts w:ascii="Arial" w:hAnsi="Arial" w:cs="Arial"/>
          <w:sz w:val="24"/>
          <w:szCs w:val="24"/>
        </w:rPr>
        <w:t xml:space="preserve"> does it show that forward NYMEX market prices are used</w:t>
      </w:r>
      <w:r w:rsidR="008B7CD3" w:rsidRPr="00BA73CB">
        <w:rPr>
          <w:rFonts w:ascii="Arial" w:hAnsi="Arial" w:cs="Arial"/>
          <w:sz w:val="24"/>
          <w:szCs w:val="24"/>
        </w:rPr>
        <w:t xml:space="preserve"> for natural gas</w:t>
      </w:r>
      <w:r w:rsidRPr="00BA73CB">
        <w:rPr>
          <w:rFonts w:ascii="Arial" w:hAnsi="Arial" w:cs="Arial"/>
          <w:sz w:val="24"/>
          <w:szCs w:val="24"/>
        </w:rPr>
        <w:t xml:space="preserve"> and if so, </w:t>
      </w:r>
      <w:r w:rsidR="008B7CD3" w:rsidRPr="00BA73CB">
        <w:rPr>
          <w:rFonts w:ascii="Arial" w:hAnsi="Arial" w:cs="Arial"/>
          <w:sz w:val="24"/>
          <w:szCs w:val="24"/>
        </w:rPr>
        <w:t>why the</w:t>
      </w:r>
      <w:r w:rsidRPr="00BA73CB">
        <w:rPr>
          <w:rFonts w:ascii="Arial" w:hAnsi="Arial" w:cs="Arial"/>
          <w:sz w:val="24"/>
          <w:szCs w:val="24"/>
        </w:rPr>
        <w:t xml:space="preserve"> internal AEP price forecast st</w:t>
      </w:r>
      <w:r w:rsidR="006F7A98" w:rsidRPr="00BA73CB">
        <w:rPr>
          <w:rFonts w:ascii="Arial" w:hAnsi="Arial" w:cs="Arial"/>
          <w:sz w:val="24"/>
          <w:szCs w:val="24"/>
        </w:rPr>
        <w:t>r</w:t>
      </w:r>
      <w:r w:rsidRPr="00BA73CB">
        <w:rPr>
          <w:rFonts w:ascii="Arial" w:hAnsi="Arial" w:cs="Arial"/>
          <w:sz w:val="24"/>
          <w:szCs w:val="24"/>
        </w:rPr>
        <w:t>ay so far away from what the market believes.</w:t>
      </w:r>
      <w:r w:rsidR="008B7CD3" w:rsidRPr="00BA73CB">
        <w:rPr>
          <w:rFonts w:ascii="Arial" w:hAnsi="Arial" w:cs="Arial"/>
          <w:sz w:val="24"/>
          <w:szCs w:val="24"/>
        </w:rPr>
        <w:t xml:space="preserve"> Had Mr. </w:t>
      </w:r>
      <w:proofErr w:type="spellStart"/>
      <w:r w:rsidR="008B7CD3" w:rsidRPr="00BA73CB">
        <w:rPr>
          <w:rFonts w:ascii="Arial" w:hAnsi="Arial" w:cs="Arial"/>
          <w:sz w:val="24"/>
          <w:szCs w:val="24"/>
        </w:rPr>
        <w:t>Bletzacker</w:t>
      </w:r>
      <w:proofErr w:type="spellEnd"/>
      <w:r w:rsidR="008B7CD3" w:rsidRPr="00BA73CB">
        <w:rPr>
          <w:rFonts w:ascii="Arial" w:hAnsi="Arial" w:cs="Arial"/>
          <w:sz w:val="24"/>
          <w:szCs w:val="24"/>
        </w:rPr>
        <w:t xml:space="preserve"> used the market prices for natural gas instead of very inflated internal AEP prices, forecasted power prices would be much low</w:t>
      </w:r>
      <w:r w:rsidR="00E3767B" w:rsidRPr="00BA73CB">
        <w:rPr>
          <w:rFonts w:ascii="Arial" w:hAnsi="Arial" w:cs="Arial"/>
          <w:sz w:val="24"/>
          <w:szCs w:val="24"/>
        </w:rPr>
        <w:t>er and the project break-even analysis</w:t>
      </w:r>
      <w:r w:rsidR="006D5A08" w:rsidRPr="00BA73CB">
        <w:rPr>
          <w:rFonts w:ascii="Arial" w:hAnsi="Arial" w:cs="Arial"/>
          <w:sz w:val="24"/>
          <w:szCs w:val="24"/>
        </w:rPr>
        <w:t xml:space="preserve"> in AEP’s Exhibit JFT-1</w:t>
      </w:r>
      <w:r w:rsidR="00E3767B" w:rsidRPr="00BA73CB">
        <w:rPr>
          <w:rFonts w:ascii="Arial" w:hAnsi="Arial" w:cs="Arial"/>
          <w:sz w:val="24"/>
          <w:szCs w:val="24"/>
        </w:rPr>
        <w:t xml:space="preserve"> would be much different.  </w:t>
      </w:r>
      <w:r w:rsidR="008B7CD3" w:rsidRPr="00BA73CB">
        <w:rPr>
          <w:rFonts w:ascii="Arial" w:hAnsi="Arial" w:cs="Arial"/>
          <w:sz w:val="24"/>
          <w:szCs w:val="24"/>
        </w:rPr>
        <w:t xml:space="preserve"> </w:t>
      </w:r>
      <w:r w:rsidR="006F7A98" w:rsidRPr="00BA73CB">
        <w:rPr>
          <w:rFonts w:ascii="Arial" w:hAnsi="Arial" w:cs="Arial"/>
          <w:sz w:val="24"/>
          <w:szCs w:val="24"/>
        </w:rPr>
        <w:t xml:space="preserve"> </w:t>
      </w:r>
      <w:r w:rsidRPr="00BA73CB">
        <w:rPr>
          <w:rFonts w:ascii="Arial" w:hAnsi="Arial" w:cs="Arial"/>
          <w:sz w:val="24"/>
          <w:szCs w:val="24"/>
        </w:rPr>
        <w:t xml:space="preserve">   </w:t>
      </w:r>
    </w:p>
    <w:p w:rsidR="00034690" w:rsidRPr="004172F5" w:rsidRDefault="00034690" w:rsidP="009E08FF">
      <w:pPr>
        <w:spacing w:line="480" w:lineRule="auto"/>
        <w:ind w:left="720" w:hanging="720"/>
        <w:jc w:val="both"/>
        <w:rPr>
          <w:rFonts w:ascii="Arial" w:hAnsi="Arial" w:cs="Arial"/>
          <w:b/>
          <w:sz w:val="24"/>
          <w:szCs w:val="24"/>
        </w:rPr>
      </w:pPr>
      <w:r w:rsidRPr="004172F5">
        <w:rPr>
          <w:rFonts w:ascii="Arial" w:hAnsi="Arial" w:cs="Arial"/>
          <w:b/>
          <w:sz w:val="24"/>
          <w:szCs w:val="24"/>
        </w:rPr>
        <w:t xml:space="preserve">Q. </w:t>
      </w:r>
      <w:r w:rsidRPr="004172F5">
        <w:rPr>
          <w:rFonts w:ascii="Arial" w:hAnsi="Arial" w:cs="Arial"/>
          <w:b/>
          <w:sz w:val="24"/>
          <w:szCs w:val="24"/>
        </w:rPr>
        <w:tab/>
        <w:t xml:space="preserve">Is there anything else in Mr. </w:t>
      </w:r>
      <w:proofErr w:type="spellStart"/>
      <w:r w:rsidRPr="004172F5">
        <w:rPr>
          <w:rFonts w:ascii="Arial" w:hAnsi="Arial" w:cs="Arial"/>
          <w:b/>
          <w:sz w:val="24"/>
          <w:szCs w:val="24"/>
        </w:rPr>
        <w:t>Bletzacker’s</w:t>
      </w:r>
      <w:proofErr w:type="spellEnd"/>
      <w:r w:rsidRPr="004172F5">
        <w:rPr>
          <w:rFonts w:ascii="Arial" w:hAnsi="Arial" w:cs="Arial"/>
          <w:b/>
          <w:sz w:val="24"/>
          <w:szCs w:val="24"/>
        </w:rPr>
        <w:t xml:space="preserve"> testimony that you would like to address?</w:t>
      </w:r>
    </w:p>
    <w:p w:rsidR="00260707" w:rsidRPr="00BA73CB" w:rsidRDefault="00034690" w:rsidP="00277CEC">
      <w:pPr>
        <w:spacing w:line="480" w:lineRule="auto"/>
        <w:jc w:val="both"/>
        <w:rPr>
          <w:rFonts w:ascii="Arial" w:hAnsi="Arial" w:cs="Arial"/>
          <w:sz w:val="24"/>
          <w:szCs w:val="24"/>
        </w:rPr>
      </w:pPr>
      <w:r w:rsidRPr="00BA73CB">
        <w:rPr>
          <w:rFonts w:ascii="Arial" w:hAnsi="Arial" w:cs="Arial"/>
          <w:sz w:val="24"/>
          <w:szCs w:val="24"/>
        </w:rPr>
        <w:t>A.</w:t>
      </w:r>
      <w:r w:rsidRPr="00BA73CB">
        <w:rPr>
          <w:rFonts w:ascii="Arial" w:hAnsi="Arial" w:cs="Arial"/>
          <w:sz w:val="24"/>
          <w:szCs w:val="24"/>
        </w:rPr>
        <w:tab/>
        <w:t xml:space="preserve">Yes, on page 6, lines 6-9 of Mr. </w:t>
      </w:r>
      <w:proofErr w:type="spellStart"/>
      <w:r w:rsidRPr="00BA73CB">
        <w:rPr>
          <w:rFonts w:ascii="Arial" w:hAnsi="Arial" w:cs="Arial"/>
          <w:sz w:val="24"/>
          <w:szCs w:val="24"/>
        </w:rPr>
        <w:t>Bletzacker’s</w:t>
      </w:r>
      <w:proofErr w:type="spellEnd"/>
      <w:r w:rsidRPr="00BA73CB">
        <w:rPr>
          <w:rFonts w:ascii="Arial" w:hAnsi="Arial" w:cs="Arial"/>
          <w:sz w:val="24"/>
          <w:szCs w:val="24"/>
        </w:rPr>
        <w:t xml:space="preserve"> testimony, he states that </w:t>
      </w:r>
    </w:p>
    <w:p w:rsidR="00B16686" w:rsidRPr="00BA73CB" w:rsidRDefault="00034690" w:rsidP="00277CEC">
      <w:pPr>
        <w:spacing w:line="480" w:lineRule="auto"/>
        <w:ind w:left="720"/>
        <w:jc w:val="both"/>
        <w:rPr>
          <w:rFonts w:ascii="Arial" w:hAnsi="Arial" w:cs="Arial"/>
          <w:sz w:val="24"/>
          <w:szCs w:val="24"/>
        </w:rPr>
      </w:pPr>
      <w:r w:rsidRPr="00BA73CB">
        <w:rPr>
          <w:rFonts w:ascii="Arial" w:hAnsi="Arial" w:cs="Arial"/>
          <w:sz w:val="24"/>
          <w:szCs w:val="24"/>
        </w:rPr>
        <w:t xml:space="preserve">“For example, the last four winters in the lower 48 states were significantly warmer than normal, resulting in reduced natural gas demand and </w:t>
      </w:r>
      <w:r w:rsidRPr="00BA73CB">
        <w:rPr>
          <w:rFonts w:ascii="Arial" w:hAnsi="Arial" w:cs="Arial"/>
          <w:sz w:val="24"/>
          <w:szCs w:val="24"/>
          <w:u w:val="single"/>
        </w:rPr>
        <w:t>materially depressed natural gas prices</w:t>
      </w:r>
      <w:r w:rsidRPr="00BA73CB">
        <w:rPr>
          <w:rFonts w:ascii="Arial" w:hAnsi="Arial" w:cs="Arial"/>
          <w:sz w:val="24"/>
          <w:szCs w:val="24"/>
        </w:rPr>
        <w:t xml:space="preserve">.” </w:t>
      </w:r>
    </w:p>
    <w:p w:rsidR="00C45919" w:rsidRPr="00BA73CB" w:rsidRDefault="00034690" w:rsidP="00277CEC">
      <w:pPr>
        <w:spacing w:line="480" w:lineRule="auto"/>
        <w:ind w:left="720"/>
        <w:jc w:val="both"/>
        <w:rPr>
          <w:rFonts w:ascii="Arial" w:hAnsi="Arial" w:cs="Arial"/>
          <w:sz w:val="24"/>
          <w:szCs w:val="24"/>
        </w:rPr>
      </w:pPr>
      <w:r w:rsidRPr="00BA73CB">
        <w:rPr>
          <w:rFonts w:ascii="Arial" w:hAnsi="Arial" w:cs="Arial"/>
          <w:sz w:val="24"/>
          <w:szCs w:val="24"/>
        </w:rPr>
        <w:t xml:space="preserve">In fact, only two of the past four winters have been significantly warmer than normal – the </w:t>
      </w:r>
      <w:r w:rsidR="00030BFF" w:rsidRPr="00BA73CB">
        <w:rPr>
          <w:rFonts w:ascii="Arial" w:hAnsi="Arial" w:cs="Arial"/>
          <w:sz w:val="24"/>
          <w:szCs w:val="24"/>
        </w:rPr>
        <w:t>winter</w:t>
      </w:r>
      <w:r w:rsidRPr="00BA73CB">
        <w:rPr>
          <w:rFonts w:ascii="Arial" w:hAnsi="Arial" w:cs="Arial"/>
          <w:sz w:val="24"/>
          <w:szCs w:val="24"/>
        </w:rPr>
        <w:t xml:space="preserve"> of November 2015- March 2016, and the winter of November 2016 to March 2017. Based on a Gas Weighted Heating Degree Days (GWHDDs)</w:t>
      </w:r>
      <w:r w:rsidR="00B16686" w:rsidRPr="00BA73CB">
        <w:rPr>
          <w:rFonts w:ascii="Arial" w:hAnsi="Arial" w:cs="Arial"/>
          <w:sz w:val="24"/>
          <w:szCs w:val="24"/>
        </w:rPr>
        <w:t xml:space="preserve"> provided by Radiant Solutions (MDA),</w:t>
      </w:r>
      <w:r w:rsidRPr="00BA73CB">
        <w:rPr>
          <w:rFonts w:ascii="Arial" w:hAnsi="Arial" w:cs="Arial"/>
          <w:sz w:val="24"/>
          <w:szCs w:val="24"/>
        </w:rPr>
        <w:t xml:space="preserve"> the winter of November 2014 to March 2015 was cooler than both the 10-year and 30-year average. The winter of November 2017 to March 2018 was cooler than the 10-year average but warmer than the 30-year average which </w:t>
      </w:r>
      <w:r w:rsidR="009F7856" w:rsidRPr="00BA73CB">
        <w:rPr>
          <w:rFonts w:ascii="Arial" w:hAnsi="Arial" w:cs="Arial"/>
          <w:sz w:val="24"/>
          <w:szCs w:val="24"/>
        </w:rPr>
        <w:t xml:space="preserve">I’ll call average especially when you add in a much cooler than normal April 2018, which extended the winter heating season. GWHDDs properly </w:t>
      </w:r>
      <w:r w:rsidR="009F7856" w:rsidRPr="00BA73CB">
        <w:rPr>
          <w:rFonts w:ascii="Arial" w:hAnsi="Arial" w:cs="Arial"/>
          <w:sz w:val="24"/>
          <w:szCs w:val="24"/>
        </w:rPr>
        <w:lastRenderedPageBreak/>
        <w:t>address the heat load for customers in the lower 48</w:t>
      </w:r>
      <w:r w:rsidR="00B16686" w:rsidRPr="00BA73CB">
        <w:rPr>
          <w:rFonts w:ascii="Arial" w:hAnsi="Arial" w:cs="Arial"/>
          <w:sz w:val="24"/>
          <w:szCs w:val="24"/>
        </w:rPr>
        <w:t xml:space="preserve"> states. F</w:t>
      </w:r>
      <w:r w:rsidR="009F7856" w:rsidRPr="00BA73CB">
        <w:rPr>
          <w:rFonts w:ascii="Arial" w:hAnsi="Arial" w:cs="Arial"/>
          <w:sz w:val="24"/>
          <w:szCs w:val="24"/>
        </w:rPr>
        <w:t>or example</w:t>
      </w:r>
      <w:r w:rsidR="00B16686" w:rsidRPr="00BA73CB">
        <w:rPr>
          <w:rFonts w:ascii="Arial" w:hAnsi="Arial" w:cs="Arial"/>
          <w:sz w:val="24"/>
          <w:szCs w:val="24"/>
        </w:rPr>
        <w:t>,</w:t>
      </w:r>
      <w:r w:rsidR="009F7856" w:rsidRPr="00BA73CB">
        <w:rPr>
          <w:rFonts w:ascii="Arial" w:hAnsi="Arial" w:cs="Arial"/>
          <w:sz w:val="24"/>
          <w:szCs w:val="24"/>
        </w:rPr>
        <w:t xml:space="preserve"> cooler than normal in Chicago and normal weather condition in Montana impact natural gas usage much more than very cold conditions in Montana and normal conditions in Chicago.  </w:t>
      </w:r>
    </w:p>
    <w:p w:rsidR="00533295" w:rsidRDefault="00533295" w:rsidP="00277CEC">
      <w:pPr>
        <w:spacing w:line="480" w:lineRule="auto"/>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Does that conclude your testimony?</w:t>
      </w:r>
    </w:p>
    <w:p w:rsidR="00533295" w:rsidRPr="00533295" w:rsidRDefault="00533295" w:rsidP="00277CEC">
      <w:pPr>
        <w:spacing w:line="48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Yes, it does. But I reserve the right to supplement my testimony. </w:t>
      </w:r>
    </w:p>
    <w:p w:rsidR="00277CEC" w:rsidRDefault="00277CEC" w:rsidP="00F05440">
      <w:pPr>
        <w:suppressLineNumbers/>
        <w:spacing w:line="480" w:lineRule="auto"/>
        <w:rPr>
          <w:rFonts w:ascii="Arial" w:hAnsi="Arial" w:cs="Arial"/>
          <w:sz w:val="24"/>
          <w:szCs w:val="24"/>
        </w:rPr>
      </w:pPr>
    </w:p>
    <w:p w:rsidR="00277CEC" w:rsidRDefault="00277CEC" w:rsidP="00F05440">
      <w:pPr>
        <w:suppressLineNumbers/>
        <w:spacing w:line="480" w:lineRule="auto"/>
        <w:rPr>
          <w:rFonts w:ascii="Arial" w:hAnsi="Arial" w:cs="Arial"/>
          <w:sz w:val="24"/>
          <w:szCs w:val="24"/>
        </w:rPr>
      </w:pPr>
    </w:p>
    <w:p w:rsidR="00277CEC" w:rsidRDefault="00277CEC"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F05440" w:rsidRDefault="00F05440" w:rsidP="00F05440">
      <w:pPr>
        <w:suppressLineNumbers/>
        <w:spacing w:line="480" w:lineRule="auto"/>
        <w:rPr>
          <w:rFonts w:ascii="Arial" w:hAnsi="Arial" w:cs="Arial"/>
          <w:sz w:val="24"/>
          <w:szCs w:val="24"/>
        </w:rPr>
      </w:pPr>
    </w:p>
    <w:p w:rsidR="00277CEC" w:rsidRDefault="00277CEC" w:rsidP="00F05440">
      <w:pPr>
        <w:suppressLineNumbers/>
        <w:spacing w:line="480" w:lineRule="auto"/>
        <w:rPr>
          <w:rFonts w:ascii="Arial" w:hAnsi="Arial" w:cs="Arial"/>
          <w:sz w:val="24"/>
          <w:szCs w:val="24"/>
        </w:rPr>
      </w:pPr>
    </w:p>
    <w:p w:rsidR="00F05440" w:rsidRPr="00D136F1" w:rsidRDefault="00F05440" w:rsidP="00F05440">
      <w:pPr>
        <w:suppressLineNumbers/>
        <w:spacing w:after="0" w:line="240" w:lineRule="auto"/>
        <w:ind w:left="2160" w:firstLine="720"/>
        <w:rPr>
          <w:rFonts w:ascii="Arial" w:eastAsia="Arial" w:hAnsi="Arial" w:cs="Arial"/>
          <w:b/>
          <w:color w:val="FF0000"/>
          <w:sz w:val="24"/>
          <w:szCs w:val="24"/>
          <w:u w:val="single"/>
        </w:rPr>
      </w:pPr>
      <w:r w:rsidRPr="00D136F1">
        <w:rPr>
          <w:rFonts w:ascii="Arial" w:eastAsia="Arial" w:hAnsi="Arial" w:cs="Arial"/>
          <w:b/>
          <w:sz w:val="24"/>
          <w:szCs w:val="24"/>
          <w:u w:val="single"/>
        </w:rPr>
        <w:lastRenderedPageBreak/>
        <w:t>CERTIFICATE OF SERVICE</w:t>
      </w:r>
    </w:p>
    <w:p w:rsidR="00F05440" w:rsidRPr="009D71F6" w:rsidRDefault="00F05440" w:rsidP="00F05440">
      <w:pPr>
        <w:suppressLineNumbers/>
        <w:spacing w:after="0" w:line="240" w:lineRule="auto"/>
        <w:jc w:val="center"/>
        <w:rPr>
          <w:rFonts w:ascii="Arial" w:eastAsia="Arial" w:hAnsi="Arial" w:cs="Arial"/>
          <w:b/>
          <w:sz w:val="24"/>
          <w:szCs w:val="24"/>
          <w:u w:val="single"/>
        </w:rPr>
      </w:pPr>
    </w:p>
    <w:p w:rsidR="00F05440" w:rsidRPr="009D71F6" w:rsidRDefault="00F05440" w:rsidP="00F05440">
      <w:pPr>
        <w:suppressLineNumbers/>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 xml:space="preserve">The undersigned hereby certifies that a copy of the foregoing </w:t>
      </w:r>
      <w:r w:rsidR="006E5605">
        <w:rPr>
          <w:rFonts w:ascii="Arial" w:eastAsia="Calibri" w:hAnsi="Arial" w:cs="Arial"/>
          <w:i/>
          <w:sz w:val="24"/>
          <w:szCs w:val="24"/>
        </w:rPr>
        <w:t>Revised D</w:t>
      </w:r>
      <w:r>
        <w:rPr>
          <w:rFonts w:ascii="Arial" w:eastAsia="Calibri" w:hAnsi="Arial" w:cs="Arial"/>
          <w:i/>
          <w:sz w:val="24"/>
          <w:szCs w:val="24"/>
        </w:rPr>
        <w:t>irect Testimony of Paul Leanza on behalf of Interstate Gas Supply, Inc.’s and IGS Solar, LLC,</w:t>
      </w:r>
      <w:r w:rsidRPr="009D71F6">
        <w:rPr>
          <w:rFonts w:ascii="Arial" w:eastAsia="Calibri" w:hAnsi="Arial" w:cs="Arial"/>
          <w:i/>
          <w:sz w:val="24"/>
          <w:szCs w:val="24"/>
        </w:rPr>
        <w:t xml:space="preserve"> </w:t>
      </w:r>
      <w:r w:rsidRPr="009D71F6">
        <w:rPr>
          <w:rFonts w:ascii="Arial" w:eastAsia="Calibri" w:hAnsi="Arial" w:cs="Arial"/>
          <w:sz w:val="24"/>
          <w:szCs w:val="24"/>
        </w:rPr>
        <w:t xml:space="preserve">was served this </w:t>
      </w:r>
      <w:r w:rsidR="008F0685">
        <w:rPr>
          <w:rFonts w:ascii="Arial" w:eastAsia="Calibri" w:hAnsi="Arial" w:cs="Arial"/>
          <w:sz w:val="24"/>
          <w:szCs w:val="24"/>
        </w:rPr>
        <w:t>10</w:t>
      </w:r>
      <w:r>
        <w:rPr>
          <w:rFonts w:ascii="Arial" w:eastAsia="Calibri" w:hAnsi="Arial" w:cs="Arial"/>
          <w:sz w:val="24"/>
          <w:szCs w:val="24"/>
        </w:rPr>
        <w:t>th</w:t>
      </w:r>
      <w:r w:rsidRPr="009D71F6">
        <w:rPr>
          <w:rFonts w:ascii="Arial" w:eastAsia="Calibri" w:hAnsi="Arial" w:cs="Arial"/>
          <w:sz w:val="24"/>
          <w:szCs w:val="24"/>
        </w:rPr>
        <w:t xml:space="preserve"> day of</w:t>
      </w:r>
      <w:r w:rsidR="00D732D7">
        <w:rPr>
          <w:rFonts w:ascii="Arial" w:eastAsia="Calibri" w:hAnsi="Arial" w:cs="Arial"/>
          <w:sz w:val="24"/>
          <w:szCs w:val="24"/>
        </w:rPr>
        <w:t xml:space="preserve"> January</w:t>
      </w:r>
      <w:r>
        <w:rPr>
          <w:rFonts w:ascii="Arial" w:eastAsia="Calibri" w:hAnsi="Arial" w:cs="Arial"/>
          <w:sz w:val="24"/>
          <w:szCs w:val="24"/>
        </w:rPr>
        <w:t xml:space="preserve"> 2019</w:t>
      </w:r>
      <w:bookmarkStart w:id="1" w:name="_GoBack"/>
      <w:bookmarkEnd w:id="1"/>
      <w:r w:rsidRPr="009D71F6">
        <w:rPr>
          <w:rFonts w:ascii="Arial" w:eastAsia="Calibri" w:hAnsi="Arial" w:cs="Arial"/>
          <w:sz w:val="24"/>
          <w:szCs w:val="24"/>
        </w:rPr>
        <w:t xml:space="preserve"> via electronic mail upon the following:</w:t>
      </w:r>
    </w:p>
    <w:p w:rsidR="00F05440" w:rsidRPr="009D71F6" w:rsidRDefault="00F05440" w:rsidP="00F05440">
      <w:pPr>
        <w:suppressLineNumbers/>
        <w:spacing w:after="0" w:line="240" w:lineRule="auto"/>
        <w:jc w:val="both"/>
        <w:rPr>
          <w:rFonts w:ascii="Arial" w:eastAsia="Arial" w:hAnsi="Arial" w:cs="Arial"/>
          <w:sz w:val="24"/>
          <w:szCs w:val="24"/>
        </w:rPr>
      </w:pPr>
    </w:p>
    <w:p w:rsidR="00F05440" w:rsidRPr="0079455C" w:rsidRDefault="00F05440" w:rsidP="00F05440">
      <w:pPr>
        <w:suppressLineNumbers/>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5023"/>
        <w:gridCol w:w="4327"/>
      </w:tblGrid>
      <w:tr w:rsidR="00F05440" w:rsidRPr="0079455C" w:rsidTr="00E677C0">
        <w:trPr>
          <w:trHeight w:val="2357"/>
        </w:trPr>
        <w:tc>
          <w:tcPr>
            <w:tcW w:w="5023" w:type="dxa"/>
          </w:tcPr>
          <w:p w:rsidR="00F05440" w:rsidRPr="00FB3147" w:rsidRDefault="00F05440" w:rsidP="00F05440">
            <w:pPr>
              <w:pStyle w:val="Default"/>
              <w:suppressLineNumbers/>
              <w:rPr>
                <w:rFonts w:ascii="Arial" w:hAnsi="Arial" w:cs="Arial"/>
              </w:rPr>
            </w:pPr>
            <w:r w:rsidRPr="00FB3147">
              <w:rPr>
                <w:rFonts w:ascii="Arial" w:hAnsi="Arial" w:cs="Arial"/>
              </w:rPr>
              <w:t xml:space="preserve">Thomas.mcnamee@ohioattorneygeneral.gov </w:t>
            </w:r>
          </w:p>
          <w:p w:rsidR="00F05440" w:rsidRPr="00FB3147" w:rsidRDefault="00F05440" w:rsidP="00F05440">
            <w:pPr>
              <w:pStyle w:val="Default"/>
              <w:suppressLineNumbers/>
              <w:rPr>
                <w:rFonts w:ascii="Arial" w:hAnsi="Arial" w:cs="Arial"/>
              </w:rPr>
            </w:pPr>
            <w:r w:rsidRPr="00FB3147">
              <w:rPr>
                <w:rFonts w:ascii="Arial" w:hAnsi="Arial" w:cs="Arial"/>
              </w:rPr>
              <w:t xml:space="preserve">William.wright@ohioattorneygeneral.gov </w:t>
            </w:r>
          </w:p>
          <w:p w:rsidR="00F05440" w:rsidRPr="00FB3147" w:rsidRDefault="00F05440" w:rsidP="00F05440">
            <w:pPr>
              <w:pStyle w:val="Default"/>
              <w:suppressLineNumbers/>
              <w:rPr>
                <w:rFonts w:ascii="Arial" w:hAnsi="Arial" w:cs="Arial"/>
              </w:rPr>
            </w:pPr>
            <w:r w:rsidRPr="00FB3147">
              <w:rPr>
                <w:rFonts w:ascii="Arial" w:hAnsi="Arial" w:cs="Arial"/>
              </w:rPr>
              <w:t xml:space="preserve">Tonnetta.scott@ohioattorneygeneral.gov </w:t>
            </w:r>
          </w:p>
          <w:p w:rsidR="00F05440" w:rsidRPr="00FB3147" w:rsidRDefault="00F05440" w:rsidP="00F05440">
            <w:pPr>
              <w:pStyle w:val="Default"/>
              <w:suppressLineNumbers/>
              <w:rPr>
                <w:rFonts w:ascii="Arial" w:hAnsi="Arial" w:cs="Arial"/>
              </w:rPr>
            </w:pPr>
            <w:r w:rsidRPr="00FB3147">
              <w:rPr>
                <w:rFonts w:ascii="Arial" w:hAnsi="Arial" w:cs="Arial"/>
              </w:rPr>
              <w:t xml:space="preserve">kboehm@BKLlawfirm.com </w:t>
            </w:r>
          </w:p>
          <w:p w:rsidR="00F05440" w:rsidRPr="00FB3147" w:rsidRDefault="00F05440" w:rsidP="00F05440">
            <w:pPr>
              <w:pStyle w:val="Default"/>
              <w:suppressLineNumbers/>
              <w:rPr>
                <w:rFonts w:ascii="Arial" w:hAnsi="Arial" w:cs="Arial"/>
              </w:rPr>
            </w:pPr>
            <w:r w:rsidRPr="00FB3147">
              <w:rPr>
                <w:rFonts w:ascii="Arial" w:hAnsi="Arial" w:cs="Arial"/>
              </w:rPr>
              <w:t xml:space="preserve">jkylecohn@BKLlawfirm.com </w:t>
            </w:r>
          </w:p>
          <w:p w:rsidR="00F05440" w:rsidRPr="00FB3147" w:rsidRDefault="00F05440" w:rsidP="00F05440">
            <w:pPr>
              <w:pStyle w:val="Default"/>
              <w:suppressLineNumbers/>
              <w:rPr>
                <w:rFonts w:ascii="Arial" w:hAnsi="Arial" w:cs="Arial"/>
              </w:rPr>
            </w:pPr>
            <w:r w:rsidRPr="00FB3147">
              <w:rPr>
                <w:rFonts w:ascii="Arial" w:hAnsi="Arial" w:cs="Arial"/>
              </w:rPr>
              <w:t xml:space="preserve">mpritchard@mwncmh.com </w:t>
            </w:r>
          </w:p>
          <w:p w:rsidR="00F05440" w:rsidRPr="00FB3147" w:rsidRDefault="00F05440" w:rsidP="00F05440">
            <w:pPr>
              <w:pStyle w:val="Default"/>
              <w:suppressLineNumbers/>
              <w:rPr>
                <w:rFonts w:ascii="Arial" w:hAnsi="Arial" w:cs="Arial"/>
              </w:rPr>
            </w:pPr>
            <w:r w:rsidRPr="00FB3147">
              <w:rPr>
                <w:rFonts w:ascii="Arial" w:hAnsi="Arial" w:cs="Arial"/>
              </w:rPr>
              <w:t xml:space="preserve">fdarr@mwnchm.com </w:t>
            </w:r>
          </w:p>
          <w:p w:rsidR="00F05440" w:rsidRPr="00FB3147" w:rsidRDefault="00F05440" w:rsidP="00F05440">
            <w:pPr>
              <w:pStyle w:val="Default"/>
              <w:suppressLineNumbers/>
              <w:rPr>
                <w:rFonts w:ascii="Arial" w:hAnsi="Arial" w:cs="Arial"/>
              </w:rPr>
            </w:pPr>
            <w:r w:rsidRPr="00FB3147">
              <w:rPr>
                <w:rFonts w:ascii="Arial" w:hAnsi="Arial" w:cs="Arial"/>
              </w:rPr>
              <w:t xml:space="preserve">paul@carpenterlipps.com </w:t>
            </w:r>
          </w:p>
          <w:p w:rsidR="00F05440" w:rsidRPr="00FB3147" w:rsidRDefault="00F05440" w:rsidP="00F05440">
            <w:pPr>
              <w:pStyle w:val="Default"/>
              <w:suppressLineNumbers/>
              <w:rPr>
                <w:rFonts w:ascii="Arial" w:hAnsi="Arial" w:cs="Arial"/>
              </w:rPr>
            </w:pPr>
            <w:r w:rsidRPr="00FB3147">
              <w:rPr>
                <w:rFonts w:ascii="Arial" w:hAnsi="Arial" w:cs="Arial"/>
              </w:rPr>
              <w:t xml:space="preserve">bojko@carpenterlipps.com </w:t>
            </w:r>
          </w:p>
          <w:p w:rsidR="00F05440" w:rsidRPr="00FB3147" w:rsidRDefault="00F05440" w:rsidP="00F05440">
            <w:pPr>
              <w:pStyle w:val="Default"/>
              <w:suppressLineNumbers/>
              <w:rPr>
                <w:rFonts w:ascii="Arial" w:hAnsi="Arial" w:cs="Arial"/>
              </w:rPr>
            </w:pPr>
            <w:r w:rsidRPr="00FB3147">
              <w:rPr>
                <w:rFonts w:ascii="Arial" w:hAnsi="Arial" w:cs="Arial"/>
              </w:rPr>
              <w:t xml:space="preserve">dressel@carpenterlipps.com </w:t>
            </w:r>
          </w:p>
          <w:p w:rsidR="00F05440" w:rsidRPr="00FB3147" w:rsidRDefault="00F05440" w:rsidP="00F05440">
            <w:pPr>
              <w:pStyle w:val="Default"/>
              <w:suppressLineNumbers/>
              <w:rPr>
                <w:rFonts w:ascii="Arial" w:hAnsi="Arial" w:cs="Arial"/>
              </w:rPr>
            </w:pPr>
            <w:r w:rsidRPr="00FB3147">
              <w:rPr>
                <w:rFonts w:ascii="Arial" w:hAnsi="Arial" w:cs="Arial"/>
              </w:rPr>
              <w:t xml:space="preserve">mleppla@theOEC.org </w:t>
            </w:r>
          </w:p>
          <w:p w:rsidR="00F05440" w:rsidRPr="00FB3147" w:rsidRDefault="00F05440" w:rsidP="00F05440">
            <w:pPr>
              <w:pStyle w:val="Default"/>
              <w:suppressLineNumbers/>
              <w:rPr>
                <w:rFonts w:ascii="Arial" w:hAnsi="Arial" w:cs="Arial"/>
              </w:rPr>
            </w:pPr>
            <w:r w:rsidRPr="00FB3147">
              <w:rPr>
                <w:rFonts w:ascii="Arial" w:hAnsi="Arial" w:cs="Arial"/>
              </w:rPr>
              <w:t xml:space="preserve">jstock@beneschlaw.com </w:t>
            </w:r>
          </w:p>
          <w:p w:rsidR="00F05440" w:rsidRPr="00FB3147" w:rsidRDefault="00F05440" w:rsidP="00F05440">
            <w:pPr>
              <w:pStyle w:val="Default"/>
              <w:suppressLineNumbers/>
              <w:rPr>
                <w:rFonts w:ascii="Arial" w:hAnsi="Arial" w:cs="Arial"/>
              </w:rPr>
            </w:pPr>
            <w:r w:rsidRPr="00FB3147">
              <w:rPr>
                <w:rFonts w:ascii="Arial" w:hAnsi="Arial" w:cs="Arial"/>
              </w:rPr>
              <w:t xml:space="preserve">llee@beneschlaw.com </w:t>
            </w:r>
          </w:p>
          <w:p w:rsidR="00F05440" w:rsidRPr="00FB3147" w:rsidRDefault="00F05440" w:rsidP="00F05440">
            <w:pPr>
              <w:pStyle w:val="Default"/>
              <w:suppressLineNumbers/>
              <w:rPr>
                <w:rFonts w:ascii="Arial" w:hAnsi="Arial" w:cs="Arial"/>
              </w:rPr>
            </w:pPr>
            <w:r w:rsidRPr="00FB3147">
              <w:rPr>
                <w:rFonts w:ascii="Arial" w:hAnsi="Arial" w:cs="Arial"/>
              </w:rPr>
              <w:t xml:space="preserve">jrego@beneschlaw.com </w:t>
            </w:r>
          </w:p>
          <w:p w:rsidR="00F05440" w:rsidRPr="00FB3147" w:rsidRDefault="00F05440" w:rsidP="00F05440">
            <w:pPr>
              <w:pStyle w:val="Default"/>
              <w:suppressLineNumbers/>
              <w:rPr>
                <w:rFonts w:ascii="Arial" w:hAnsi="Arial" w:cs="Arial"/>
              </w:rPr>
            </w:pPr>
            <w:r w:rsidRPr="00FB3147">
              <w:rPr>
                <w:rFonts w:ascii="Arial" w:hAnsi="Arial" w:cs="Arial"/>
              </w:rPr>
              <w:t xml:space="preserve">msilberman@beneschlaw.com </w:t>
            </w:r>
          </w:p>
          <w:p w:rsidR="00F05440" w:rsidRPr="00FB3147" w:rsidRDefault="00F05440" w:rsidP="00F05440">
            <w:pPr>
              <w:pStyle w:val="Default"/>
              <w:suppressLineNumbers/>
              <w:rPr>
                <w:rFonts w:ascii="Arial" w:hAnsi="Arial" w:cs="Arial"/>
              </w:rPr>
            </w:pPr>
            <w:r w:rsidRPr="00FB3147">
              <w:rPr>
                <w:rFonts w:ascii="Arial" w:hAnsi="Arial" w:cs="Arial"/>
              </w:rPr>
              <w:t xml:space="preserve">dparram@bricker.com </w:t>
            </w:r>
          </w:p>
          <w:p w:rsidR="00F05440" w:rsidRPr="00FB3147" w:rsidRDefault="00F05440" w:rsidP="00F05440">
            <w:pPr>
              <w:pStyle w:val="Default"/>
              <w:suppressLineNumbers/>
              <w:rPr>
                <w:rFonts w:ascii="Arial" w:hAnsi="Arial" w:cs="Arial"/>
              </w:rPr>
            </w:pPr>
            <w:r w:rsidRPr="00FB3147">
              <w:rPr>
                <w:rFonts w:ascii="Arial" w:hAnsi="Arial" w:cs="Arial"/>
              </w:rPr>
              <w:t xml:space="preserve">dborchers@bricker.com </w:t>
            </w:r>
          </w:p>
          <w:p w:rsidR="00F05440" w:rsidRPr="00FB3147" w:rsidRDefault="00F05440" w:rsidP="00F05440">
            <w:pPr>
              <w:pStyle w:val="Default"/>
              <w:suppressLineNumbers/>
              <w:rPr>
                <w:rFonts w:ascii="Arial" w:hAnsi="Arial" w:cs="Arial"/>
              </w:rPr>
            </w:pPr>
            <w:r w:rsidRPr="00FB3147">
              <w:rPr>
                <w:rFonts w:ascii="Arial" w:hAnsi="Arial" w:cs="Arial"/>
              </w:rPr>
              <w:t xml:space="preserve">mdortch@kravitzllc.com </w:t>
            </w:r>
          </w:p>
          <w:p w:rsidR="00F05440" w:rsidRPr="00FB3147" w:rsidRDefault="00F05440" w:rsidP="00F05440">
            <w:pPr>
              <w:pStyle w:val="Default"/>
              <w:suppressLineNumbers/>
              <w:rPr>
                <w:rFonts w:ascii="Arial" w:hAnsi="Arial" w:cs="Arial"/>
              </w:rPr>
            </w:pPr>
            <w:r w:rsidRPr="00FB3147">
              <w:rPr>
                <w:rFonts w:ascii="Arial" w:hAnsi="Arial" w:cs="Arial"/>
              </w:rPr>
              <w:t xml:space="preserve">cpirik@dickinsonwright.com </w:t>
            </w:r>
          </w:p>
          <w:p w:rsidR="00F05440" w:rsidRPr="00FB3147" w:rsidRDefault="00F05440" w:rsidP="00F05440">
            <w:pPr>
              <w:pStyle w:val="Default"/>
              <w:suppressLineNumbers/>
              <w:rPr>
                <w:rFonts w:ascii="Arial" w:hAnsi="Arial" w:cs="Arial"/>
              </w:rPr>
            </w:pPr>
            <w:r w:rsidRPr="00FB3147">
              <w:rPr>
                <w:rFonts w:ascii="Arial" w:hAnsi="Arial" w:cs="Arial"/>
              </w:rPr>
              <w:t xml:space="preserve">todonnell@dickinsonwright.com </w:t>
            </w:r>
          </w:p>
          <w:p w:rsidR="00F05440" w:rsidRPr="00FB3147" w:rsidRDefault="00F05440" w:rsidP="00F05440">
            <w:pPr>
              <w:pStyle w:val="Default"/>
              <w:suppressLineNumbers/>
              <w:rPr>
                <w:rFonts w:ascii="Arial" w:hAnsi="Arial" w:cs="Arial"/>
              </w:rPr>
            </w:pPr>
            <w:r w:rsidRPr="00FB3147">
              <w:rPr>
                <w:rFonts w:ascii="Arial" w:hAnsi="Arial" w:cs="Arial"/>
              </w:rPr>
              <w:t xml:space="preserve">wvorys@dickinsonwright.com </w:t>
            </w:r>
          </w:p>
          <w:p w:rsidR="00F05440" w:rsidRPr="00FB3147" w:rsidRDefault="00F05440" w:rsidP="00F05440">
            <w:pPr>
              <w:pStyle w:val="Default"/>
              <w:suppressLineNumbers/>
              <w:rPr>
                <w:rFonts w:ascii="Arial" w:hAnsi="Arial" w:cs="Arial"/>
              </w:rPr>
            </w:pPr>
            <w:r w:rsidRPr="00FB3147">
              <w:rPr>
                <w:rFonts w:ascii="Arial" w:hAnsi="Arial" w:cs="Arial"/>
              </w:rPr>
              <w:t xml:space="preserve">cluse@dickinsonwright.com </w:t>
            </w:r>
          </w:p>
          <w:p w:rsidR="00F05440" w:rsidRPr="00FB3147" w:rsidRDefault="00F05440" w:rsidP="00F05440">
            <w:pPr>
              <w:pStyle w:val="BodyText"/>
              <w:suppressLineNumbers/>
              <w:spacing w:line="240" w:lineRule="auto"/>
              <w:rPr>
                <w:rFonts w:ascii="Arial" w:hAnsi="Arial" w:cs="Arial"/>
                <w:bCs/>
              </w:rPr>
            </w:pPr>
            <w:r w:rsidRPr="00FB3147">
              <w:rPr>
                <w:rFonts w:ascii="Arial" w:hAnsi="Arial" w:cs="Arial"/>
              </w:rPr>
              <w:t xml:space="preserve">cpirik@dickinsonwright.com </w:t>
            </w:r>
          </w:p>
        </w:tc>
        <w:tc>
          <w:tcPr>
            <w:tcW w:w="4327" w:type="dxa"/>
          </w:tcPr>
          <w:p w:rsidR="00F05440" w:rsidRPr="00FB3147" w:rsidRDefault="00F05440" w:rsidP="00F05440">
            <w:pPr>
              <w:pStyle w:val="Default"/>
              <w:suppressLineNumbers/>
              <w:rPr>
                <w:rFonts w:ascii="Arial" w:hAnsi="Arial" w:cs="Arial"/>
              </w:rPr>
            </w:pPr>
            <w:r w:rsidRPr="00FB3147">
              <w:rPr>
                <w:rFonts w:ascii="Arial" w:hAnsi="Arial" w:cs="Arial"/>
              </w:rPr>
              <w:t xml:space="preserve">stnourse@aep.com </w:t>
            </w:r>
          </w:p>
          <w:p w:rsidR="00F05440" w:rsidRPr="00FB3147" w:rsidRDefault="00F05440" w:rsidP="00F05440">
            <w:pPr>
              <w:pStyle w:val="Default"/>
              <w:suppressLineNumbers/>
              <w:rPr>
                <w:rFonts w:ascii="Arial" w:hAnsi="Arial" w:cs="Arial"/>
              </w:rPr>
            </w:pPr>
            <w:r w:rsidRPr="00FB3147">
              <w:rPr>
                <w:rFonts w:ascii="Arial" w:hAnsi="Arial" w:cs="Arial"/>
              </w:rPr>
              <w:t xml:space="preserve">cmblend@aep.com </w:t>
            </w:r>
          </w:p>
          <w:p w:rsidR="00F05440" w:rsidRPr="00FB3147" w:rsidRDefault="00F05440" w:rsidP="00F05440">
            <w:pPr>
              <w:pStyle w:val="Default"/>
              <w:suppressLineNumbers/>
              <w:rPr>
                <w:rFonts w:ascii="Arial" w:hAnsi="Arial" w:cs="Arial"/>
              </w:rPr>
            </w:pPr>
            <w:r w:rsidRPr="00FB3147">
              <w:rPr>
                <w:rFonts w:ascii="Arial" w:hAnsi="Arial" w:cs="Arial"/>
              </w:rPr>
              <w:t xml:space="preserve">egallon@porterwright.com </w:t>
            </w:r>
          </w:p>
          <w:p w:rsidR="00F05440" w:rsidRPr="00FB3147" w:rsidRDefault="00F05440" w:rsidP="00F05440">
            <w:pPr>
              <w:pStyle w:val="Default"/>
              <w:suppressLineNumbers/>
              <w:rPr>
                <w:rFonts w:ascii="Arial" w:hAnsi="Arial" w:cs="Arial"/>
              </w:rPr>
            </w:pPr>
            <w:r w:rsidRPr="00FB3147">
              <w:rPr>
                <w:rFonts w:ascii="Arial" w:hAnsi="Arial" w:cs="Arial"/>
              </w:rPr>
              <w:t xml:space="preserve">bhughes@porterwright.com </w:t>
            </w:r>
          </w:p>
          <w:p w:rsidR="00F05440" w:rsidRPr="00FB3147" w:rsidRDefault="00F05440" w:rsidP="00F05440">
            <w:pPr>
              <w:pStyle w:val="Default"/>
              <w:suppressLineNumbers/>
              <w:rPr>
                <w:rFonts w:ascii="Arial" w:hAnsi="Arial" w:cs="Arial"/>
              </w:rPr>
            </w:pPr>
            <w:r w:rsidRPr="00FB3147">
              <w:rPr>
                <w:rFonts w:ascii="Arial" w:hAnsi="Arial" w:cs="Arial"/>
              </w:rPr>
              <w:t xml:space="preserve">christopher.miller@icemiller.com </w:t>
            </w:r>
          </w:p>
          <w:p w:rsidR="00F05440" w:rsidRPr="00FB3147" w:rsidRDefault="00F05440" w:rsidP="00F05440">
            <w:pPr>
              <w:pStyle w:val="Default"/>
              <w:suppressLineNumbers/>
              <w:rPr>
                <w:rFonts w:ascii="Arial" w:hAnsi="Arial" w:cs="Arial"/>
              </w:rPr>
            </w:pPr>
            <w:r w:rsidRPr="00FB3147">
              <w:rPr>
                <w:rFonts w:ascii="Arial" w:hAnsi="Arial" w:cs="Arial"/>
              </w:rPr>
              <w:t xml:space="preserve">Jason.rafeld@icemiller.com </w:t>
            </w:r>
          </w:p>
          <w:p w:rsidR="00F05440" w:rsidRPr="00FB3147" w:rsidRDefault="00F05440" w:rsidP="00F05440">
            <w:pPr>
              <w:pStyle w:val="Default"/>
              <w:suppressLineNumbers/>
              <w:rPr>
                <w:rFonts w:ascii="Arial" w:hAnsi="Arial" w:cs="Arial"/>
              </w:rPr>
            </w:pPr>
            <w:r w:rsidRPr="00FB3147">
              <w:rPr>
                <w:rFonts w:ascii="Arial" w:hAnsi="Arial" w:cs="Arial"/>
              </w:rPr>
              <w:t xml:space="preserve">tony.mendoza@sierraclub.org </w:t>
            </w:r>
          </w:p>
          <w:p w:rsidR="00F05440" w:rsidRPr="00FB3147" w:rsidRDefault="00F05440" w:rsidP="00F05440">
            <w:pPr>
              <w:pStyle w:val="Default"/>
              <w:suppressLineNumbers/>
              <w:rPr>
                <w:rFonts w:ascii="Arial" w:hAnsi="Arial" w:cs="Arial"/>
              </w:rPr>
            </w:pPr>
            <w:r w:rsidRPr="00FB3147">
              <w:rPr>
                <w:rFonts w:ascii="Arial" w:hAnsi="Arial" w:cs="Arial"/>
              </w:rPr>
              <w:t xml:space="preserve">rsahli@columbusrr.com </w:t>
            </w:r>
          </w:p>
          <w:p w:rsidR="00F05440" w:rsidRPr="00FB3147" w:rsidRDefault="00F05440" w:rsidP="00F05440">
            <w:pPr>
              <w:pStyle w:val="Default"/>
              <w:suppressLineNumbers/>
              <w:rPr>
                <w:rFonts w:ascii="Arial" w:hAnsi="Arial" w:cs="Arial"/>
              </w:rPr>
            </w:pPr>
            <w:r w:rsidRPr="00FB3147">
              <w:rPr>
                <w:rFonts w:ascii="Arial" w:hAnsi="Arial" w:cs="Arial"/>
              </w:rPr>
              <w:t xml:space="preserve">cmoooney@opae.org </w:t>
            </w:r>
          </w:p>
          <w:p w:rsidR="00F05440" w:rsidRPr="00FB3147" w:rsidRDefault="00F05440" w:rsidP="00F05440">
            <w:pPr>
              <w:pStyle w:val="Default"/>
              <w:suppressLineNumbers/>
              <w:rPr>
                <w:rFonts w:ascii="Arial" w:hAnsi="Arial" w:cs="Arial"/>
              </w:rPr>
            </w:pPr>
            <w:r w:rsidRPr="00FB3147">
              <w:rPr>
                <w:rFonts w:ascii="Arial" w:hAnsi="Arial" w:cs="Arial"/>
              </w:rPr>
              <w:t xml:space="preserve">mnugent@igsenergy.com </w:t>
            </w:r>
          </w:p>
          <w:p w:rsidR="00F05440" w:rsidRPr="00FB3147" w:rsidRDefault="00F05440" w:rsidP="00F05440">
            <w:pPr>
              <w:pStyle w:val="Default"/>
              <w:suppressLineNumbers/>
              <w:rPr>
                <w:rFonts w:ascii="Arial" w:hAnsi="Arial" w:cs="Arial"/>
              </w:rPr>
            </w:pPr>
            <w:r w:rsidRPr="00FB3147">
              <w:rPr>
                <w:rFonts w:ascii="Arial" w:hAnsi="Arial" w:cs="Arial"/>
              </w:rPr>
              <w:t xml:space="preserve">rdove@keglerbrown.com </w:t>
            </w:r>
          </w:p>
          <w:p w:rsidR="00F05440" w:rsidRPr="00FB3147" w:rsidRDefault="00F05440" w:rsidP="00F05440">
            <w:pPr>
              <w:pStyle w:val="Default"/>
              <w:suppressLineNumbers/>
              <w:rPr>
                <w:rFonts w:ascii="Arial" w:hAnsi="Arial" w:cs="Arial"/>
              </w:rPr>
            </w:pPr>
            <w:r w:rsidRPr="00FB3147">
              <w:rPr>
                <w:rFonts w:ascii="Arial" w:hAnsi="Arial" w:cs="Arial"/>
              </w:rPr>
              <w:t xml:space="preserve">whitt@whitt-sturtevant.com </w:t>
            </w:r>
          </w:p>
          <w:p w:rsidR="00F05440" w:rsidRPr="00FB3147" w:rsidRDefault="00F05440" w:rsidP="00F05440">
            <w:pPr>
              <w:pStyle w:val="Default"/>
              <w:suppressLineNumbers/>
              <w:rPr>
                <w:rFonts w:ascii="Arial" w:hAnsi="Arial" w:cs="Arial"/>
              </w:rPr>
            </w:pPr>
            <w:r w:rsidRPr="00FB3147">
              <w:rPr>
                <w:rFonts w:ascii="Arial" w:hAnsi="Arial" w:cs="Arial"/>
              </w:rPr>
              <w:t xml:space="preserve">glover@whitt-sturtevant.com </w:t>
            </w:r>
          </w:p>
          <w:p w:rsidR="00F05440" w:rsidRPr="00FB3147" w:rsidRDefault="00F05440" w:rsidP="00F05440">
            <w:pPr>
              <w:pStyle w:val="Default"/>
              <w:suppressLineNumbers/>
              <w:rPr>
                <w:rFonts w:ascii="Arial" w:hAnsi="Arial" w:cs="Arial"/>
              </w:rPr>
            </w:pPr>
            <w:r w:rsidRPr="00FB3147">
              <w:rPr>
                <w:rFonts w:ascii="Arial" w:hAnsi="Arial" w:cs="Arial"/>
              </w:rPr>
              <w:t xml:space="preserve">callwein@keglerbrown.com </w:t>
            </w:r>
          </w:p>
          <w:p w:rsidR="00F05440" w:rsidRPr="00FB3147" w:rsidRDefault="00F05440" w:rsidP="00F05440">
            <w:pPr>
              <w:pStyle w:val="Default"/>
              <w:suppressLineNumbers/>
              <w:rPr>
                <w:rFonts w:ascii="Arial" w:hAnsi="Arial" w:cs="Arial"/>
              </w:rPr>
            </w:pPr>
            <w:r w:rsidRPr="00FB3147">
              <w:rPr>
                <w:rFonts w:ascii="Arial" w:hAnsi="Arial" w:cs="Arial"/>
              </w:rPr>
              <w:t xml:space="preserve">mjsettineri@vorys.com </w:t>
            </w:r>
          </w:p>
          <w:p w:rsidR="00F05440" w:rsidRPr="00FB3147" w:rsidRDefault="00F05440" w:rsidP="00F05440">
            <w:pPr>
              <w:pStyle w:val="Default"/>
              <w:suppressLineNumbers/>
              <w:rPr>
                <w:rFonts w:ascii="Arial" w:hAnsi="Arial" w:cs="Arial"/>
              </w:rPr>
            </w:pPr>
            <w:r w:rsidRPr="00FB3147">
              <w:rPr>
                <w:rFonts w:ascii="Arial" w:hAnsi="Arial" w:cs="Arial"/>
              </w:rPr>
              <w:t xml:space="preserve">glpetrucci@vorys.com </w:t>
            </w:r>
          </w:p>
          <w:p w:rsidR="00F05440" w:rsidRPr="00FB3147" w:rsidRDefault="00F05440" w:rsidP="00F05440">
            <w:pPr>
              <w:pStyle w:val="Default"/>
              <w:suppressLineNumbers/>
              <w:rPr>
                <w:rFonts w:ascii="Arial" w:hAnsi="Arial" w:cs="Arial"/>
              </w:rPr>
            </w:pPr>
            <w:r w:rsidRPr="00FB3147">
              <w:rPr>
                <w:rFonts w:ascii="Arial" w:hAnsi="Arial" w:cs="Arial"/>
              </w:rPr>
              <w:t xml:space="preserve">ktreadway@oneenergyllc.com </w:t>
            </w:r>
          </w:p>
          <w:p w:rsidR="00F05440" w:rsidRPr="00FB3147" w:rsidRDefault="00F05440" w:rsidP="00F05440">
            <w:pPr>
              <w:pStyle w:val="Default"/>
              <w:suppressLineNumbers/>
              <w:rPr>
                <w:rFonts w:ascii="Arial" w:hAnsi="Arial" w:cs="Arial"/>
              </w:rPr>
            </w:pPr>
            <w:r w:rsidRPr="00FB3147">
              <w:rPr>
                <w:rFonts w:ascii="Arial" w:hAnsi="Arial" w:cs="Arial"/>
              </w:rPr>
              <w:t xml:space="preserve">Maureen.willis@occ.ohio.gov </w:t>
            </w:r>
          </w:p>
          <w:p w:rsidR="00F05440" w:rsidRPr="00FB3147" w:rsidRDefault="00F05440" w:rsidP="00F05440">
            <w:pPr>
              <w:pStyle w:val="Default"/>
              <w:suppressLineNumbers/>
              <w:rPr>
                <w:rFonts w:ascii="Arial" w:hAnsi="Arial" w:cs="Arial"/>
              </w:rPr>
            </w:pPr>
            <w:r w:rsidRPr="00FB3147">
              <w:rPr>
                <w:rFonts w:ascii="Arial" w:hAnsi="Arial" w:cs="Arial"/>
              </w:rPr>
              <w:t xml:space="preserve">William.michael@occ.ohio.gov </w:t>
            </w:r>
          </w:p>
          <w:p w:rsidR="00F05440" w:rsidRPr="00FB3147" w:rsidRDefault="00F05440" w:rsidP="00F05440">
            <w:pPr>
              <w:pStyle w:val="BodyText"/>
              <w:suppressLineNumbers/>
              <w:spacing w:line="240" w:lineRule="auto"/>
              <w:rPr>
                <w:rFonts w:ascii="Arial" w:hAnsi="Arial" w:cs="Arial"/>
                <w:bCs/>
              </w:rPr>
            </w:pPr>
            <w:r w:rsidRPr="00FB3147">
              <w:rPr>
                <w:rFonts w:ascii="Arial" w:hAnsi="Arial" w:cs="Arial"/>
              </w:rPr>
              <w:t xml:space="preserve">Christopher.healey@occ.ohio.gov </w:t>
            </w:r>
          </w:p>
        </w:tc>
      </w:tr>
    </w:tbl>
    <w:p w:rsidR="00F05440" w:rsidRDefault="00F05440" w:rsidP="00F05440">
      <w:pPr>
        <w:suppressLineNumbers/>
        <w:spacing w:after="0" w:line="240" w:lineRule="auto"/>
        <w:ind w:left="5040" w:firstLine="720"/>
        <w:rPr>
          <w:rFonts w:ascii="Arial" w:eastAsia="Arial" w:hAnsi="Arial" w:cs="Arial"/>
          <w:i/>
          <w:sz w:val="24"/>
          <w:szCs w:val="24"/>
          <w:u w:val="single"/>
        </w:rPr>
      </w:pPr>
    </w:p>
    <w:p w:rsidR="00F05440" w:rsidRPr="0079455C" w:rsidRDefault="00F05440" w:rsidP="00F05440">
      <w:pPr>
        <w:suppressLineNumbers/>
        <w:spacing w:after="0" w:line="240" w:lineRule="auto"/>
        <w:ind w:left="5040" w:firstLine="720"/>
        <w:rPr>
          <w:rFonts w:ascii="Arial" w:eastAsia="Calibri" w:hAnsi="Arial" w:cs="Arial"/>
          <w:sz w:val="24"/>
          <w:szCs w:val="24"/>
        </w:rPr>
      </w:pPr>
      <w:r w:rsidRPr="0079455C">
        <w:rPr>
          <w:rFonts w:ascii="Arial" w:eastAsia="Arial" w:hAnsi="Arial" w:cs="Arial"/>
          <w:i/>
          <w:sz w:val="24"/>
          <w:szCs w:val="24"/>
          <w:u w:val="single"/>
        </w:rPr>
        <w:t>/s/ Joseph Oliker</w:t>
      </w:r>
      <w:r w:rsidRPr="0079455C">
        <w:rPr>
          <w:rFonts w:ascii="Arial" w:eastAsia="Arial" w:hAnsi="Arial" w:cs="Arial"/>
          <w:i/>
          <w:sz w:val="24"/>
          <w:szCs w:val="24"/>
        </w:rPr>
        <w:t>_______</w:t>
      </w:r>
    </w:p>
    <w:p w:rsidR="00F05440" w:rsidRDefault="00F05440" w:rsidP="00F05440">
      <w:pPr>
        <w:suppressLineNumbers/>
        <w:spacing w:after="0" w:line="240" w:lineRule="auto"/>
        <w:ind w:left="5040" w:firstLine="720"/>
        <w:rPr>
          <w:rFonts w:ascii="Arial" w:hAnsi="Arial" w:cs="Arial"/>
          <w:sz w:val="24"/>
          <w:szCs w:val="24"/>
        </w:rPr>
      </w:pPr>
      <w:r w:rsidRPr="0079455C">
        <w:rPr>
          <w:rFonts w:ascii="Arial" w:hAnsi="Arial" w:cs="Arial"/>
          <w:sz w:val="24"/>
          <w:szCs w:val="24"/>
        </w:rPr>
        <w:t>Joseph Oliker</w:t>
      </w:r>
    </w:p>
    <w:p w:rsidR="00AC4244" w:rsidRDefault="00AC4244" w:rsidP="00F05440">
      <w:pPr>
        <w:suppressLineNumbers/>
      </w:pPr>
    </w:p>
    <w:sectPr w:rsidR="00AC4244" w:rsidSect="00BA73CB">
      <w:foot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D14" w:rsidRDefault="005A7D14" w:rsidP="00BA58DC">
      <w:pPr>
        <w:spacing w:after="0" w:line="240" w:lineRule="auto"/>
      </w:pPr>
      <w:r>
        <w:separator/>
      </w:r>
    </w:p>
  </w:endnote>
  <w:endnote w:type="continuationSeparator" w:id="0">
    <w:p w:rsidR="005A7D14" w:rsidRDefault="005A7D14" w:rsidP="00BA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353804"/>
      <w:docPartObj>
        <w:docPartGallery w:val="Page Numbers (Bottom of Page)"/>
        <w:docPartUnique/>
      </w:docPartObj>
    </w:sdtPr>
    <w:sdtEndPr>
      <w:rPr>
        <w:noProof/>
      </w:rPr>
    </w:sdtEndPr>
    <w:sdtContent>
      <w:p w:rsidR="0059253A" w:rsidRDefault="00592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253A" w:rsidRDefault="0059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D14" w:rsidRDefault="005A7D14" w:rsidP="00BA58DC">
      <w:pPr>
        <w:spacing w:after="0" w:line="240" w:lineRule="auto"/>
      </w:pPr>
      <w:r>
        <w:separator/>
      </w:r>
    </w:p>
  </w:footnote>
  <w:footnote w:type="continuationSeparator" w:id="0">
    <w:p w:rsidR="005A7D14" w:rsidRDefault="005A7D14" w:rsidP="00BA58DC">
      <w:pPr>
        <w:spacing w:after="0" w:line="240" w:lineRule="auto"/>
      </w:pPr>
      <w:r>
        <w:continuationSeparator/>
      </w:r>
    </w:p>
  </w:footnote>
  <w:footnote w:id="1">
    <w:p w:rsidR="00533295" w:rsidRPr="00533295" w:rsidRDefault="00533295">
      <w:pPr>
        <w:pStyle w:val="FootnoteText"/>
        <w:rPr>
          <w:rFonts w:ascii="Arial" w:hAnsi="Arial" w:cs="Arial"/>
        </w:rPr>
      </w:pPr>
      <w:r>
        <w:rPr>
          <w:rStyle w:val="FootnoteReference"/>
        </w:rPr>
        <w:footnoteRef/>
      </w:r>
      <w:r>
        <w:t xml:space="preserve"> </w:t>
      </w:r>
      <w:hyperlink r:id="rId1" w:history="1">
        <w:r w:rsidRPr="00533295">
          <w:rPr>
            <w:rStyle w:val="Hyperlink"/>
            <w:rFonts w:ascii="Arial" w:hAnsi="Arial" w:cs="Arial"/>
          </w:rPr>
          <w:t>https://www.usgs.gov/news/usgs-announces-largest-continuous-oil-assessment-texas-and-new-mexico</w:t>
        </w:r>
      </w:hyperlink>
      <w:r w:rsidRPr="00533295">
        <w:rPr>
          <w:rFonts w:ascii="Arial" w:hAnsi="Arial" w:cs="Arial"/>
        </w:rPr>
        <w:t>.</w:t>
      </w:r>
    </w:p>
    <w:p w:rsidR="00533295" w:rsidRDefault="00533295">
      <w:pPr>
        <w:pStyle w:val="FootnoteText"/>
      </w:pPr>
    </w:p>
  </w:footnote>
  <w:footnote w:id="2">
    <w:p w:rsidR="00F05440" w:rsidRDefault="00F05440">
      <w:pPr>
        <w:pStyle w:val="FootnoteText"/>
      </w:pPr>
      <w:r>
        <w:rPr>
          <w:rStyle w:val="FootnoteReference"/>
        </w:rPr>
        <w:footnoteRef/>
      </w:r>
      <w:r>
        <w:t xml:space="preserve"> Ex. PL-1 and PL-2.</w:t>
      </w:r>
    </w:p>
  </w:footnote>
  <w:footnote w:id="3">
    <w:p w:rsidR="00533295" w:rsidRPr="00533295" w:rsidRDefault="00533295">
      <w:pPr>
        <w:pStyle w:val="FootnoteText"/>
        <w:rPr>
          <w:rFonts w:ascii="Arial" w:hAnsi="Arial" w:cs="Arial"/>
        </w:rPr>
      </w:pPr>
      <w:r w:rsidRPr="00533295">
        <w:rPr>
          <w:rStyle w:val="FootnoteReference"/>
          <w:rFonts w:ascii="Arial" w:hAnsi="Arial" w:cs="Arial"/>
        </w:rPr>
        <w:footnoteRef/>
      </w:r>
      <w:r w:rsidRPr="00533295">
        <w:rPr>
          <w:rFonts w:ascii="Arial" w:hAnsi="Arial" w:cs="Arial"/>
        </w:rPr>
        <w:t xml:space="preserve"> </w:t>
      </w:r>
      <w:hyperlink r:id="rId2" w:anchor="content/view/78446889" w:history="1">
        <w:r w:rsidRPr="00533295">
          <w:rPr>
            <w:rStyle w:val="Hyperlink"/>
            <w:rFonts w:ascii="Arial" w:hAnsi="Arial" w:cs="Arial"/>
          </w:rPr>
          <w:t>https://www.cmegroup.com/confluence/plugins/servlet/mobile?contentId=78446889#content/view/78446889</w:t>
        </w:r>
      </w:hyperlink>
      <w:r w:rsidRPr="00533295">
        <w:rPr>
          <w:rFonts w:ascii="Arial" w:hAnsi="Arial" w:cs="Arial"/>
        </w:rPr>
        <w:t xml:space="preserve"> (last viewed on Jan. 2, 2019).</w:t>
      </w:r>
    </w:p>
    <w:p w:rsidR="00533295" w:rsidRPr="00533295" w:rsidRDefault="00533295">
      <w:pPr>
        <w:pStyle w:val="FootnoteText"/>
        <w:rPr>
          <w:rFonts w:ascii="Arial" w:hAnsi="Arial" w:cs="Arial"/>
        </w:rPr>
      </w:pPr>
    </w:p>
  </w:footnote>
  <w:footnote w:id="4">
    <w:p w:rsidR="0059253A" w:rsidRPr="0059253A" w:rsidRDefault="0059253A">
      <w:pPr>
        <w:pStyle w:val="FootnoteText"/>
      </w:pPr>
      <w:r w:rsidRPr="00533295">
        <w:rPr>
          <w:rStyle w:val="FootnoteReference"/>
          <w:rFonts w:ascii="Arial" w:hAnsi="Arial" w:cs="Arial"/>
        </w:rPr>
        <w:footnoteRef/>
      </w:r>
      <w:r w:rsidRPr="00533295">
        <w:rPr>
          <w:rFonts w:ascii="Arial" w:hAnsi="Arial" w:cs="Arial"/>
        </w:rPr>
        <w:t xml:space="preserve"> Ex. PL-3 “AEP Chief Sees Market Rule Changes Falling Behind Investment Shifts” (Dec. 6, 2018) (emphasis added).</w:t>
      </w:r>
    </w:p>
  </w:footnote>
  <w:footnote w:id="5">
    <w:p w:rsidR="0059253A" w:rsidRPr="00533295" w:rsidRDefault="0059253A">
      <w:pPr>
        <w:pStyle w:val="FootnoteText"/>
        <w:rPr>
          <w:rFonts w:ascii="Arial" w:hAnsi="Arial" w:cs="Arial"/>
        </w:rPr>
      </w:pPr>
      <w:r w:rsidRPr="00533295">
        <w:rPr>
          <w:rStyle w:val="FootnoteReference"/>
          <w:rFonts w:ascii="Arial" w:hAnsi="Arial" w:cs="Arial"/>
        </w:rPr>
        <w:footnoteRef/>
      </w:r>
      <w:r w:rsidRPr="00533295">
        <w:rPr>
          <w:rFonts w:ascii="Arial" w:hAnsi="Arial" w:cs="Arial"/>
        </w:rPr>
        <w:t xml:space="preserve"> </w:t>
      </w:r>
      <w:hyperlink r:id="rId3" w:history="1">
        <w:r w:rsidRPr="00533295">
          <w:rPr>
            <w:rStyle w:val="Hyperlink"/>
            <w:rFonts w:ascii="Arial" w:hAnsi="Arial" w:cs="Arial"/>
          </w:rPr>
          <w:t>https://www.eia.gov/energyexplained/index.php?page=about_energy_conversion_calculator</w:t>
        </w:r>
      </w:hyperlink>
      <w:r w:rsidRPr="00533295">
        <w:rPr>
          <w:rFonts w:ascii="Arial" w:hAnsi="Arial" w:cs="Arial"/>
        </w:rPr>
        <w:t xml:space="preserve"> (last viewed on Jan. 2, 2019).</w:t>
      </w:r>
    </w:p>
    <w:p w:rsidR="0059253A" w:rsidRDefault="0059253A">
      <w:pPr>
        <w:pStyle w:val="FootnoteText"/>
      </w:pPr>
    </w:p>
  </w:footnote>
  <w:footnote w:id="6">
    <w:p w:rsidR="0059253A" w:rsidRPr="0059253A" w:rsidRDefault="0059253A">
      <w:pPr>
        <w:pStyle w:val="FootnoteText"/>
        <w:rPr>
          <w:rFonts w:ascii="Arial" w:hAnsi="Arial" w:cs="Arial"/>
        </w:rPr>
      </w:pPr>
      <w:r w:rsidRPr="0059253A">
        <w:rPr>
          <w:rStyle w:val="FootnoteReference"/>
          <w:rFonts w:ascii="Arial" w:hAnsi="Arial" w:cs="Arial"/>
        </w:rPr>
        <w:footnoteRef/>
      </w:r>
      <w:r w:rsidRPr="0059253A">
        <w:rPr>
          <w:rFonts w:ascii="Arial" w:hAnsi="Arial" w:cs="Arial"/>
        </w:rPr>
        <w:t xml:space="preserve"> Ex. PL-4. (found at https://www.eia.gov/electricity/annual/html/epa_08_01.html)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2D"/>
    <w:rsid w:val="00030BBB"/>
    <w:rsid w:val="00030BFF"/>
    <w:rsid w:val="00031226"/>
    <w:rsid w:val="00034690"/>
    <w:rsid w:val="00044C28"/>
    <w:rsid w:val="00050BE5"/>
    <w:rsid w:val="0006201E"/>
    <w:rsid w:val="000623DE"/>
    <w:rsid w:val="00092A6A"/>
    <w:rsid w:val="000C513A"/>
    <w:rsid w:val="000D796A"/>
    <w:rsid w:val="00114BFF"/>
    <w:rsid w:val="001162BB"/>
    <w:rsid w:val="001201A7"/>
    <w:rsid w:val="001230CB"/>
    <w:rsid w:val="00143346"/>
    <w:rsid w:val="001453BE"/>
    <w:rsid w:val="00164DA0"/>
    <w:rsid w:val="001723E0"/>
    <w:rsid w:val="001830F0"/>
    <w:rsid w:val="001900D9"/>
    <w:rsid w:val="00190A4E"/>
    <w:rsid w:val="00195128"/>
    <w:rsid w:val="001A60B1"/>
    <w:rsid w:val="001A79C6"/>
    <w:rsid w:val="001C0C97"/>
    <w:rsid w:val="001C7FDF"/>
    <w:rsid w:val="00207023"/>
    <w:rsid w:val="00226A20"/>
    <w:rsid w:val="0023659F"/>
    <w:rsid w:val="00242819"/>
    <w:rsid w:val="00242A2D"/>
    <w:rsid w:val="0024526A"/>
    <w:rsid w:val="00260707"/>
    <w:rsid w:val="00276E59"/>
    <w:rsid w:val="00277CEC"/>
    <w:rsid w:val="0029278C"/>
    <w:rsid w:val="0029615A"/>
    <w:rsid w:val="002A7EA2"/>
    <w:rsid w:val="002C69D0"/>
    <w:rsid w:val="002D72F0"/>
    <w:rsid w:val="002E1EA8"/>
    <w:rsid w:val="002E6791"/>
    <w:rsid w:val="00302039"/>
    <w:rsid w:val="00317263"/>
    <w:rsid w:val="00343B61"/>
    <w:rsid w:val="00355A2C"/>
    <w:rsid w:val="00374473"/>
    <w:rsid w:val="00381DEF"/>
    <w:rsid w:val="003933A2"/>
    <w:rsid w:val="00393CB8"/>
    <w:rsid w:val="003A5CDC"/>
    <w:rsid w:val="003A62FA"/>
    <w:rsid w:val="003B17B3"/>
    <w:rsid w:val="003C4D0C"/>
    <w:rsid w:val="003E33E5"/>
    <w:rsid w:val="00411BC6"/>
    <w:rsid w:val="00416B3C"/>
    <w:rsid w:val="004172F5"/>
    <w:rsid w:val="004376EA"/>
    <w:rsid w:val="00442EAF"/>
    <w:rsid w:val="004525E2"/>
    <w:rsid w:val="00463A1F"/>
    <w:rsid w:val="004651F3"/>
    <w:rsid w:val="00472453"/>
    <w:rsid w:val="004C2C2F"/>
    <w:rsid w:val="004D1F62"/>
    <w:rsid w:val="00505287"/>
    <w:rsid w:val="0050660B"/>
    <w:rsid w:val="00533295"/>
    <w:rsid w:val="005842CB"/>
    <w:rsid w:val="00584E0B"/>
    <w:rsid w:val="0059253A"/>
    <w:rsid w:val="00595B5B"/>
    <w:rsid w:val="005A34E2"/>
    <w:rsid w:val="005A7D14"/>
    <w:rsid w:val="005B1DF0"/>
    <w:rsid w:val="005B4319"/>
    <w:rsid w:val="005E0E26"/>
    <w:rsid w:val="005E7182"/>
    <w:rsid w:val="005F4080"/>
    <w:rsid w:val="00606312"/>
    <w:rsid w:val="006161DC"/>
    <w:rsid w:val="00630BC2"/>
    <w:rsid w:val="00661034"/>
    <w:rsid w:val="006C669C"/>
    <w:rsid w:val="006C6AB2"/>
    <w:rsid w:val="006D2C89"/>
    <w:rsid w:val="006D5A08"/>
    <w:rsid w:val="006E5605"/>
    <w:rsid w:val="006F448A"/>
    <w:rsid w:val="006F7A98"/>
    <w:rsid w:val="00704187"/>
    <w:rsid w:val="0071269B"/>
    <w:rsid w:val="007331A7"/>
    <w:rsid w:val="00737F63"/>
    <w:rsid w:val="00742194"/>
    <w:rsid w:val="007460CA"/>
    <w:rsid w:val="007537F5"/>
    <w:rsid w:val="0076211A"/>
    <w:rsid w:val="00763E86"/>
    <w:rsid w:val="00772026"/>
    <w:rsid w:val="00781F6B"/>
    <w:rsid w:val="007A7AEE"/>
    <w:rsid w:val="007F61CE"/>
    <w:rsid w:val="0080033C"/>
    <w:rsid w:val="0080324C"/>
    <w:rsid w:val="0081647B"/>
    <w:rsid w:val="00852D0F"/>
    <w:rsid w:val="00854B12"/>
    <w:rsid w:val="00860C44"/>
    <w:rsid w:val="008A2186"/>
    <w:rsid w:val="008B3F36"/>
    <w:rsid w:val="008B7CD3"/>
    <w:rsid w:val="008C08C4"/>
    <w:rsid w:val="008C20B4"/>
    <w:rsid w:val="008C765B"/>
    <w:rsid w:val="008D7C46"/>
    <w:rsid w:val="008F0685"/>
    <w:rsid w:val="00914761"/>
    <w:rsid w:val="00927985"/>
    <w:rsid w:val="0096669A"/>
    <w:rsid w:val="00970BBE"/>
    <w:rsid w:val="00984DA1"/>
    <w:rsid w:val="009C790A"/>
    <w:rsid w:val="009D7A16"/>
    <w:rsid w:val="009E08FF"/>
    <w:rsid w:val="009F21FF"/>
    <w:rsid w:val="009F3233"/>
    <w:rsid w:val="009F65C4"/>
    <w:rsid w:val="009F7856"/>
    <w:rsid w:val="00A04903"/>
    <w:rsid w:val="00A356C8"/>
    <w:rsid w:val="00A84A47"/>
    <w:rsid w:val="00A96107"/>
    <w:rsid w:val="00AA373F"/>
    <w:rsid w:val="00AC3628"/>
    <w:rsid w:val="00AC4244"/>
    <w:rsid w:val="00AD5AD4"/>
    <w:rsid w:val="00AE5BBA"/>
    <w:rsid w:val="00AF7149"/>
    <w:rsid w:val="00B01A53"/>
    <w:rsid w:val="00B050DF"/>
    <w:rsid w:val="00B06E21"/>
    <w:rsid w:val="00B1463A"/>
    <w:rsid w:val="00B16686"/>
    <w:rsid w:val="00B25B88"/>
    <w:rsid w:val="00B50FF3"/>
    <w:rsid w:val="00B9086D"/>
    <w:rsid w:val="00BA3281"/>
    <w:rsid w:val="00BA58DC"/>
    <w:rsid w:val="00BA73CB"/>
    <w:rsid w:val="00BC60EB"/>
    <w:rsid w:val="00C04680"/>
    <w:rsid w:val="00C20DDF"/>
    <w:rsid w:val="00C20EDC"/>
    <w:rsid w:val="00C31F81"/>
    <w:rsid w:val="00C33A34"/>
    <w:rsid w:val="00C45919"/>
    <w:rsid w:val="00C5643D"/>
    <w:rsid w:val="00C7153F"/>
    <w:rsid w:val="00C82C62"/>
    <w:rsid w:val="00C83C5F"/>
    <w:rsid w:val="00C8486B"/>
    <w:rsid w:val="00CA06AC"/>
    <w:rsid w:val="00CF7C19"/>
    <w:rsid w:val="00D0008F"/>
    <w:rsid w:val="00D16A60"/>
    <w:rsid w:val="00D1732F"/>
    <w:rsid w:val="00D2571D"/>
    <w:rsid w:val="00D732D7"/>
    <w:rsid w:val="00D73829"/>
    <w:rsid w:val="00D815BE"/>
    <w:rsid w:val="00D85BE0"/>
    <w:rsid w:val="00DA6796"/>
    <w:rsid w:val="00DB5BDE"/>
    <w:rsid w:val="00DC1144"/>
    <w:rsid w:val="00DE013C"/>
    <w:rsid w:val="00DE0ED8"/>
    <w:rsid w:val="00DF2D7C"/>
    <w:rsid w:val="00DF3868"/>
    <w:rsid w:val="00E3492E"/>
    <w:rsid w:val="00E3767B"/>
    <w:rsid w:val="00E53325"/>
    <w:rsid w:val="00E87392"/>
    <w:rsid w:val="00EA4CAE"/>
    <w:rsid w:val="00EC5AE9"/>
    <w:rsid w:val="00EF04C3"/>
    <w:rsid w:val="00F0151D"/>
    <w:rsid w:val="00F05440"/>
    <w:rsid w:val="00F21599"/>
    <w:rsid w:val="00F46E83"/>
    <w:rsid w:val="00F63F45"/>
    <w:rsid w:val="00F66294"/>
    <w:rsid w:val="00F707F8"/>
    <w:rsid w:val="00F724C2"/>
    <w:rsid w:val="00F96A59"/>
    <w:rsid w:val="00FC3EEE"/>
    <w:rsid w:val="00FD337E"/>
    <w:rsid w:val="00FF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67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A73CB"/>
    <w:pPr>
      <w:keepNext/>
      <w:spacing w:after="0" w:line="48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A20"/>
    <w:rPr>
      <w:color w:val="0563C1" w:themeColor="hyperlink"/>
      <w:u w:val="single"/>
    </w:rPr>
  </w:style>
  <w:style w:type="character" w:styleId="UnresolvedMention">
    <w:name w:val="Unresolved Mention"/>
    <w:basedOn w:val="DefaultParagraphFont"/>
    <w:uiPriority w:val="99"/>
    <w:semiHidden/>
    <w:unhideWhenUsed/>
    <w:rsid w:val="00226A20"/>
    <w:rPr>
      <w:color w:val="808080"/>
      <w:shd w:val="clear" w:color="auto" w:fill="E6E6E6"/>
    </w:rPr>
  </w:style>
  <w:style w:type="paragraph" w:styleId="BalloonText">
    <w:name w:val="Balloon Text"/>
    <w:basedOn w:val="Normal"/>
    <w:link w:val="BalloonTextChar"/>
    <w:uiPriority w:val="99"/>
    <w:semiHidden/>
    <w:unhideWhenUsed/>
    <w:rsid w:val="001C0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C97"/>
    <w:rPr>
      <w:rFonts w:ascii="Segoe UI" w:hAnsi="Segoe UI" w:cs="Segoe UI"/>
      <w:sz w:val="18"/>
      <w:szCs w:val="18"/>
    </w:rPr>
  </w:style>
  <w:style w:type="character" w:customStyle="1" w:styleId="Heading1Char">
    <w:name w:val="Heading 1 Char"/>
    <w:basedOn w:val="DefaultParagraphFont"/>
    <w:link w:val="Heading1"/>
    <w:rsid w:val="00BA73CB"/>
    <w:rPr>
      <w:rFonts w:ascii="Times New Roman" w:eastAsia="Times New Roman" w:hAnsi="Times New Roman" w:cs="Times New Roman"/>
      <w:b/>
      <w:bCs/>
      <w:sz w:val="24"/>
      <w:szCs w:val="20"/>
    </w:rPr>
  </w:style>
  <w:style w:type="paragraph" w:styleId="Title">
    <w:name w:val="Title"/>
    <w:basedOn w:val="Normal"/>
    <w:link w:val="TitleChar"/>
    <w:qFormat/>
    <w:rsid w:val="00BA73C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A73CB"/>
    <w:rPr>
      <w:rFonts w:ascii="Times New Roman" w:eastAsia="Times New Roman" w:hAnsi="Times New Roman" w:cs="Times New Roman"/>
      <w:b/>
      <w:sz w:val="24"/>
      <w:szCs w:val="20"/>
    </w:rPr>
  </w:style>
  <w:style w:type="character" w:styleId="LineNumber">
    <w:name w:val="line number"/>
    <w:basedOn w:val="DefaultParagraphFont"/>
    <w:uiPriority w:val="99"/>
    <w:semiHidden/>
    <w:unhideWhenUsed/>
    <w:rsid w:val="00BA73CB"/>
  </w:style>
  <w:style w:type="paragraph" w:styleId="Revision">
    <w:name w:val="Revision"/>
    <w:hidden/>
    <w:uiPriority w:val="99"/>
    <w:semiHidden/>
    <w:rsid w:val="00374473"/>
    <w:pPr>
      <w:spacing w:after="0" w:line="240" w:lineRule="auto"/>
    </w:pPr>
  </w:style>
  <w:style w:type="paragraph" w:styleId="FootnoteText">
    <w:name w:val="footnote text"/>
    <w:basedOn w:val="Normal"/>
    <w:link w:val="FootnoteTextChar"/>
    <w:uiPriority w:val="99"/>
    <w:semiHidden/>
    <w:unhideWhenUsed/>
    <w:rsid w:val="00BA58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8DC"/>
    <w:rPr>
      <w:sz w:val="20"/>
      <w:szCs w:val="20"/>
    </w:rPr>
  </w:style>
  <w:style w:type="character" w:styleId="FootnoteReference">
    <w:name w:val="footnote reference"/>
    <w:basedOn w:val="DefaultParagraphFont"/>
    <w:uiPriority w:val="99"/>
    <w:semiHidden/>
    <w:unhideWhenUsed/>
    <w:rsid w:val="00BA58DC"/>
    <w:rPr>
      <w:vertAlign w:val="superscript"/>
    </w:rPr>
  </w:style>
  <w:style w:type="paragraph" w:styleId="Header">
    <w:name w:val="header"/>
    <w:basedOn w:val="Normal"/>
    <w:link w:val="HeaderChar"/>
    <w:uiPriority w:val="99"/>
    <w:unhideWhenUsed/>
    <w:rsid w:val="0059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53A"/>
  </w:style>
  <w:style w:type="paragraph" w:styleId="Footer">
    <w:name w:val="footer"/>
    <w:basedOn w:val="Normal"/>
    <w:link w:val="FooterChar"/>
    <w:uiPriority w:val="99"/>
    <w:unhideWhenUsed/>
    <w:rsid w:val="0059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53A"/>
  </w:style>
  <w:style w:type="table" w:styleId="TableGrid">
    <w:name w:val="Table Grid"/>
    <w:basedOn w:val="TableNormal"/>
    <w:uiPriority w:val="59"/>
    <w:rsid w:val="00F0544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F05440"/>
    <w:pPr>
      <w:tabs>
        <w:tab w:val="left" w:pos="-720"/>
      </w:tabs>
      <w:suppressAutoHyphens/>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05440"/>
    <w:rPr>
      <w:rFonts w:ascii="Times New Roman" w:eastAsia="Times New Roman" w:hAnsi="Times New Roman" w:cs="Times New Roman"/>
      <w:sz w:val="24"/>
      <w:szCs w:val="24"/>
    </w:rPr>
  </w:style>
  <w:style w:type="paragraph" w:customStyle="1" w:styleId="Default">
    <w:name w:val="Default"/>
    <w:rsid w:val="00F054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ia.gov/energyexplained/index.php?page=about_energy_conversion_calculator" TargetMode="External"/><Relationship Id="rId2" Type="http://schemas.openxmlformats.org/officeDocument/2006/relationships/hyperlink" Target="https://www.cmegroup.com/confluence/plugins/servlet/mobile?contentId=78446889" TargetMode="External"/><Relationship Id="rId1" Type="http://schemas.openxmlformats.org/officeDocument/2006/relationships/hyperlink" Target="https://www.usgs.gov/news/usgs-announces-largest-continuous-oil-assessment-texas-and-new-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F3F2-5B95-46BB-944E-4085E56A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2418</Words>
  <Characters>21043</Characters>
  <Application>Microsoft Office Word</Application>
  <DocSecurity>0</DocSecurity>
  <Lines>956</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2019-01-09T18:07:00Z</dcterms:created>
  <dcterms:modified xsi:type="dcterms:W3CDTF">2019-01-10T17:43:00Z</dcterms:modified>
</cp:coreProperties>
</file>