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80" w:rsidRPr="00EF27E7" w:rsidRDefault="00BC3080" w:rsidP="003E5173">
      <w:pPr>
        <w:spacing w:line="320" w:lineRule="exact"/>
        <w:jc w:val="center"/>
        <w:outlineLvl w:val="0"/>
        <w:rPr>
          <w:rFonts w:ascii="Palatino Linotype" w:hAnsi="Palatino Linotype"/>
          <w:b/>
          <w:spacing w:val="-12"/>
        </w:rPr>
      </w:pPr>
      <w:r w:rsidRPr="00EF27E7">
        <w:rPr>
          <w:rFonts w:ascii="Palatino Linotype" w:hAnsi="Palatino Linotype"/>
          <w:b/>
          <w:spacing w:val="-12"/>
        </w:rPr>
        <w:t>BEFORE</w:t>
      </w:r>
    </w:p>
    <w:p w:rsidR="00BC3080" w:rsidRPr="00EF27E7" w:rsidRDefault="00BC3080" w:rsidP="003E5173">
      <w:pPr>
        <w:spacing w:line="320" w:lineRule="exact"/>
        <w:jc w:val="center"/>
        <w:outlineLvl w:val="0"/>
        <w:rPr>
          <w:rFonts w:ascii="Palatino Linotype" w:hAnsi="Palatino Linotype"/>
          <w:b/>
          <w:spacing w:val="-12"/>
        </w:rPr>
      </w:pPr>
      <w:r w:rsidRPr="00EF27E7">
        <w:rPr>
          <w:rFonts w:ascii="Palatino Linotype" w:hAnsi="Palatino Linotype"/>
          <w:b/>
          <w:spacing w:val="-12"/>
        </w:rPr>
        <w:t xml:space="preserve">THE PUBLIC UTILITIES COMMISSION OF </w:t>
      </w:r>
      <w:smartTag w:uri="urn:schemas-microsoft-com:office:smarttags" w:element="place">
        <w:smartTag w:uri="urn:schemas-microsoft-com:office:smarttags" w:element="State">
          <w:r w:rsidRPr="00EF27E7">
            <w:rPr>
              <w:rFonts w:ascii="Palatino Linotype" w:hAnsi="Palatino Linotype"/>
              <w:b/>
              <w:spacing w:val="-12"/>
            </w:rPr>
            <w:t>OHIO</w:t>
          </w:r>
        </w:smartTag>
      </w:smartTag>
    </w:p>
    <w:p w:rsidR="00BC3080" w:rsidRPr="00EF27E7" w:rsidRDefault="00BC3080" w:rsidP="003E5173">
      <w:pPr>
        <w:spacing w:line="320" w:lineRule="exact"/>
        <w:jc w:val="center"/>
        <w:rPr>
          <w:rFonts w:ascii="Palatino Linotype" w:hAnsi="Palatino Linotype"/>
          <w:b/>
        </w:rPr>
      </w:pPr>
    </w:p>
    <w:tbl>
      <w:tblPr>
        <w:tblW w:w="8838" w:type="dxa"/>
        <w:tblLayout w:type="fixed"/>
        <w:tblLook w:val="01E0" w:firstRow="1" w:lastRow="1" w:firstColumn="1" w:lastColumn="1" w:noHBand="0" w:noVBand="0"/>
      </w:tblPr>
      <w:tblGrid>
        <w:gridCol w:w="4158"/>
        <w:gridCol w:w="810"/>
        <w:gridCol w:w="3870"/>
      </w:tblGrid>
      <w:tr w:rsidR="00BC3080" w:rsidRPr="005D1371" w:rsidTr="00521B62">
        <w:trPr>
          <w:trHeight w:val="1110"/>
        </w:trPr>
        <w:tc>
          <w:tcPr>
            <w:tcW w:w="4158" w:type="dxa"/>
            <w:shd w:val="clear" w:color="auto" w:fill="auto"/>
          </w:tcPr>
          <w:p w:rsidR="00BC3080" w:rsidRDefault="00BC3080" w:rsidP="003E5173">
            <w:pPr>
              <w:spacing w:line="320" w:lineRule="exact"/>
              <w:jc w:val="both"/>
              <w:rPr>
                <w:rFonts w:ascii="Palatino Linotype" w:hAnsi="Palatino Linotype"/>
              </w:rPr>
            </w:pPr>
            <w:r w:rsidRPr="005D1371">
              <w:rPr>
                <w:rFonts w:ascii="Palatino Linotype" w:hAnsi="Palatino Linotype"/>
              </w:rPr>
              <w:t>In the Matter of the Application of Columbia Gas of Ohio, Inc. for A</w:t>
            </w:r>
            <w:r w:rsidRPr="005D1371">
              <w:rPr>
                <w:rFonts w:ascii="Palatino Linotype" w:hAnsi="Palatino Linotype"/>
              </w:rPr>
              <w:t>p</w:t>
            </w:r>
            <w:r w:rsidRPr="005D1371">
              <w:rPr>
                <w:rFonts w:ascii="Palatino Linotype" w:hAnsi="Palatino Linotype"/>
              </w:rPr>
              <w:t>proval to Implement a Capital E</w:t>
            </w:r>
            <w:r w:rsidRPr="005D1371">
              <w:rPr>
                <w:rFonts w:ascii="Palatino Linotype" w:hAnsi="Palatino Linotype"/>
              </w:rPr>
              <w:t>x</w:t>
            </w:r>
            <w:r w:rsidRPr="005D1371">
              <w:rPr>
                <w:rFonts w:ascii="Palatino Linotype" w:hAnsi="Palatino Linotype"/>
              </w:rPr>
              <w:t>penditure Program</w:t>
            </w:r>
            <w:r>
              <w:rPr>
                <w:rFonts w:ascii="Palatino Linotype" w:hAnsi="Palatino Linotype"/>
              </w:rPr>
              <w:t>.</w:t>
            </w:r>
          </w:p>
          <w:p w:rsidR="00BC3080" w:rsidRPr="005D1371" w:rsidRDefault="00BC3080" w:rsidP="003E5173">
            <w:pPr>
              <w:spacing w:line="320" w:lineRule="exact"/>
              <w:jc w:val="both"/>
              <w:rPr>
                <w:rFonts w:ascii="Palatino Linotype" w:hAnsi="Palatino Linotype"/>
              </w:rPr>
            </w:pPr>
          </w:p>
        </w:tc>
        <w:tc>
          <w:tcPr>
            <w:tcW w:w="810" w:type="dxa"/>
            <w:shd w:val="clear" w:color="auto" w:fill="auto"/>
          </w:tcPr>
          <w:p w:rsidR="00BC3080" w:rsidRPr="005D1371" w:rsidRDefault="00BC3080" w:rsidP="003E5173">
            <w:pPr>
              <w:spacing w:line="320" w:lineRule="exact"/>
              <w:jc w:val="center"/>
              <w:rPr>
                <w:rFonts w:ascii="Palatino Linotype" w:hAnsi="Palatino Linotype"/>
              </w:rPr>
            </w:pPr>
            <w:r w:rsidRPr="005D1371">
              <w:rPr>
                <w:rFonts w:ascii="Palatino Linotype" w:hAnsi="Palatino Linotype"/>
              </w:rPr>
              <w:t>)</w:t>
            </w:r>
          </w:p>
          <w:p w:rsidR="00BC3080" w:rsidRPr="005D1371" w:rsidRDefault="00BC3080" w:rsidP="003E5173">
            <w:pPr>
              <w:spacing w:line="320" w:lineRule="exact"/>
              <w:jc w:val="center"/>
              <w:rPr>
                <w:rFonts w:ascii="Palatino Linotype" w:hAnsi="Palatino Linotype"/>
              </w:rPr>
            </w:pPr>
            <w:r w:rsidRPr="005D1371">
              <w:rPr>
                <w:rFonts w:ascii="Palatino Linotype" w:hAnsi="Palatino Linotype"/>
              </w:rPr>
              <w:t>)</w:t>
            </w:r>
          </w:p>
          <w:p w:rsidR="00BC3080" w:rsidRDefault="00BC3080" w:rsidP="003E5173">
            <w:pPr>
              <w:spacing w:line="320" w:lineRule="exact"/>
              <w:jc w:val="center"/>
              <w:rPr>
                <w:rFonts w:ascii="Palatino Linotype" w:hAnsi="Palatino Linotype"/>
              </w:rPr>
            </w:pPr>
            <w:r w:rsidRPr="005D1371">
              <w:rPr>
                <w:rFonts w:ascii="Palatino Linotype" w:hAnsi="Palatino Linotype"/>
              </w:rPr>
              <w:t>)</w:t>
            </w:r>
          </w:p>
          <w:p w:rsidR="00BC3080" w:rsidRPr="005D1371" w:rsidRDefault="00BC3080" w:rsidP="003E5173">
            <w:pPr>
              <w:spacing w:line="320" w:lineRule="exact"/>
              <w:jc w:val="center"/>
              <w:rPr>
                <w:rFonts w:ascii="Palatino Linotype" w:hAnsi="Palatino Linotype"/>
              </w:rPr>
            </w:pPr>
            <w:r>
              <w:rPr>
                <w:rFonts w:ascii="Palatino Linotype" w:hAnsi="Palatino Linotype"/>
              </w:rPr>
              <w:t>)</w:t>
            </w:r>
          </w:p>
        </w:tc>
        <w:tc>
          <w:tcPr>
            <w:tcW w:w="3870" w:type="dxa"/>
            <w:shd w:val="clear" w:color="auto" w:fill="auto"/>
          </w:tcPr>
          <w:p w:rsidR="00BC3080" w:rsidRPr="005D1371" w:rsidRDefault="00BC3080" w:rsidP="003E5173">
            <w:pPr>
              <w:spacing w:line="320" w:lineRule="exact"/>
              <w:rPr>
                <w:rFonts w:ascii="Palatino Linotype" w:hAnsi="Palatino Linotype"/>
              </w:rPr>
            </w:pPr>
          </w:p>
          <w:p w:rsidR="00BC3080" w:rsidRPr="005D1371" w:rsidRDefault="00BC3080" w:rsidP="003E5173">
            <w:pPr>
              <w:spacing w:line="320" w:lineRule="exact"/>
              <w:rPr>
                <w:rFonts w:ascii="Palatino Linotype" w:hAnsi="Palatino Linotype"/>
              </w:rPr>
            </w:pPr>
            <w:r w:rsidRPr="005D1371">
              <w:rPr>
                <w:rFonts w:ascii="Palatino Linotype" w:hAnsi="Palatino Linotype"/>
              </w:rPr>
              <w:t>Case No. 11</w:t>
            </w:r>
            <w:r w:rsidR="00521B62">
              <w:rPr>
                <w:rFonts w:ascii="Palatino Linotype" w:hAnsi="Palatino Linotype"/>
              </w:rPr>
              <w:t>-5351</w:t>
            </w:r>
            <w:r w:rsidRPr="005D1371">
              <w:rPr>
                <w:rFonts w:ascii="Palatino Linotype" w:hAnsi="Palatino Linotype"/>
              </w:rPr>
              <w:t>-GA-</w:t>
            </w:r>
            <w:r>
              <w:rPr>
                <w:rFonts w:ascii="Palatino Linotype" w:hAnsi="Palatino Linotype"/>
              </w:rPr>
              <w:t>UNC</w:t>
            </w:r>
          </w:p>
        </w:tc>
      </w:tr>
      <w:tr w:rsidR="00BC3080" w:rsidRPr="005D1371" w:rsidTr="00521B62">
        <w:trPr>
          <w:trHeight w:val="1110"/>
        </w:trPr>
        <w:tc>
          <w:tcPr>
            <w:tcW w:w="4158" w:type="dxa"/>
            <w:shd w:val="clear" w:color="auto" w:fill="auto"/>
          </w:tcPr>
          <w:p w:rsidR="00BC3080" w:rsidRPr="005D1371" w:rsidRDefault="00BC3080" w:rsidP="003E5173">
            <w:pPr>
              <w:spacing w:line="320" w:lineRule="exact"/>
              <w:jc w:val="both"/>
              <w:rPr>
                <w:rFonts w:ascii="Palatino Linotype" w:hAnsi="Palatino Linotype"/>
              </w:rPr>
            </w:pPr>
            <w:r>
              <w:rPr>
                <w:rFonts w:ascii="Palatino Linotype" w:hAnsi="Palatino Linotype"/>
              </w:rPr>
              <w:t xml:space="preserve">In the Matter of the Application of </w:t>
            </w:r>
            <w:smartTag w:uri="urn:schemas-microsoft-com:office:smarttags" w:element="City">
              <w:smartTag w:uri="urn:schemas-microsoft-com:office:smarttags" w:element="place">
                <w:r>
                  <w:rPr>
                    <w:rFonts w:ascii="Palatino Linotype" w:hAnsi="Palatino Linotype"/>
                  </w:rPr>
                  <w:t>Columbia</w:t>
                </w:r>
              </w:smartTag>
            </w:smartTag>
            <w:r>
              <w:rPr>
                <w:rFonts w:ascii="Palatino Linotype" w:hAnsi="Palatino Linotype"/>
              </w:rPr>
              <w:t xml:space="preserve"> Gas of Ohio, Inc. for A</w:t>
            </w:r>
            <w:r>
              <w:rPr>
                <w:rFonts w:ascii="Palatino Linotype" w:hAnsi="Palatino Linotype"/>
              </w:rPr>
              <w:t>p</w:t>
            </w:r>
            <w:r>
              <w:rPr>
                <w:rFonts w:ascii="Palatino Linotype" w:hAnsi="Palatino Linotype"/>
              </w:rPr>
              <w:t>proval to Change Accounting Met</w:t>
            </w:r>
            <w:r>
              <w:rPr>
                <w:rFonts w:ascii="Palatino Linotype" w:hAnsi="Palatino Linotype"/>
              </w:rPr>
              <w:t>h</w:t>
            </w:r>
            <w:r>
              <w:rPr>
                <w:rFonts w:ascii="Palatino Linotype" w:hAnsi="Palatino Linotype"/>
              </w:rPr>
              <w:t>ods.</w:t>
            </w:r>
          </w:p>
        </w:tc>
        <w:tc>
          <w:tcPr>
            <w:tcW w:w="810" w:type="dxa"/>
            <w:shd w:val="clear" w:color="auto" w:fill="auto"/>
          </w:tcPr>
          <w:p w:rsidR="00BC3080" w:rsidRDefault="00BC3080" w:rsidP="003E5173">
            <w:pPr>
              <w:spacing w:line="320" w:lineRule="exact"/>
              <w:jc w:val="center"/>
              <w:rPr>
                <w:rFonts w:ascii="Palatino Linotype" w:hAnsi="Palatino Linotype"/>
              </w:rPr>
            </w:pPr>
            <w:r>
              <w:rPr>
                <w:rFonts w:ascii="Palatino Linotype" w:hAnsi="Palatino Linotype"/>
              </w:rPr>
              <w:t>)</w:t>
            </w:r>
          </w:p>
          <w:p w:rsidR="00BC3080" w:rsidRDefault="00BC3080" w:rsidP="003E5173">
            <w:pPr>
              <w:spacing w:line="320" w:lineRule="exact"/>
              <w:jc w:val="center"/>
              <w:rPr>
                <w:rFonts w:ascii="Palatino Linotype" w:hAnsi="Palatino Linotype"/>
              </w:rPr>
            </w:pPr>
            <w:r>
              <w:rPr>
                <w:rFonts w:ascii="Palatino Linotype" w:hAnsi="Palatino Linotype"/>
              </w:rPr>
              <w:t>)</w:t>
            </w:r>
          </w:p>
          <w:p w:rsidR="00BC3080" w:rsidRDefault="00BC3080" w:rsidP="003E5173">
            <w:pPr>
              <w:spacing w:line="320" w:lineRule="exact"/>
              <w:jc w:val="center"/>
              <w:rPr>
                <w:rFonts w:ascii="Palatino Linotype" w:hAnsi="Palatino Linotype"/>
              </w:rPr>
            </w:pPr>
            <w:r>
              <w:rPr>
                <w:rFonts w:ascii="Palatino Linotype" w:hAnsi="Palatino Linotype"/>
              </w:rPr>
              <w:t>)</w:t>
            </w:r>
          </w:p>
          <w:p w:rsidR="00521B62" w:rsidRPr="005D1371" w:rsidRDefault="00521B62" w:rsidP="003E5173">
            <w:pPr>
              <w:spacing w:line="320" w:lineRule="exact"/>
              <w:jc w:val="center"/>
              <w:rPr>
                <w:rFonts w:ascii="Palatino Linotype" w:hAnsi="Palatino Linotype"/>
              </w:rPr>
            </w:pPr>
            <w:r>
              <w:rPr>
                <w:rFonts w:ascii="Palatino Linotype" w:hAnsi="Palatino Linotype"/>
              </w:rPr>
              <w:t>)</w:t>
            </w:r>
          </w:p>
        </w:tc>
        <w:tc>
          <w:tcPr>
            <w:tcW w:w="3870" w:type="dxa"/>
            <w:shd w:val="clear" w:color="auto" w:fill="auto"/>
          </w:tcPr>
          <w:p w:rsidR="00BC3080" w:rsidRDefault="00BC3080" w:rsidP="003E5173">
            <w:pPr>
              <w:spacing w:line="320" w:lineRule="exact"/>
              <w:rPr>
                <w:rFonts w:ascii="Palatino Linotype" w:hAnsi="Palatino Linotype"/>
              </w:rPr>
            </w:pPr>
          </w:p>
          <w:p w:rsidR="00BC3080" w:rsidRPr="00105F4B" w:rsidRDefault="00BC3080" w:rsidP="003E5173">
            <w:pPr>
              <w:spacing w:line="320" w:lineRule="exact"/>
              <w:rPr>
                <w:rFonts w:ascii="Palatino Linotype" w:hAnsi="Palatino Linotype"/>
              </w:rPr>
            </w:pPr>
            <w:r>
              <w:rPr>
                <w:rFonts w:ascii="Palatino Linotype" w:hAnsi="Palatino Linotype"/>
              </w:rPr>
              <w:t>Case No. 11-</w:t>
            </w:r>
            <w:r w:rsidR="00521B62">
              <w:rPr>
                <w:rFonts w:ascii="Palatino Linotype" w:hAnsi="Palatino Linotype"/>
              </w:rPr>
              <w:t>5352</w:t>
            </w:r>
            <w:r>
              <w:rPr>
                <w:rFonts w:ascii="Palatino Linotype" w:hAnsi="Palatino Linotype"/>
              </w:rPr>
              <w:t>-GA-AAM</w:t>
            </w:r>
          </w:p>
        </w:tc>
      </w:tr>
    </w:tbl>
    <w:p w:rsidR="003F38F7" w:rsidRDefault="003F38F7" w:rsidP="003E5173">
      <w:pPr>
        <w:spacing w:line="320" w:lineRule="exact"/>
      </w:pPr>
    </w:p>
    <w:p w:rsidR="00A46F75" w:rsidRPr="00EF27E7" w:rsidRDefault="00A46F75" w:rsidP="003E5173">
      <w:pPr>
        <w:spacing w:line="320" w:lineRule="exact"/>
        <w:jc w:val="center"/>
        <w:rPr>
          <w:rFonts w:ascii="Palatino Linotype" w:hAnsi="Palatino Linotype"/>
          <w:b/>
          <w:u w:val="double"/>
        </w:rPr>
      </w:pPr>
      <w:r w:rsidRPr="00EF27E7">
        <w:rPr>
          <w:rFonts w:ascii="Palatino Linotype" w:hAnsi="Palatino Linotype"/>
          <w:b/>
          <w:u w:val="double"/>
        </w:rPr>
        <w:tab/>
      </w:r>
      <w:r w:rsidRPr="00EF27E7">
        <w:rPr>
          <w:rFonts w:ascii="Palatino Linotype" w:hAnsi="Palatino Linotype"/>
          <w:b/>
          <w:u w:val="double"/>
        </w:rPr>
        <w:tab/>
      </w:r>
      <w:r w:rsidRPr="00EF27E7">
        <w:rPr>
          <w:rFonts w:ascii="Palatino Linotype" w:hAnsi="Palatino Linotype"/>
          <w:b/>
          <w:u w:val="double"/>
        </w:rPr>
        <w:tab/>
      </w:r>
      <w:r w:rsidRPr="00EF27E7">
        <w:rPr>
          <w:rFonts w:ascii="Palatino Linotype" w:hAnsi="Palatino Linotype"/>
          <w:b/>
          <w:u w:val="double"/>
        </w:rPr>
        <w:tab/>
      </w:r>
      <w:r w:rsidRPr="00EF27E7">
        <w:rPr>
          <w:rFonts w:ascii="Palatino Linotype" w:hAnsi="Palatino Linotype"/>
          <w:b/>
          <w:u w:val="double"/>
        </w:rPr>
        <w:tab/>
      </w:r>
      <w:r w:rsidRPr="00EF27E7">
        <w:rPr>
          <w:rFonts w:ascii="Palatino Linotype" w:hAnsi="Palatino Linotype"/>
          <w:b/>
          <w:u w:val="double"/>
        </w:rPr>
        <w:tab/>
      </w:r>
      <w:r w:rsidRPr="00EF27E7">
        <w:rPr>
          <w:rFonts w:ascii="Palatino Linotype" w:hAnsi="Palatino Linotype"/>
          <w:b/>
          <w:u w:val="double"/>
        </w:rPr>
        <w:tab/>
      </w:r>
      <w:r w:rsidRPr="00EF27E7">
        <w:rPr>
          <w:rFonts w:ascii="Palatino Linotype" w:hAnsi="Palatino Linotype"/>
          <w:b/>
          <w:u w:val="double"/>
        </w:rPr>
        <w:tab/>
      </w:r>
      <w:r w:rsidRPr="00EF27E7">
        <w:rPr>
          <w:rFonts w:ascii="Palatino Linotype" w:hAnsi="Palatino Linotype"/>
          <w:b/>
          <w:u w:val="double"/>
        </w:rPr>
        <w:tab/>
      </w:r>
      <w:r w:rsidRPr="00EF27E7">
        <w:rPr>
          <w:rFonts w:ascii="Palatino Linotype" w:hAnsi="Palatino Linotype"/>
          <w:b/>
          <w:u w:val="double"/>
        </w:rPr>
        <w:tab/>
      </w:r>
    </w:p>
    <w:p w:rsidR="00A46F75" w:rsidRPr="00EF27E7" w:rsidRDefault="00A46F75" w:rsidP="003E5173">
      <w:pPr>
        <w:spacing w:line="320" w:lineRule="exact"/>
        <w:jc w:val="center"/>
        <w:rPr>
          <w:rFonts w:ascii="Palatino Linotype" w:hAnsi="Palatino Linotype"/>
          <w:b/>
          <w:u w:val="double"/>
        </w:rPr>
      </w:pPr>
    </w:p>
    <w:p w:rsidR="00A46F75" w:rsidRPr="00EF27E7" w:rsidRDefault="00A46F75" w:rsidP="003E5173">
      <w:pPr>
        <w:spacing w:line="320" w:lineRule="exact"/>
        <w:jc w:val="center"/>
        <w:rPr>
          <w:rFonts w:ascii="Palatino Linotype" w:hAnsi="Palatino Linotype"/>
          <w:b/>
          <w:spacing w:val="-12"/>
        </w:rPr>
      </w:pPr>
      <w:r>
        <w:rPr>
          <w:rFonts w:ascii="Palatino Linotype" w:hAnsi="Palatino Linotype"/>
          <w:b/>
          <w:spacing w:val="-12"/>
        </w:rPr>
        <w:t xml:space="preserve">REPLY COMMENTS OF COLUMBIA GAS OF OHIO, INC. </w:t>
      </w:r>
    </w:p>
    <w:p w:rsidR="00A46F75" w:rsidRPr="00EF27E7" w:rsidRDefault="00A46F75" w:rsidP="003E5173">
      <w:pPr>
        <w:spacing w:line="320" w:lineRule="exact"/>
        <w:jc w:val="center"/>
        <w:rPr>
          <w:rFonts w:ascii="Palatino Linotype" w:hAnsi="Palatino Linotype"/>
          <w:b/>
          <w:u w:val="double"/>
        </w:rPr>
      </w:pPr>
      <w:r w:rsidRPr="00EF27E7">
        <w:rPr>
          <w:rFonts w:ascii="Palatino Linotype" w:hAnsi="Palatino Linotype"/>
          <w:b/>
          <w:u w:val="double"/>
        </w:rPr>
        <w:tab/>
      </w:r>
      <w:r w:rsidRPr="00EF27E7">
        <w:rPr>
          <w:rFonts w:ascii="Palatino Linotype" w:hAnsi="Palatino Linotype"/>
          <w:b/>
          <w:u w:val="double"/>
        </w:rPr>
        <w:tab/>
      </w:r>
      <w:r w:rsidRPr="00EF27E7">
        <w:rPr>
          <w:rFonts w:ascii="Palatino Linotype" w:hAnsi="Palatino Linotype"/>
          <w:b/>
          <w:u w:val="double"/>
        </w:rPr>
        <w:tab/>
      </w:r>
      <w:r w:rsidRPr="00EF27E7">
        <w:rPr>
          <w:rFonts w:ascii="Palatino Linotype" w:hAnsi="Palatino Linotype"/>
          <w:b/>
          <w:u w:val="double"/>
        </w:rPr>
        <w:tab/>
      </w:r>
      <w:r w:rsidRPr="00EF27E7">
        <w:rPr>
          <w:rFonts w:ascii="Palatino Linotype" w:hAnsi="Palatino Linotype"/>
          <w:b/>
          <w:u w:val="double"/>
        </w:rPr>
        <w:tab/>
      </w:r>
      <w:r w:rsidRPr="00EF27E7">
        <w:rPr>
          <w:rFonts w:ascii="Palatino Linotype" w:hAnsi="Palatino Linotype"/>
          <w:b/>
          <w:u w:val="double"/>
        </w:rPr>
        <w:tab/>
      </w:r>
      <w:r w:rsidRPr="00EF27E7">
        <w:rPr>
          <w:rFonts w:ascii="Palatino Linotype" w:hAnsi="Palatino Linotype"/>
          <w:b/>
          <w:u w:val="double"/>
        </w:rPr>
        <w:tab/>
      </w:r>
      <w:r w:rsidRPr="00EF27E7">
        <w:rPr>
          <w:rFonts w:ascii="Palatino Linotype" w:hAnsi="Palatino Linotype"/>
          <w:b/>
          <w:u w:val="double"/>
        </w:rPr>
        <w:tab/>
      </w:r>
      <w:r w:rsidRPr="00EF27E7">
        <w:rPr>
          <w:rFonts w:ascii="Palatino Linotype" w:hAnsi="Palatino Linotype"/>
          <w:b/>
          <w:u w:val="double"/>
        </w:rPr>
        <w:tab/>
      </w:r>
      <w:r w:rsidRPr="00EF27E7">
        <w:rPr>
          <w:rFonts w:ascii="Palatino Linotype" w:hAnsi="Palatino Linotype"/>
          <w:b/>
          <w:u w:val="double"/>
        </w:rPr>
        <w:tab/>
      </w:r>
    </w:p>
    <w:p w:rsidR="003F38F7" w:rsidRDefault="003F38F7" w:rsidP="003E5173">
      <w:pPr>
        <w:spacing w:line="320" w:lineRule="exact"/>
      </w:pPr>
    </w:p>
    <w:p w:rsidR="00A46F75" w:rsidRPr="003E5173" w:rsidRDefault="00B61A7C" w:rsidP="003E5173">
      <w:pPr>
        <w:spacing w:line="320" w:lineRule="exact"/>
        <w:rPr>
          <w:b/>
          <w:spacing w:val="-12"/>
        </w:rPr>
      </w:pPr>
      <w:r w:rsidRPr="003E5173">
        <w:rPr>
          <w:b/>
          <w:spacing w:val="-12"/>
        </w:rPr>
        <w:t>INTRODUCTION</w:t>
      </w:r>
    </w:p>
    <w:p w:rsidR="008A7398" w:rsidRDefault="008A7398" w:rsidP="003E5173">
      <w:pPr>
        <w:spacing w:line="320" w:lineRule="exact"/>
        <w:rPr>
          <w:b/>
        </w:rPr>
      </w:pPr>
    </w:p>
    <w:p w:rsidR="003E5173" w:rsidRDefault="008A7398" w:rsidP="003E5173">
      <w:pPr>
        <w:spacing w:line="320" w:lineRule="exact"/>
        <w:jc w:val="both"/>
        <w:rPr>
          <w:rFonts w:ascii="Palatino Linotype" w:hAnsi="Palatino Linotype"/>
        </w:rPr>
      </w:pPr>
      <w:r>
        <w:rPr>
          <w:b/>
        </w:rPr>
        <w:tab/>
      </w:r>
      <w:r w:rsidRPr="00EC48DE">
        <w:rPr>
          <w:rFonts w:ascii="Palatino Linotype" w:hAnsi="Palatino Linotype"/>
        </w:rPr>
        <w:t>On October 3, 2011, Columbia Gas of Ohio, Inc. (“Columbia”), filed with the Public Utilities Commission of Ohio (“Commission”) an Application for A</w:t>
      </w:r>
      <w:r w:rsidRPr="00EC48DE">
        <w:rPr>
          <w:rFonts w:ascii="Palatino Linotype" w:hAnsi="Palatino Linotype"/>
        </w:rPr>
        <w:t>u</w:t>
      </w:r>
      <w:r w:rsidRPr="00EC48DE">
        <w:rPr>
          <w:rFonts w:ascii="Palatino Linotype" w:hAnsi="Palatino Linotype"/>
        </w:rPr>
        <w:t xml:space="preserve">thority to Implement a Capital Expenditure Program and for Approval to Change Accounting Methods (“Application”). The </w:t>
      </w:r>
      <w:r w:rsidR="003E5173">
        <w:rPr>
          <w:rFonts w:ascii="Palatino Linotype" w:hAnsi="Palatino Linotype"/>
        </w:rPr>
        <w:t xml:space="preserve">Office of the </w:t>
      </w:r>
      <w:r w:rsidRPr="00EC48DE">
        <w:rPr>
          <w:rFonts w:ascii="Palatino Linotype" w:hAnsi="Palatino Linotype"/>
        </w:rPr>
        <w:t>Ohio Consu</w:t>
      </w:r>
      <w:r w:rsidRPr="00EC48DE">
        <w:rPr>
          <w:rFonts w:ascii="Palatino Linotype" w:hAnsi="Palatino Linotype"/>
        </w:rPr>
        <w:t>m</w:t>
      </w:r>
      <w:r w:rsidRPr="00EC48DE">
        <w:rPr>
          <w:rFonts w:ascii="Palatino Linotype" w:hAnsi="Palatino Linotype"/>
        </w:rPr>
        <w:t xml:space="preserve">ers’ Counsel (“OCC”) moved </w:t>
      </w:r>
      <w:r w:rsidR="003E5173">
        <w:rPr>
          <w:rFonts w:ascii="Palatino Linotype" w:hAnsi="Palatino Linotype"/>
        </w:rPr>
        <w:t>t</w:t>
      </w:r>
      <w:r w:rsidRPr="00EC48DE">
        <w:rPr>
          <w:rFonts w:ascii="Palatino Linotype" w:hAnsi="Palatino Linotype"/>
        </w:rPr>
        <w:t>o interven</w:t>
      </w:r>
      <w:r w:rsidR="003E5173">
        <w:rPr>
          <w:rFonts w:ascii="Palatino Linotype" w:hAnsi="Palatino Linotype"/>
        </w:rPr>
        <w:t>e</w:t>
      </w:r>
      <w:r w:rsidRPr="00EC48DE">
        <w:rPr>
          <w:rFonts w:ascii="Palatino Linotype" w:hAnsi="Palatino Linotype"/>
        </w:rPr>
        <w:t xml:space="preserve"> on October 12, 2011</w:t>
      </w:r>
      <w:r w:rsidR="003E5173">
        <w:rPr>
          <w:rFonts w:ascii="Palatino Linotype" w:hAnsi="Palatino Linotype"/>
        </w:rPr>
        <w:t>,</w:t>
      </w:r>
      <w:r w:rsidRPr="00EC48DE">
        <w:rPr>
          <w:rFonts w:ascii="Palatino Linotype" w:hAnsi="Palatino Linotype"/>
        </w:rPr>
        <w:t xml:space="preserve"> and the Ohio Partners for Affordable Energy</w:t>
      </w:r>
      <w:r w:rsidR="00EC48DE">
        <w:rPr>
          <w:rFonts w:ascii="Palatino Linotype" w:hAnsi="Palatino Linotype"/>
        </w:rPr>
        <w:t xml:space="preserve"> (“OPAE”)</w:t>
      </w:r>
      <w:r w:rsidRPr="00EC48DE">
        <w:rPr>
          <w:rFonts w:ascii="Palatino Linotype" w:hAnsi="Palatino Linotype"/>
        </w:rPr>
        <w:t xml:space="preserve"> </w:t>
      </w:r>
      <w:r w:rsidR="00EC48DE" w:rsidRPr="00EC48DE">
        <w:rPr>
          <w:rFonts w:ascii="Palatino Linotype" w:hAnsi="Palatino Linotype"/>
        </w:rPr>
        <w:t xml:space="preserve">moved </w:t>
      </w:r>
      <w:r w:rsidR="003E5173">
        <w:rPr>
          <w:rFonts w:ascii="Palatino Linotype" w:hAnsi="Palatino Linotype"/>
        </w:rPr>
        <w:t>t</w:t>
      </w:r>
      <w:r w:rsidR="00EC48DE" w:rsidRPr="00EC48DE">
        <w:rPr>
          <w:rFonts w:ascii="Palatino Linotype" w:hAnsi="Palatino Linotype"/>
        </w:rPr>
        <w:t>o interven</w:t>
      </w:r>
      <w:r w:rsidR="003E5173">
        <w:rPr>
          <w:rFonts w:ascii="Palatino Linotype" w:hAnsi="Palatino Linotype"/>
        </w:rPr>
        <w:t>e</w:t>
      </w:r>
      <w:r w:rsidR="00EC48DE" w:rsidRPr="00EC48DE">
        <w:rPr>
          <w:rFonts w:ascii="Palatino Linotype" w:hAnsi="Palatino Linotype"/>
        </w:rPr>
        <w:t xml:space="preserve"> on October 18, 2011. By Entry dated January 27, 2012, the Commission granted </w:t>
      </w:r>
      <w:r w:rsidR="003E5173">
        <w:rPr>
          <w:rFonts w:ascii="Palatino Linotype" w:hAnsi="Palatino Linotype"/>
        </w:rPr>
        <w:t xml:space="preserve">the motions to </w:t>
      </w:r>
      <w:r w:rsidR="00EC48DE" w:rsidRPr="00EC48DE">
        <w:rPr>
          <w:rFonts w:ascii="Palatino Linotype" w:hAnsi="Palatino Linotype"/>
        </w:rPr>
        <w:t>interven</w:t>
      </w:r>
      <w:r w:rsidR="003E5173">
        <w:rPr>
          <w:rFonts w:ascii="Palatino Linotype" w:hAnsi="Palatino Linotype"/>
        </w:rPr>
        <w:t>e filed by OCC and OPAE,</w:t>
      </w:r>
      <w:r w:rsidR="00EC48DE" w:rsidRPr="00EC48DE">
        <w:rPr>
          <w:rFonts w:ascii="Palatino Linotype" w:hAnsi="Palatino Linotype"/>
        </w:rPr>
        <w:t xml:space="preserve"> and </w:t>
      </w:r>
      <w:r w:rsidR="003E5173">
        <w:rPr>
          <w:rFonts w:ascii="Palatino Linotype" w:hAnsi="Palatino Linotype"/>
        </w:rPr>
        <w:t>established</w:t>
      </w:r>
      <w:r w:rsidR="00EC48DE" w:rsidRPr="00EC48DE">
        <w:rPr>
          <w:rFonts w:ascii="Palatino Linotype" w:hAnsi="Palatino Linotype"/>
        </w:rPr>
        <w:t xml:space="preserve"> a procedural schedule </w:t>
      </w:r>
      <w:r w:rsidR="003E5173">
        <w:rPr>
          <w:rFonts w:ascii="Palatino Linotype" w:hAnsi="Palatino Linotype"/>
        </w:rPr>
        <w:t xml:space="preserve">that </w:t>
      </w:r>
      <w:r w:rsidR="00EC48DE" w:rsidRPr="00EC48DE">
        <w:rPr>
          <w:rFonts w:ascii="Palatino Linotype" w:hAnsi="Palatino Linotype"/>
        </w:rPr>
        <w:t>requir</w:t>
      </w:r>
      <w:r w:rsidR="003E5173">
        <w:rPr>
          <w:rFonts w:ascii="Palatino Linotype" w:hAnsi="Palatino Linotype"/>
        </w:rPr>
        <w:t>ed</w:t>
      </w:r>
      <w:r w:rsidR="00EC48DE" w:rsidRPr="00EC48DE">
        <w:rPr>
          <w:rFonts w:ascii="Palatino Linotype" w:hAnsi="Palatino Linotype"/>
        </w:rPr>
        <w:t xml:space="preserve"> interested parties to file for intervention by February 10, 2012</w:t>
      </w:r>
      <w:r w:rsidR="008B0A38">
        <w:rPr>
          <w:rFonts w:ascii="Palatino Linotype" w:hAnsi="Palatino Linotype"/>
        </w:rPr>
        <w:t>,</w:t>
      </w:r>
      <w:r w:rsidR="00EC48DE" w:rsidRPr="00EC48DE">
        <w:rPr>
          <w:rFonts w:ascii="Palatino Linotype" w:hAnsi="Palatino Linotype"/>
        </w:rPr>
        <w:t xml:space="preserve"> with comments </w:t>
      </w:r>
      <w:r w:rsidR="003E5173">
        <w:rPr>
          <w:rFonts w:ascii="Palatino Linotype" w:hAnsi="Palatino Linotype"/>
        </w:rPr>
        <w:t xml:space="preserve">on Columbia’s </w:t>
      </w:r>
      <w:r w:rsidR="00A66E6D">
        <w:rPr>
          <w:rFonts w:ascii="Palatino Linotype" w:hAnsi="Palatino Linotype"/>
        </w:rPr>
        <w:t>A</w:t>
      </w:r>
      <w:r w:rsidR="003E5173">
        <w:rPr>
          <w:rFonts w:ascii="Palatino Linotype" w:hAnsi="Palatino Linotype"/>
        </w:rPr>
        <w:t xml:space="preserve">pplication </w:t>
      </w:r>
      <w:r w:rsidR="00EC48DE" w:rsidRPr="00EC48DE">
        <w:rPr>
          <w:rFonts w:ascii="Palatino Linotype" w:hAnsi="Palatino Linotype"/>
        </w:rPr>
        <w:t>due on February 17, 2012</w:t>
      </w:r>
      <w:r w:rsidR="003E5173">
        <w:rPr>
          <w:rFonts w:ascii="Palatino Linotype" w:hAnsi="Palatino Linotype"/>
        </w:rPr>
        <w:t>,</w:t>
      </w:r>
      <w:r w:rsidR="00EC48DE" w:rsidRPr="00EC48DE">
        <w:rPr>
          <w:rFonts w:ascii="Palatino Linotype" w:hAnsi="Palatino Linotype"/>
        </w:rPr>
        <w:t xml:space="preserve"> and reply co</w:t>
      </w:r>
      <w:r w:rsidR="00EC48DE" w:rsidRPr="00EC48DE">
        <w:rPr>
          <w:rFonts w:ascii="Palatino Linotype" w:hAnsi="Palatino Linotype"/>
        </w:rPr>
        <w:t>m</w:t>
      </w:r>
      <w:r w:rsidR="00EC48DE" w:rsidRPr="00EC48DE">
        <w:rPr>
          <w:rFonts w:ascii="Palatino Linotype" w:hAnsi="Palatino Linotype"/>
        </w:rPr>
        <w:t xml:space="preserve">ments due </w:t>
      </w:r>
      <w:r w:rsidR="003E5173">
        <w:rPr>
          <w:rFonts w:ascii="Palatino Linotype" w:hAnsi="Palatino Linotype"/>
        </w:rPr>
        <w:t xml:space="preserve">on </w:t>
      </w:r>
      <w:r w:rsidR="00EC48DE" w:rsidRPr="00EC48DE">
        <w:rPr>
          <w:rFonts w:ascii="Palatino Linotype" w:hAnsi="Palatino Linotype"/>
        </w:rPr>
        <w:t>February 27, 2012.</w:t>
      </w:r>
    </w:p>
    <w:p w:rsidR="003E5173" w:rsidRDefault="003E5173" w:rsidP="003E5173">
      <w:pPr>
        <w:spacing w:line="320" w:lineRule="exact"/>
        <w:jc w:val="both"/>
        <w:rPr>
          <w:rFonts w:ascii="Palatino Linotype" w:hAnsi="Palatino Linotype"/>
        </w:rPr>
      </w:pPr>
    </w:p>
    <w:p w:rsidR="00EC48DE" w:rsidRDefault="003E5173" w:rsidP="003E5173">
      <w:pPr>
        <w:spacing w:line="320" w:lineRule="exact"/>
        <w:ind w:firstLine="720"/>
        <w:jc w:val="both"/>
        <w:rPr>
          <w:rFonts w:ascii="Palatino Linotype" w:hAnsi="Palatino Linotype"/>
        </w:rPr>
      </w:pPr>
      <w:r>
        <w:rPr>
          <w:rFonts w:ascii="Palatino Linotype" w:hAnsi="Palatino Linotype"/>
        </w:rPr>
        <w:t xml:space="preserve">On February 17, 2012, </w:t>
      </w:r>
      <w:r w:rsidR="00EC48DE" w:rsidRPr="00EC48DE">
        <w:rPr>
          <w:rFonts w:ascii="Palatino Linotype" w:hAnsi="Palatino Linotype"/>
        </w:rPr>
        <w:t>the Staff of the Commission (“Staff”), the OCC and OPAE filed comments.</w:t>
      </w:r>
      <w:r>
        <w:rPr>
          <w:rFonts w:ascii="Palatino Linotype" w:hAnsi="Palatino Linotype"/>
        </w:rPr>
        <w:t xml:space="preserve"> </w:t>
      </w:r>
      <w:r w:rsidR="00EC48DE" w:rsidRPr="00EC48DE">
        <w:rPr>
          <w:rFonts w:ascii="Palatino Linotype" w:hAnsi="Palatino Linotype"/>
        </w:rPr>
        <w:t xml:space="preserve">Pursuant to the </w:t>
      </w:r>
      <w:r>
        <w:rPr>
          <w:rFonts w:ascii="Palatino Linotype" w:hAnsi="Palatino Linotype"/>
        </w:rPr>
        <w:t xml:space="preserve">Commission’s </w:t>
      </w:r>
      <w:r w:rsidR="00EC48DE" w:rsidRPr="00EC48DE">
        <w:rPr>
          <w:rFonts w:ascii="Palatino Linotype" w:hAnsi="Palatino Linotype"/>
        </w:rPr>
        <w:t>January 27, 2012 Entry, C</w:t>
      </w:r>
      <w:r w:rsidR="00EC48DE" w:rsidRPr="00EC48DE">
        <w:rPr>
          <w:rFonts w:ascii="Palatino Linotype" w:hAnsi="Palatino Linotype"/>
        </w:rPr>
        <w:t>o</w:t>
      </w:r>
      <w:r w:rsidR="00EC48DE" w:rsidRPr="00EC48DE">
        <w:rPr>
          <w:rFonts w:ascii="Palatino Linotype" w:hAnsi="Palatino Linotype"/>
        </w:rPr>
        <w:t>lumbia hereby submits the following Reply Comments in response to the co</w:t>
      </w:r>
      <w:r w:rsidR="00EC48DE" w:rsidRPr="00EC48DE">
        <w:rPr>
          <w:rFonts w:ascii="Palatino Linotype" w:hAnsi="Palatino Linotype"/>
        </w:rPr>
        <w:t>m</w:t>
      </w:r>
      <w:r w:rsidR="00EC48DE" w:rsidRPr="00EC48DE">
        <w:rPr>
          <w:rFonts w:ascii="Palatino Linotype" w:hAnsi="Palatino Linotype"/>
        </w:rPr>
        <w:t>ments filed by Staff, the OCC and OP</w:t>
      </w:r>
      <w:r>
        <w:rPr>
          <w:rFonts w:ascii="Palatino Linotype" w:hAnsi="Palatino Linotype"/>
        </w:rPr>
        <w:t>AE</w:t>
      </w:r>
      <w:r w:rsidR="00EC48DE" w:rsidRPr="00EC48DE">
        <w:rPr>
          <w:rFonts w:ascii="Palatino Linotype" w:hAnsi="Palatino Linotype"/>
        </w:rPr>
        <w:t>.</w:t>
      </w:r>
    </w:p>
    <w:p w:rsidR="003E5173" w:rsidRDefault="003E5173" w:rsidP="003E5173">
      <w:pPr>
        <w:spacing w:line="320" w:lineRule="exact"/>
        <w:ind w:firstLine="720"/>
        <w:jc w:val="both"/>
        <w:rPr>
          <w:rFonts w:ascii="Palatino Linotype" w:hAnsi="Palatino Linotype"/>
        </w:rPr>
      </w:pPr>
    </w:p>
    <w:p w:rsidR="003E5173" w:rsidRPr="003E5173" w:rsidRDefault="003E5173" w:rsidP="009F0A6C">
      <w:pPr>
        <w:keepNext/>
        <w:keepLines/>
        <w:spacing w:line="320" w:lineRule="exact"/>
        <w:jc w:val="both"/>
        <w:rPr>
          <w:rFonts w:ascii="Palatino Linotype" w:hAnsi="Palatino Linotype"/>
          <w:b/>
          <w:spacing w:val="-12"/>
        </w:rPr>
      </w:pPr>
      <w:r w:rsidRPr="003E5173">
        <w:rPr>
          <w:rFonts w:ascii="Palatino Linotype" w:hAnsi="Palatino Linotype"/>
          <w:b/>
          <w:spacing w:val="-12"/>
        </w:rPr>
        <w:lastRenderedPageBreak/>
        <w:t>RESPONSE TO STAFF COMMENTS</w:t>
      </w:r>
    </w:p>
    <w:p w:rsidR="003E5173" w:rsidRDefault="003E5173" w:rsidP="009F0A6C">
      <w:pPr>
        <w:keepNext/>
        <w:keepLines/>
        <w:spacing w:line="320" w:lineRule="exact"/>
        <w:jc w:val="both"/>
        <w:rPr>
          <w:rFonts w:ascii="Palatino Linotype" w:hAnsi="Palatino Linotype"/>
          <w:b/>
        </w:rPr>
      </w:pPr>
    </w:p>
    <w:p w:rsidR="00C934C6" w:rsidRPr="003E5173" w:rsidRDefault="003E5173" w:rsidP="00C934C6">
      <w:pPr>
        <w:keepNext/>
        <w:keepLines/>
        <w:spacing w:line="320" w:lineRule="exact"/>
        <w:jc w:val="both"/>
        <w:rPr>
          <w:rFonts w:ascii="Palatino Linotype" w:hAnsi="Palatino Linotype"/>
        </w:rPr>
      </w:pPr>
      <w:r w:rsidRPr="009F0A6C">
        <w:rPr>
          <w:rFonts w:ascii="Palatino Linotype" w:hAnsi="Palatino Linotype"/>
        </w:rPr>
        <w:tab/>
      </w:r>
      <w:r w:rsidR="009F0A6C" w:rsidRPr="009F0A6C">
        <w:rPr>
          <w:rFonts w:ascii="Palatino Linotype" w:hAnsi="Palatino Linotype"/>
        </w:rPr>
        <w:t xml:space="preserve">Columbia appreciates Staff’s comprehensive description of its position on the accounting changes Columbia requested in this proceeding. </w:t>
      </w:r>
      <w:r w:rsidR="009F0A6C">
        <w:rPr>
          <w:rFonts w:ascii="Palatino Linotype" w:hAnsi="Palatino Linotype"/>
        </w:rPr>
        <w:t xml:space="preserve">Columbia values </w:t>
      </w:r>
      <w:r w:rsidR="009F0A6C" w:rsidRPr="009F0A6C">
        <w:rPr>
          <w:rFonts w:ascii="Palatino Linotype" w:hAnsi="Palatino Linotype"/>
        </w:rPr>
        <w:t xml:space="preserve">the inclusion of proposed formulas and the Staff’s willingness to provide further clarification when needed. Columbia </w:t>
      </w:r>
      <w:r w:rsidR="009F0A6C">
        <w:rPr>
          <w:rFonts w:ascii="Palatino Linotype" w:hAnsi="Palatino Linotype"/>
        </w:rPr>
        <w:t xml:space="preserve">also </w:t>
      </w:r>
      <w:r w:rsidR="009F0A6C" w:rsidRPr="009F0A6C">
        <w:rPr>
          <w:rFonts w:ascii="Palatino Linotype" w:hAnsi="Palatino Linotype"/>
        </w:rPr>
        <w:t xml:space="preserve">understands Staff’s desire to develop all deferrals in a manner consistent with those used in </w:t>
      </w:r>
      <w:r w:rsidR="00B54966">
        <w:rPr>
          <w:rFonts w:ascii="Palatino Linotype" w:hAnsi="Palatino Linotype"/>
        </w:rPr>
        <w:t xml:space="preserve">Columbia’s </w:t>
      </w:r>
      <w:r w:rsidR="009F0A6C" w:rsidRPr="009F0A6C">
        <w:rPr>
          <w:rFonts w:ascii="Palatino Linotype" w:hAnsi="Palatino Linotype"/>
        </w:rPr>
        <w:t>IRP procee</w:t>
      </w:r>
      <w:r w:rsidR="009F0A6C" w:rsidRPr="009F0A6C">
        <w:rPr>
          <w:rFonts w:ascii="Palatino Linotype" w:hAnsi="Palatino Linotype"/>
        </w:rPr>
        <w:t>d</w:t>
      </w:r>
      <w:r w:rsidR="009F0A6C" w:rsidRPr="009F0A6C">
        <w:rPr>
          <w:rFonts w:ascii="Palatino Linotype" w:hAnsi="Palatino Linotype"/>
        </w:rPr>
        <w:t>ings</w:t>
      </w:r>
      <w:r w:rsidR="00B54966">
        <w:rPr>
          <w:rFonts w:ascii="Palatino Linotype" w:hAnsi="Palatino Linotype"/>
        </w:rPr>
        <w:t xml:space="preserve"> – a goal with which Columbia does not disagree</w:t>
      </w:r>
      <w:r w:rsidR="009F0A6C" w:rsidRPr="009F0A6C">
        <w:rPr>
          <w:rFonts w:ascii="Palatino Linotype" w:hAnsi="Palatino Linotype"/>
        </w:rPr>
        <w:t xml:space="preserve">. </w:t>
      </w:r>
      <w:r w:rsidR="00C934C6">
        <w:rPr>
          <w:rFonts w:ascii="Palatino Linotype" w:hAnsi="Palatino Linotype"/>
        </w:rPr>
        <w:t>Columbia takes no exce</w:t>
      </w:r>
      <w:r w:rsidR="00C934C6">
        <w:rPr>
          <w:rFonts w:ascii="Palatino Linotype" w:hAnsi="Palatino Linotype"/>
        </w:rPr>
        <w:t>p</w:t>
      </w:r>
      <w:r w:rsidR="00C934C6">
        <w:rPr>
          <w:rFonts w:ascii="Palatino Linotype" w:hAnsi="Palatino Linotype"/>
        </w:rPr>
        <w:t xml:space="preserve">tion with </w:t>
      </w:r>
      <w:r w:rsidR="00BF0EF2">
        <w:rPr>
          <w:rFonts w:ascii="Palatino Linotype" w:hAnsi="Palatino Linotype"/>
        </w:rPr>
        <w:t xml:space="preserve">some </w:t>
      </w:r>
      <w:r w:rsidR="00C934C6">
        <w:rPr>
          <w:rFonts w:ascii="Palatino Linotype" w:hAnsi="Palatino Linotype"/>
        </w:rPr>
        <w:t>of Staff’s comments</w:t>
      </w:r>
      <w:r w:rsidR="00BF0EF2">
        <w:rPr>
          <w:rFonts w:ascii="Palatino Linotype" w:hAnsi="Palatino Linotype"/>
        </w:rPr>
        <w:t>;</w:t>
      </w:r>
      <w:r w:rsidR="00C934C6">
        <w:rPr>
          <w:rFonts w:ascii="Palatino Linotype" w:hAnsi="Palatino Linotype"/>
        </w:rPr>
        <w:t xml:space="preserve"> </w:t>
      </w:r>
      <w:r w:rsidR="00BF0EF2">
        <w:rPr>
          <w:rFonts w:ascii="Palatino Linotype" w:hAnsi="Palatino Linotype"/>
        </w:rPr>
        <w:t>h</w:t>
      </w:r>
      <w:r w:rsidR="00C934C6">
        <w:rPr>
          <w:rFonts w:ascii="Palatino Linotype" w:hAnsi="Palatino Linotype"/>
        </w:rPr>
        <w:t>owever, Columbia does have several co</w:t>
      </w:r>
      <w:r w:rsidR="00C934C6">
        <w:rPr>
          <w:rFonts w:ascii="Palatino Linotype" w:hAnsi="Palatino Linotype"/>
        </w:rPr>
        <w:t>n</w:t>
      </w:r>
      <w:r w:rsidR="00C934C6">
        <w:rPr>
          <w:rFonts w:ascii="Palatino Linotype" w:hAnsi="Palatino Linotype"/>
        </w:rPr>
        <w:t>cerns about Staff’s position, discussed below.</w:t>
      </w:r>
    </w:p>
    <w:p w:rsidR="003E5173" w:rsidRDefault="003E5173" w:rsidP="003E5173">
      <w:pPr>
        <w:spacing w:line="320" w:lineRule="exact"/>
        <w:jc w:val="both"/>
        <w:rPr>
          <w:rFonts w:ascii="Palatino Linotype" w:hAnsi="Palatino Linotype"/>
          <w:b/>
        </w:rPr>
      </w:pPr>
    </w:p>
    <w:p w:rsidR="00966CAE" w:rsidRDefault="00966CAE" w:rsidP="003E5173">
      <w:pPr>
        <w:spacing w:line="320" w:lineRule="exact"/>
        <w:jc w:val="both"/>
        <w:rPr>
          <w:rFonts w:ascii="Palatino Linotype" w:hAnsi="Palatino Linotype"/>
          <w:b/>
        </w:rPr>
      </w:pPr>
      <w:r>
        <w:rPr>
          <w:rFonts w:ascii="Palatino Linotype" w:hAnsi="Palatino Linotype"/>
          <w:b/>
        </w:rPr>
        <w:tab/>
      </w:r>
      <w:r w:rsidR="001D04AD">
        <w:rPr>
          <w:rFonts w:ascii="Palatino Linotype" w:hAnsi="Palatino Linotype"/>
          <w:b/>
        </w:rPr>
        <w:t xml:space="preserve">The </w:t>
      </w:r>
      <w:r>
        <w:rPr>
          <w:rFonts w:ascii="Palatino Linotype" w:hAnsi="Palatino Linotype"/>
          <w:b/>
        </w:rPr>
        <w:t xml:space="preserve">Impact </w:t>
      </w:r>
      <w:proofErr w:type="gramStart"/>
      <w:r w:rsidR="001D04AD">
        <w:rPr>
          <w:rFonts w:ascii="Palatino Linotype" w:hAnsi="Palatino Linotype"/>
          <w:b/>
        </w:rPr>
        <w:t>O</w:t>
      </w:r>
      <w:r>
        <w:rPr>
          <w:rFonts w:ascii="Palatino Linotype" w:hAnsi="Palatino Linotype"/>
          <w:b/>
        </w:rPr>
        <w:t>f</w:t>
      </w:r>
      <w:proofErr w:type="gramEnd"/>
      <w:r>
        <w:rPr>
          <w:rFonts w:ascii="Palatino Linotype" w:hAnsi="Palatino Linotype"/>
          <w:b/>
        </w:rPr>
        <w:t xml:space="preserve"> Incremental Revenue</w:t>
      </w:r>
      <w:r w:rsidR="001D04AD">
        <w:rPr>
          <w:rFonts w:ascii="Palatino Linotype" w:hAnsi="Palatino Linotype"/>
          <w:b/>
        </w:rPr>
        <w:t xml:space="preserve"> Must Be Properly Accounted For</w:t>
      </w:r>
    </w:p>
    <w:p w:rsidR="00966CAE" w:rsidRDefault="00966CAE" w:rsidP="003E5173">
      <w:pPr>
        <w:spacing w:line="320" w:lineRule="exact"/>
        <w:jc w:val="both"/>
        <w:rPr>
          <w:rFonts w:ascii="Palatino Linotype" w:hAnsi="Palatino Linotype"/>
          <w:b/>
        </w:rPr>
      </w:pPr>
    </w:p>
    <w:p w:rsidR="00D655B7" w:rsidRPr="00966CAE" w:rsidRDefault="00C934C6" w:rsidP="00D655B7">
      <w:pPr>
        <w:spacing w:line="320" w:lineRule="exact"/>
        <w:jc w:val="both"/>
        <w:rPr>
          <w:rFonts w:ascii="Palatino Linotype" w:hAnsi="Palatino Linotype"/>
        </w:rPr>
      </w:pPr>
      <w:r w:rsidRPr="00966CAE">
        <w:rPr>
          <w:rFonts w:ascii="Palatino Linotype" w:hAnsi="Palatino Linotype"/>
        </w:rPr>
        <w:tab/>
      </w:r>
      <w:r w:rsidR="00966CAE">
        <w:rPr>
          <w:rFonts w:ascii="Palatino Linotype" w:hAnsi="Palatino Linotype"/>
        </w:rPr>
        <w:t xml:space="preserve">The </w:t>
      </w:r>
      <w:r w:rsidR="00D655B7" w:rsidRPr="00966CAE">
        <w:rPr>
          <w:rFonts w:ascii="Palatino Linotype" w:hAnsi="Palatino Linotype"/>
        </w:rPr>
        <w:t xml:space="preserve">Staff </w:t>
      </w:r>
      <w:r w:rsidR="00966CAE">
        <w:rPr>
          <w:rFonts w:ascii="Palatino Linotype" w:hAnsi="Palatino Linotype"/>
        </w:rPr>
        <w:t>r</w:t>
      </w:r>
      <w:r w:rsidR="00D655B7" w:rsidRPr="00966CAE">
        <w:rPr>
          <w:rFonts w:ascii="Palatino Linotype" w:hAnsi="Palatino Linotype"/>
        </w:rPr>
        <w:t>ecommend</w:t>
      </w:r>
      <w:r w:rsidR="00966CAE">
        <w:rPr>
          <w:rFonts w:ascii="Palatino Linotype" w:hAnsi="Palatino Linotype"/>
        </w:rPr>
        <w:t>ed</w:t>
      </w:r>
      <w:r w:rsidR="00D655B7" w:rsidRPr="00966CAE">
        <w:rPr>
          <w:rFonts w:ascii="Palatino Linotype" w:hAnsi="Palatino Linotype"/>
        </w:rPr>
        <w:t xml:space="preserve"> </w:t>
      </w:r>
      <w:r w:rsidR="00966CAE">
        <w:rPr>
          <w:rFonts w:ascii="Palatino Linotype" w:hAnsi="Palatino Linotype"/>
        </w:rPr>
        <w:t>that t</w:t>
      </w:r>
      <w:r w:rsidR="00D655B7" w:rsidRPr="00966CAE">
        <w:rPr>
          <w:rFonts w:ascii="Palatino Linotype" w:hAnsi="Palatino Linotype"/>
        </w:rPr>
        <w:t>he total monthly deferred regulatory asset should be net of any incremental revenue.</w:t>
      </w:r>
      <w:r w:rsidR="00966CAE">
        <w:rPr>
          <w:rStyle w:val="FootnoteReference"/>
          <w:rFonts w:ascii="Palatino Linotype" w:hAnsi="Palatino Linotype"/>
        </w:rPr>
        <w:footnoteReference w:id="1"/>
      </w:r>
      <w:r w:rsidR="00D655B7" w:rsidRPr="00966CAE">
        <w:rPr>
          <w:rFonts w:ascii="Palatino Linotype" w:hAnsi="Palatino Linotype"/>
        </w:rPr>
        <w:t xml:space="preserve"> The Staff has proposed the recogn</w:t>
      </w:r>
      <w:r w:rsidR="00D655B7" w:rsidRPr="00966CAE">
        <w:rPr>
          <w:rFonts w:ascii="Palatino Linotype" w:hAnsi="Palatino Linotype"/>
        </w:rPr>
        <w:t>i</w:t>
      </w:r>
      <w:r w:rsidR="00D655B7" w:rsidRPr="00966CAE">
        <w:rPr>
          <w:rFonts w:ascii="Palatino Linotype" w:hAnsi="Palatino Linotype"/>
        </w:rPr>
        <w:t>tion of incremental revenue that results from investment made by Columbia to acquire new customers in those cases where net growth in customers is dete</w:t>
      </w:r>
      <w:r w:rsidR="00D655B7" w:rsidRPr="00966CAE">
        <w:rPr>
          <w:rFonts w:ascii="Palatino Linotype" w:hAnsi="Palatino Linotype"/>
        </w:rPr>
        <w:t>r</w:t>
      </w:r>
      <w:r w:rsidR="00D655B7" w:rsidRPr="00966CAE">
        <w:rPr>
          <w:rFonts w:ascii="Palatino Linotype" w:hAnsi="Palatino Linotype"/>
        </w:rPr>
        <w:t>mined. The Staff’s proposal further provides for the determination of the incr</w:t>
      </w:r>
      <w:r w:rsidR="00D655B7" w:rsidRPr="00966CAE">
        <w:rPr>
          <w:rFonts w:ascii="Palatino Linotype" w:hAnsi="Palatino Linotype"/>
        </w:rPr>
        <w:t>e</w:t>
      </w:r>
      <w:r w:rsidR="00D655B7" w:rsidRPr="00966CAE">
        <w:rPr>
          <w:rFonts w:ascii="Palatino Linotype" w:hAnsi="Palatino Linotype"/>
        </w:rPr>
        <w:t>mental revenue based on the “cost portion of the rate” plus “other revenues d</w:t>
      </w:r>
      <w:r w:rsidR="00D655B7" w:rsidRPr="00966CAE">
        <w:rPr>
          <w:rFonts w:ascii="Palatino Linotype" w:hAnsi="Palatino Linotype"/>
        </w:rPr>
        <w:t>i</w:t>
      </w:r>
      <w:r w:rsidR="00D655B7" w:rsidRPr="00966CAE">
        <w:rPr>
          <w:rFonts w:ascii="Palatino Linotype" w:hAnsi="Palatino Linotype"/>
        </w:rPr>
        <w:t>rectly attributable to program investment</w:t>
      </w:r>
      <w:r w:rsidR="00966CAE">
        <w:rPr>
          <w:rFonts w:ascii="Palatino Linotype" w:hAnsi="Palatino Linotype"/>
        </w:rPr>
        <w:t>.</w:t>
      </w:r>
      <w:r w:rsidR="00D655B7" w:rsidRPr="00966CAE">
        <w:rPr>
          <w:rFonts w:ascii="Palatino Linotype" w:hAnsi="Palatino Linotype"/>
        </w:rPr>
        <w:t xml:space="preserve">” Incremental revenues would only be recognized when current month customer counts exceed the baseline which is defined as customer counts included in </w:t>
      </w:r>
      <w:r w:rsidR="00966CAE">
        <w:rPr>
          <w:rFonts w:ascii="Palatino Linotype" w:hAnsi="Palatino Linotype"/>
        </w:rPr>
        <w:t xml:space="preserve">Columbia’s </w:t>
      </w:r>
      <w:r w:rsidR="00D655B7" w:rsidRPr="00966CAE">
        <w:rPr>
          <w:rFonts w:ascii="Palatino Linotype" w:hAnsi="Palatino Linotype"/>
        </w:rPr>
        <w:t>2008 rate case</w:t>
      </w:r>
      <w:r w:rsidR="00966CAE">
        <w:rPr>
          <w:rFonts w:ascii="Palatino Linotype" w:hAnsi="Palatino Linotype"/>
        </w:rPr>
        <w:t xml:space="preserve"> (Case Nos. 08-72-GA-AIR et al.)</w:t>
      </w:r>
      <w:r w:rsidR="00D655B7" w:rsidRPr="00966CAE">
        <w:rPr>
          <w:rFonts w:ascii="Palatino Linotype" w:hAnsi="Palatino Linotype"/>
        </w:rPr>
        <w:t xml:space="preserve">. There will </w:t>
      </w:r>
      <w:r w:rsidR="00E8162D">
        <w:rPr>
          <w:rFonts w:ascii="Palatino Linotype" w:hAnsi="Palatino Linotype"/>
        </w:rPr>
        <w:t xml:space="preserve">be </w:t>
      </w:r>
      <w:r w:rsidR="00D655B7" w:rsidRPr="00966CAE">
        <w:rPr>
          <w:rFonts w:ascii="Palatino Linotype" w:hAnsi="Palatino Linotype"/>
        </w:rPr>
        <w:t>no recognition of revenue losses in those cases where customer counts decrease</w:t>
      </w:r>
      <w:r w:rsidR="00966CAE">
        <w:rPr>
          <w:rFonts w:ascii="Palatino Linotype" w:hAnsi="Palatino Linotype"/>
        </w:rPr>
        <w:t>.</w:t>
      </w:r>
    </w:p>
    <w:p w:rsidR="00D655B7" w:rsidRPr="00966CAE" w:rsidRDefault="00D655B7" w:rsidP="00D655B7">
      <w:pPr>
        <w:spacing w:line="320" w:lineRule="exact"/>
        <w:jc w:val="both"/>
        <w:rPr>
          <w:rFonts w:ascii="Palatino Linotype" w:hAnsi="Palatino Linotype"/>
        </w:rPr>
      </w:pPr>
    </w:p>
    <w:p w:rsidR="00D655B7" w:rsidRPr="00297429" w:rsidRDefault="00297429" w:rsidP="00297429">
      <w:pPr>
        <w:spacing w:line="320" w:lineRule="exact"/>
        <w:ind w:firstLine="720"/>
        <w:jc w:val="both"/>
        <w:rPr>
          <w:rFonts w:ascii="Palatino Linotype" w:hAnsi="Palatino Linotype"/>
        </w:rPr>
      </w:pPr>
      <w:r>
        <w:rPr>
          <w:rFonts w:ascii="Palatino Linotype" w:hAnsi="Palatino Linotype"/>
        </w:rPr>
        <w:t xml:space="preserve">While </w:t>
      </w:r>
      <w:r w:rsidR="00D655B7" w:rsidRPr="00297429">
        <w:rPr>
          <w:rFonts w:ascii="Palatino Linotype" w:hAnsi="Palatino Linotype"/>
        </w:rPr>
        <w:t xml:space="preserve">Columbia </w:t>
      </w:r>
      <w:r>
        <w:rPr>
          <w:rFonts w:ascii="Palatino Linotype" w:hAnsi="Palatino Linotype"/>
        </w:rPr>
        <w:t>has no fundamental disagreement with Staff’s reco</w:t>
      </w:r>
      <w:r>
        <w:rPr>
          <w:rFonts w:ascii="Palatino Linotype" w:hAnsi="Palatino Linotype"/>
        </w:rPr>
        <w:t>m</w:t>
      </w:r>
      <w:r>
        <w:rPr>
          <w:rFonts w:ascii="Palatino Linotype" w:hAnsi="Palatino Linotype"/>
        </w:rPr>
        <w:t>mendation,</w:t>
      </w:r>
      <w:r w:rsidR="00D86451">
        <w:rPr>
          <w:rStyle w:val="FootnoteReference"/>
          <w:rFonts w:ascii="Palatino Linotype" w:hAnsi="Palatino Linotype"/>
        </w:rPr>
        <w:footnoteReference w:id="2"/>
      </w:r>
      <w:r>
        <w:rPr>
          <w:rFonts w:ascii="Palatino Linotype" w:hAnsi="Palatino Linotype"/>
        </w:rPr>
        <w:t xml:space="preserve"> Columbia notes that Staff’s discussion referenced the fact that C</w:t>
      </w:r>
      <w:r>
        <w:rPr>
          <w:rFonts w:ascii="Palatino Linotype" w:hAnsi="Palatino Linotype"/>
        </w:rPr>
        <w:t>o</w:t>
      </w:r>
      <w:r>
        <w:rPr>
          <w:rFonts w:ascii="Palatino Linotype" w:hAnsi="Palatino Linotype"/>
        </w:rPr>
        <w:t>lumbia’s “rates established in the 2008 Rate Case are a straight fixed variable d</w:t>
      </w:r>
      <w:r>
        <w:rPr>
          <w:rFonts w:ascii="Palatino Linotype" w:hAnsi="Palatino Linotype"/>
        </w:rPr>
        <w:t>e</w:t>
      </w:r>
      <w:r>
        <w:rPr>
          <w:rFonts w:ascii="Palatino Linotype" w:hAnsi="Palatino Linotype"/>
        </w:rPr>
        <w:t>sign.”</w:t>
      </w:r>
      <w:r>
        <w:rPr>
          <w:rStyle w:val="FootnoteReference"/>
          <w:rFonts w:ascii="Palatino Linotype" w:hAnsi="Palatino Linotype"/>
        </w:rPr>
        <w:footnoteReference w:id="3"/>
      </w:r>
      <w:r>
        <w:rPr>
          <w:rFonts w:ascii="Palatino Linotype" w:hAnsi="Palatino Linotype"/>
        </w:rPr>
        <w:t xml:space="preserve"> </w:t>
      </w:r>
      <w:r w:rsidR="000C7202">
        <w:rPr>
          <w:rFonts w:ascii="Palatino Linotype" w:hAnsi="Palatino Linotype"/>
        </w:rPr>
        <w:t>While this is true for Columbia’s Small General Service customers, it is not the case for Columbia’s larger customers. Staff’s formula for the calculation of incremental revenues includes the “cost portion of rate.”</w:t>
      </w:r>
      <w:r w:rsidR="000C7202">
        <w:rPr>
          <w:rStyle w:val="FootnoteReference"/>
          <w:rFonts w:ascii="Palatino Linotype" w:hAnsi="Palatino Linotype"/>
        </w:rPr>
        <w:footnoteReference w:id="4"/>
      </w:r>
      <w:r w:rsidR="000C7202">
        <w:rPr>
          <w:rFonts w:ascii="Palatino Linotype" w:hAnsi="Palatino Linotype"/>
        </w:rPr>
        <w:t xml:space="preserve"> Columbia suggests that for those customers whose rates are not based upon a straight fixed variable rate design</w:t>
      </w:r>
      <w:r w:rsidR="00E8162D">
        <w:rPr>
          <w:rFonts w:ascii="Palatino Linotype" w:hAnsi="Palatino Linotype"/>
        </w:rPr>
        <w:t>,</w:t>
      </w:r>
      <w:r w:rsidR="000C7202">
        <w:rPr>
          <w:rFonts w:ascii="Palatino Linotype" w:hAnsi="Palatino Linotype"/>
        </w:rPr>
        <w:t xml:space="preserve"> the appropriate “cost portion of the rate” is the Customer Charge co</w:t>
      </w:r>
      <w:r w:rsidR="000C7202">
        <w:rPr>
          <w:rFonts w:ascii="Palatino Linotype" w:hAnsi="Palatino Linotype"/>
        </w:rPr>
        <w:t>m</w:t>
      </w:r>
      <w:r w:rsidR="000C7202">
        <w:rPr>
          <w:rFonts w:ascii="Palatino Linotype" w:hAnsi="Palatino Linotype"/>
        </w:rPr>
        <w:t>ponent of the applicable rate, including the equity component.</w:t>
      </w:r>
    </w:p>
    <w:p w:rsidR="00D655B7" w:rsidRDefault="00D655B7" w:rsidP="00D655B7">
      <w:pPr>
        <w:spacing w:line="320" w:lineRule="exact"/>
        <w:jc w:val="both"/>
        <w:rPr>
          <w:rFonts w:ascii="Palatino Linotype" w:hAnsi="Palatino Linotype"/>
          <w:b/>
        </w:rPr>
      </w:pPr>
    </w:p>
    <w:p w:rsidR="00E8162D" w:rsidRPr="00E8162D" w:rsidRDefault="00E8162D" w:rsidP="00E8162D">
      <w:pPr>
        <w:spacing w:line="320" w:lineRule="exact"/>
        <w:ind w:firstLine="720"/>
        <w:jc w:val="both"/>
        <w:rPr>
          <w:rFonts w:ascii="Palatino Linotype" w:hAnsi="Palatino Linotype"/>
        </w:rPr>
      </w:pPr>
      <w:r w:rsidRPr="00E8162D">
        <w:rPr>
          <w:rFonts w:ascii="Palatino Linotype" w:hAnsi="Palatino Linotype"/>
        </w:rPr>
        <w:lastRenderedPageBreak/>
        <w:t>Columbia further recommend</w:t>
      </w:r>
      <w:r>
        <w:rPr>
          <w:rFonts w:ascii="Palatino Linotype" w:hAnsi="Palatino Linotype"/>
        </w:rPr>
        <w:t xml:space="preserve">s that </w:t>
      </w:r>
      <w:r w:rsidRPr="00E8162D">
        <w:rPr>
          <w:rFonts w:ascii="Palatino Linotype" w:hAnsi="Palatino Linotype"/>
        </w:rPr>
        <w:t xml:space="preserve"> the determination of the revenue of</w:t>
      </w:r>
      <w:r w:rsidRPr="00E8162D">
        <w:rPr>
          <w:rFonts w:ascii="Palatino Linotype" w:hAnsi="Palatino Linotype"/>
        </w:rPr>
        <w:t>f</w:t>
      </w:r>
      <w:r w:rsidRPr="00E8162D">
        <w:rPr>
          <w:rFonts w:ascii="Palatino Linotype" w:hAnsi="Palatino Linotype"/>
        </w:rPr>
        <w:t>set be made through a comparison of actual bills rendered each year with those le</w:t>
      </w:r>
      <w:r w:rsidRPr="00E8162D">
        <w:rPr>
          <w:rFonts w:ascii="Palatino Linotype" w:hAnsi="Palatino Linotype"/>
        </w:rPr>
        <w:t>v</w:t>
      </w:r>
      <w:r w:rsidRPr="00E8162D">
        <w:rPr>
          <w:rFonts w:ascii="Palatino Linotype" w:hAnsi="Palatino Linotype"/>
        </w:rPr>
        <w:t xml:space="preserve">els upon which rates were established in Case No. 08-0072-GA-AIR, et al. This treatment would result in the true measure of growth </w:t>
      </w:r>
      <w:r>
        <w:rPr>
          <w:rFonts w:ascii="Palatino Linotype" w:hAnsi="Palatino Linotype"/>
        </w:rPr>
        <w:t xml:space="preserve">because </w:t>
      </w:r>
      <w:r w:rsidRPr="00E8162D">
        <w:rPr>
          <w:rFonts w:ascii="Palatino Linotype" w:hAnsi="Palatino Linotype"/>
        </w:rPr>
        <w:t>it would match the method and basis upon which rates were established</w:t>
      </w:r>
      <w:r>
        <w:rPr>
          <w:rFonts w:ascii="Palatino Linotype" w:hAnsi="Palatino Linotype"/>
        </w:rPr>
        <w:t>,</w:t>
      </w:r>
      <w:r w:rsidRPr="00E8162D">
        <w:rPr>
          <w:rFonts w:ascii="Palatino Linotype" w:hAnsi="Palatino Linotype"/>
        </w:rPr>
        <w:t xml:space="preserve"> provide for the removal of any seasonal impacts that could result in the over or under statement of the re</w:t>
      </w:r>
      <w:r w:rsidRPr="00E8162D">
        <w:rPr>
          <w:rFonts w:ascii="Palatino Linotype" w:hAnsi="Palatino Linotype"/>
        </w:rPr>
        <w:t>v</w:t>
      </w:r>
      <w:r w:rsidRPr="00E8162D">
        <w:rPr>
          <w:rFonts w:ascii="Palatino Linotype" w:hAnsi="Palatino Linotype"/>
        </w:rPr>
        <w:t>enue offset</w:t>
      </w:r>
      <w:r>
        <w:rPr>
          <w:rFonts w:ascii="Palatino Linotype" w:hAnsi="Palatino Linotype"/>
        </w:rPr>
        <w:t>,</w:t>
      </w:r>
      <w:r w:rsidRPr="00E8162D">
        <w:rPr>
          <w:rFonts w:ascii="Palatino Linotype" w:hAnsi="Palatino Linotype"/>
        </w:rPr>
        <w:t xml:space="preserve"> and result in the use of a method similar to that used for determin</w:t>
      </w:r>
      <w:r w:rsidRPr="00E8162D">
        <w:rPr>
          <w:rFonts w:ascii="Palatino Linotype" w:hAnsi="Palatino Linotype"/>
        </w:rPr>
        <w:t>a</w:t>
      </w:r>
      <w:r w:rsidRPr="00E8162D">
        <w:rPr>
          <w:rFonts w:ascii="Palatino Linotype" w:hAnsi="Palatino Linotype"/>
        </w:rPr>
        <w:t>tion of operation and maintenance expense savings</w:t>
      </w:r>
      <w:r>
        <w:rPr>
          <w:rFonts w:ascii="Palatino Linotype" w:hAnsi="Palatino Linotype"/>
        </w:rPr>
        <w:t xml:space="preserve"> in Columbia’s I</w:t>
      </w:r>
      <w:r w:rsidRPr="00E8162D">
        <w:rPr>
          <w:rFonts w:ascii="Palatino Linotype" w:hAnsi="Palatino Linotype"/>
        </w:rPr>
        <w:t>RP cases.</w:t>
      </w:r>
    </w:p>
    <w:p w:rsidR="00E8162D" w:rsidRDefault="00E8162D" w:rsidP="00D655B7">
      <w:pPr>
        <w:spacing w:line="320" w:lineRule="exact"/>
        <w:jc w:val="both"/>
        <w:rPr>
          <w:rFonts w:ascii="Palatino Linotype" w:hAnsi="Palatino Linotype"/>
          <w:b/>
        </w:rPr>
      </w:pPr>
    </w:p>
    <w:p w:rsidR="00BF0EF2" w:rsidRPr="00BF0EF2" w:rsidRDefault="00BF0EF2" w:rsidP="003D7B58">
      <w:pPr>
        <w:keepNext/>
        <w:keepLines/>
        <w:spacing w:line="320" w:lineRule="exact"/>
        <w:ind w:left="720"/>
        <w:jc w:val="both"/>
        <w:rPr>
          <w:rFonts w:ascii="Palatino Linotype" w:hAnsi="Palatino Linotype"/>
          <w:b/>
        </w:rPr>
      </w:pPr>
      <w:r w:rsidRPr="00BF0EF2">
        <w:rPr>
          <w:rFonts w:ascii="Palatino Linotype" w:hAnsi="Palatino Linotype"/>
          <w:b/>
        </w:rPr>
        <w:t xml:space="preserve">Monthly Deferred PISCC Should Not Be Net </w:t>
      </w:r>
      <w:proofErr w:type="gramStart"/>
      <w:r w:rsidRPr="00BF0EF2">
        <w:rPr>
          <w:rFonts w:ascii="Palatino Linotype" w:hAnsi="Palatino Linotype"/>
          <w:b/>
        </w:rPr>
        <w:t>Of</w:t>
      </w:r>
      <w:proofErr w:type="gramEnd"/>
      <w:r w:rsidRPr="00BF0EF2">
        <w:rPr>
          <w:rFonts w:ascii="Palatino Linotype" w:hAnsi="Palatino Linotype"/>
          <w:b/>
        </w:rPr>
        <w:t xml:space="preserve"> Accumulated Deprec</w:t>
      </w:r>
      <w:r w:rsidRPr="00BF0EF2">
        <w:rPr>
          <w:rFonts w:ascii="Palatino Linotype" w:hAnsi="Palatino Linotype"/>
          <w:b/>
        </w:rPr>
        <w:t>i</w:t>
      </w:r>
      <w:r w:rsidRPr="00BF0EF2">
        <w:rPr>
          <w:rFonts w:ascii="Palatino Linotype" w:hAnsi="Palatino Linotype"/>
          <w:b/>
        </w:rPr>
        <w:t>ation</w:t>
      </w:r>
    </w:p>
    <w:p w:rsidR="00BF0EF2" w:rsidRDefault="00BF0EF2" w:rsidP="003D7B58">
      <w:pPr>
        <w:keepNext/>
        <w:keepLines/>
        <w:spacing w:line="320" w:lineRule="exact"/>
        <w:jc w:val="both"/>
        <w:rPr>
          <w:rFonts w:ascii="Palatino Linotype" w:hAnsi="Palatino Linotype"/>
          <w:b/>
        </w:rPr>
      </w:pPr>
    </w:p>
    <w:p w:rsidR="00D655B7" w:rsidRDefault="00D655B7" w:rsidP="00713BD3">
      <w:pPr>
        <w:keepNext/>
        <w:keepLines/>
        <w:spacing w:line="320" w:lineRule="exact"/>
        <w:ind w:firstLine="720"/>
        <w:jc w:val="both"/>
        <w:rPr>
          <w:rFonts w:ascii="Palatino Linotype" w:hAnsi="Palatino Linotype"/>
        </w:rPr>
      </w:pPr>
      <w:r w:rsidRPr="00BF0EF2">
        <w:rPr>
          <w:rFonts w:ascii="Palatino Linotype" w:hAnsi="Palatino Linotype"/>
        </w:rPr>
        <w:t xml:space="preserve">Staff </w:t>
      </w:r>
      <w:r w:rsidR="00BF0EF2">
        <w:rPr>
          <w:rFonts w:ascii="Palatino Linotype" w:hAnsi="Palatino Linotype"/>
        </w:rPr>
        <w:t>r</w:t>
      </w:r>
      <w:r w:rsidRPr="00BF0EF2">
        <w:rPr>
          <w:rFonts w:ascii="Palatino Linotype" w:hAnsi="Palatino Linotype"/>
        </w:rPr>
        <w:t>ecommend</w:t>
      </w:r>
      <w:r w:rsidR="00BF0EF2">
        <w:rPr>
          <w:rFonts w:ascii="Palatino Linotype" w:hAnsi="Palatino Linotype"/>
        </w:rPr>
        <w:t>s</w:t>
      </w:r>
      <w:r w:rsidR="005A039A">
        <w:rPr>
          <w:rFonts w:ascii="Palatino Linotype" w:hAnsi="Palatino Linotype"/>
        </w:rPr>
        <w:t xml:space="preserve"> that</w:t>
      </w:r>
      <w:r w:rsidRPr="00BF0EF2">
        <w:rPr>
          <w:rFonts w:ascii="Palatino Linotype" w:hAnsi="Palatino Linotype"/>
        </w:rPr>
        <w:t xml:space="preserve"> </w:t>
      </w:r>
      <w:r w:rsidR="005A039A">
        <w:rPr>
          <w:rFonts w:ascii="Palatino Linotype" w:hAnsi="Palatino Linotype"/>
        </w:rPr>
        <w:t>t</w:t>
      </w:r>
      <w:r w:rsidRPr="00BF0EF2">
        <w:rPr>
          <w:rFonts w:ascii="Palatino Linotype" w:hAnsi="Palatino Linotype"/>
        </w:rPr>
        <w:t xml:space="preserve">he monthly </w:t>
      </w:r>
      <w:r w:rsidR="00842A86">
        <w:rPr>
          <w:rFonts w:ascii="Palatino Linotype" w:hAnsi="Palatino Linotype"/>
        </w:rPr>
        <w:t>Post-In-Service Carrying Charges (“</w:t>
      </w:r>
      <w:r w:rsidRPr="00BF0EF2">
        <w:rPr>
          <w:rFonts w:ascii="Palatino Linotype" w:hAnsi="Palatino Linotype"/>
        </w:rPr>
        <w:t>PISCC</w:t>
      </w:r>
      <w:r w:rsidR="00842A86">
        <w:rPr>
          <w:rFonts w:ascii="Palatino Linotype" w:hAnsi="Palatino Linotype"/>
        </w:rPr>
        <w:t>”)</w:t>
      </w:r>
      <w:r w:rsidRPr="00BF0EF2">
        <w:rPr>
          <w:rFonts w:ascii="Palatino Linotype" w:hAnsi="Palatino Linotype"/>
        </w:rPr>
        <w:t xml:space="preserve"> (carrying costs deferral) </w:t>
      </w:r>
      <w:r w:rsidR="00380032">
        <w:rPr>
          <w:rFonts w:ascii="Palatino Linotype" w:hAnsi="Palatino Linotype"/>
        </w:rPr>
        <w:t xml:space="preserve">on the Plant Additions balance </w:t>
      </w:r>
      <w:r w:rsidRPr="00BF0EF2">
        <w:rPr>
          <w:rFonts w:ascii="Palatino Linotype" w:hAnsi="Palatino Linotype"/>
        </w:rPr>
        <w:t>should be ca</w:t>
      </w:r>
      <w:r w:rsidRPr="00BF0EF2">
        <w:rPr>
          <w:rFonts w:ascii="Palatino Linotype" w:hAnsi="Palatino Linotype"/>
        </w:rPr>
        <w:t>l</w:t>
      </w:r>
      <w:r w:rsidRPr="00BF0EF2">
        <w:rPr>
          <w:rFonts w:ascii="Palatino Linotype" w:hAnsi="Palatino Linotype"/>
        </w:rPr>
        <w:t>culated net of accumulated depreciation.</w:t>
      </w:r>
      <w:r w:rsidR="005A039A">
        <w:rPr>
          <w:rStyle w:val="FootnoteReference"/>
          <w:rFonts w:ascii="Palatino Linotype" w:hAnsi="Palatino Linotype"/>
        </w:rPr>
        <w:footnoteReference w:id="5"/>
      </w:r>
      <w:r w:rsidRPr="00BF0EF2">
        <w:rPr>
          <w:rFonts w:ascii="Palatino Linotype" w:hAnsi="Palatino Linotype"/>
        </w:rPr>
        <w:t xml:space="preserve"> The Staff’s proposal is premised on the position that carrying costs should not be collected (deferred) on an expense (particularly on an expense deferred for future recovery). The Staff states that traditionally the Commission has only allowed PISCC recovery on plant items and does not provide for recovery on expense items</w:t>
      </w:r>
      <w:r w:rsidR="00434EDE">
        <w:rPr>
          <w:rFonts w:ascii="Palatino Linotype" w:hAnsi="Palatino Linotype"/>
        </w:rPr>
        <w:t>.</w:t>
      </w:r>
    </w:p>
    <w:p w:rsidR="00434EDE" w:rsidRPr="00BF0EF2" w:rsidRDefault="00434EDE" w:rsidP="00BF0EF2">
      <w:pPr>
        <w:spacing w:line="320" w:lineRule="exact"/>
        <w:ind w:firstLine="720"/>
        <w:jc w:val="both"/>
        <w:rPr>
          <w:rFonts w:ascii="Palatino Linotype" w:hAnsi="Palatino Linotype"/>
        </w:rPr>
      </w:pPr>
    </w:p>
    <w:p w:rsidR="00B56199" w:rsidRDefault="00D655B7" w:rsidP="00434EDE">
      <w:pPr>
        <w:spacing w:line="320" w:lineRule="exact"/>
        <w:ind w:firstLine="720"/>
        <w:jc w:val="both"/>
        <w:rPr>
          <w:rFonts w:ascii="Palatino Linotype" w:hAnsi="Palatino Linotype"/>
        </w:rPr>
      </w:pPr>
      <w:r w:rsidRPr="00BF0EF2">
        <w:rPr>
          <w:rFonts w:ascii="Palatino Linotype" w:hAnsi="Palatino Linotype"/>
        </w:rPr>
        <w:t xml:space="preserve">Columbia </w:t>
      </w:r>
      <w:r w:rsidR="00434EDE">
        <w:rPr>
          <w:rFonts w:ascii="Palatino Linotype" w:hAnsi="Palatino Linotype"/>
        </w:rPr>
        <w:t>respectfully disagrees with Staff.</w:t>
      </w:r>
      <w:r w:rsidRPr="00BF0EF2">
        <w:rPr>
          <w:rFonts w:ascii="Palatino Linotype" w:hAnsi="Palatino Linotype"/>
        </w:rPr>
        <w:t xml:space="preserve"> </w:t>
      </w:r>
      <w:r w:rsidR="00434EDE">
        <w:rPr>
          <w:rFonts w:ascii="Palatino Linotype" w:hAnsi="Palatino Linotype"/>
        </w:rPr>
        <w:t xml:space="preserve">PISCC recovery in Columbia’s annual IRP filings is not net of accumulated depreciation, nor should it be </w:t>
      </w:r>
      <w:r w:rsidR="00380032">
        <w:rPr>
          <w:rFonts w:ascii="Palatino Linotype" w:hAnsi="Palatino Linotype"/>
        </w:rPr>
        <w:t>b</w:t>
      </w:r>
      <w:r w:rsidR="00380032">
        <w:rPr>
          <w:rFonts w:ascii="Palatino Linotype" w:hAnsi="Palatino Linotype"/>
        </w:rPr>
        <w:t>e</w:t>
      </w:r>
      <w:r w:rsidR="00380032">
        <w:rPr>
          <w:rFonts w:ascii="Palatino Linotype" w:hAnsi="Palatino Linotype"/>
        </w:rPr>
        <w:t xml:space="preserve">cause </w:t>
      </w:r>
      <w:r w:rsidRPr="00BF0EF2">
        <w:rPr>
          <w:rFonts w:ascii="Palatino Linotype" w:hAnsi="Palatino Linotype"/>
        </w:rPr>
        <w:t xml:space="preserve">no recovery of the investment has commenced. </w:t>
      </w:r>
      <w:r w:rsidR="00B56199" w:rsidRPr="00B56199">
        <w:rPr>
          <w:rFonts w:ascii="Palatino Linotype" w:hAnsi="Palatino Linotype"/>
        </w:rPr>
        <w:t>The deferral of depreci</w:t>
      </w:r>
      <w:r w:rsidR="00B56199" w:rsidRPr="00B56199">
        <w:rPr>
          <w:rFonts w:ascii="Palatino Linotype" w:hAnsi="Palatino Linotype"/>
        </w:rPr>
        <w:t>a</w:t>
      </w:r>
      <w:r w:rsidR="00B56199" w:rsidRPr="00B56199">
        <w:rPr>
          <w:rFonts w:ascii="Palatino Linotype" w:hAnsi="Palatino Linotype"/>
        </w:rPr>
        <w:t xml:space="preserve">tion is intended to mitigate the impact on earnings with recovery to be made over the life of the asset. The Staff’s recommendation </w:t>
      </w:r>
      <w:r w:rsidR="00D3508D">
        <w:rPr>
          <w:rFonts w:ascii="Palatino Linotype" w:hAnsi="Palatino Linotype"/>
        </w:rPr>
        <w:t xml:space="preserve">lacks logic </w:t>
      </w:r>
      <w:r w:rsidR="00B56199" w:rsidRPr="00B56199">
        <w:rPr>
          <w:rFonts w:ascii="Palatino Linotype" w:hAnsi="Palatino Linotype"/>
        </w:rPr>
        <w:t>because the d</w:t>
      </w:r>
      <w:r w:rsidR="00B56199" w:rsidRPr="00B56199">
        <w:rPr>
          <w:rFonts w:ascii="Palatino Linotype" w:hAnsi="Palatino Linotype"/>
        </w:rPr>
        <w:t>e</w:t>
      </w:r>
      <w:r w:rsidR="00B56199" w:rsidRPr="00B56199">
        <w:rPr>
          <w:rFonts w:ascii="Palatino Linotype" w:hAnsi="Palatino Linotype"/>
        </w:rPr>
        <w:t>ferral of d</w:t>
      </w:r>
      <w:r w:rsidR="00B56199" w:rsidRPr="00B56199">
        <w:rPr>
          <w:rFonts w:ascii="Palatino Linotype" w:hAnsi="Palatino Linotype"/>
        </w:rPr>
        <w:t>e</w:t>
      </w:r>
      <w:r w:rsidR="00B56199" w:rsidRPr="00B56199">
        <w:rPr>
          <w:rFonts w:ascii="Palatino Linotype" w:hAnsi="Palatino Linotype"/>
        </w:rPr>
        <w:t>preciation has no impact on cash (re</w:t>
      </w:r>
      <w:r w:rsidR="00B56199">
        <w:rPr>
          <w:rFonts w:ascii="Palatino Linotype" w:hAnsi="Palatino Linotype"/>
        </w:rPr>
        <w:t>covery of the asset).</w:t>
      </w:r>
    </w:p>
    <w:p w:rsidR="00842A86" w:rsidRDefault="00842A86" w:rsidP="00434EDE">
      <w:pPr>
        <w:spacing w:line="320" w:lineRule="exact"/>
        <w:ind w:firstLine="720"/>
        <w:jc w:val="both"/>
        <w:rPr>
          <w:rFonts w:ascii="Palatino Linotype" w:hAnsi="Palatino Linotype"/>
        </w:rPr>
      </w:pPr>
    </w:p>
    <w:p w:rsidR="00842A86" w:rsidRDefault="00842A86" w:rsidP="00434EDE">
      <w:pPr>
        <w:spacing w:line="320" w:lineRule="exact"/>
        <w:ind w:firstLine="720"/>
        <w:jc w:val="both"/>
        <w:rPr>
          <w:rFonts w:ascii="Palatino Linotype" w:hAnsi="Palatino Linotype"/>
        </w:rPr>
      </w:pPr>
      <w:r>
        <w:rPr>
          <w:rFonts w:ascii="Palatino Linotype" w:hAnsi="Palatino Linotype"/>
        </w:rPr>
        <w:t>Even if Staff was correct in its assertion that the Commission has only a</w:t>
      </w:r>
      <w:r>
        <w:rPr>
          <w:rFonts w:ascii="Palatino Linotype" w:hAnsi="Palatino Linotype"/>
        </w:rPr>
        <w:t>l</w:t>
      </w:r>
      <w:r>
        <w:rPr>
          <w:rFonts w:ascii="Palatino Linotype" w:hAnsi="Palatino Linotype"/>
        </w:rPr>
        <w:t>lowed PISCC recovery on plant items, and not on expense items, the enactment of Rev. Code § 4929.111 now explicitly provides for  PISCC recovery for both plant items and expense items. The relevant portion of the statute states:</w:t>
      </w:r>
    </w:p>
    <w:p w:rsidR="00842A86" w:rsidRDefault="00842A86" w:rsidP="00434EDE">
      <w:pPr>
        <w:spacing w:line="320" w:lineRule="exact"/>
        <w:ind w:firstLine="720"/>
        <w:jc w:val="both"/>
        <w:rPr>
          <w:rFonts w:ascii="Palatino Linotype" w:hAnsi="Palatino Linotype"/>
        </w:rPr>
      </w:pPr>
    </w:p>
    <w:p w:rsidR="00842A86" w:rsidRPr="00842A86" w:rsidRDefault="00842A86" w:rsidP="00842A86">
      <w:pPr>
        <w:spacing w:line="320" w:lineRule="exact"/>
        <w:ind w:left="1440" w:right="720"/>
        <w:jc w:val="both"/>
        <w:rPr>
          <w:rFonts w:ascii="Palatino Linotype" w:hAnsi="Palatino Linotype"/>
        </w:rPr>
      </w:pPr>
      <w:r w:rsidRPr="00842A86">
        <w:rPr>
          <w:rFonts w:ascii="Palatino Linotype" w:hAnsi="Palatino Linotype"/>
        </w:rPr>
        <w:t xml:space="preserve">(D) In approving an application under division (C) of this section, the commission </w:t>
      </w:r>
      <w:r w:rsidRPr="00842A86">
        <w:rPr>
          <w:rFonts w:ascii="Palatino Linotype" w:hAnsi="Palatino Linotype"/>
          <w:i/>
        </w:rPr>
        <w:t>shall</w:t>
      </w:r>
      <w:r w:rsidRPr="00842A86">
        <w:rPr>
          <w:rFonts w:ascii="Palatino Linotype" w:hAnsi="Palatino Linotype"/>
        </w:rPr>
        <w:t xml:space="preserve"> authorize the natural gas co</w:t>
      </w:r>
      <w:r w:rsidRPr="00842A86">
        <w:rPr>
          <w:rFonts w:ascii="Palatino Linotype" w:hAnsi="Palatino Linotype"/>
        </w:rPr>
        <w:t>m</w:t>
      </w:r>
      <w:r w:rsidRPr="00842A86">
        <w:rPr>
          <w:rFonts w:ascii="Palatino Linotype" w:hAnsi="Palatino Linotype"/>
        </w:rPr>
        <w:t>pany to defer or recover in an application that the natural gas company may file under section 4909.18, 4929.05, or 4929.11 of the Revised Code, both of the following:</w:t>
      </w:r>
    </w:p>
    <w:p w:rsidR="00842A86" w:rsidRPr="00842A86" w:rsidRDefault="00842A86" w:rsidP="00842A86">
      <w:pPr>
        <w:spacing w:line="320" w:lineRule="exact"/>
        <w:ind w:left="1620" w:right="720"/>
        <w:jc w:val="both"/>
        <w:rPr>
          <w:rFonts w:ascii="Palatino Linotype" w:hAnsi="Palatino Linotype"/>
        </w:rPr>
      </w:pPr>
      <w:r w:rsidRPr="00842A86">
        <w:rPr>
          <w:rFonts w:ascii="Palatino Linotype" w:hAnsi="Palatino Linotype"/>
        </w:rPr>
        <w:lastRenderedPageBreak/>
        <w:t>(1) A regulatory asset for the post-in-service carrying costs on that portion of the assets of the capital expenditure pr</w:t>
      </w:r>
      <w:r w:rsidRPr="00842A86">
        <w:rPr>
          <w:rFonts w:ascii="Palatino Linotype" w:hAnsi="Palatino Linotype"/>
        </w:rPr>
        <w:t>o</w:t>
      </w:r>
      <w:r w:rsidRPr="00842A86">
        <w:rPr>
          <w:rFonts w:ascii="Palatino Linotype" w:hAnsi="Palatino Linotype"/>
        </w:rPr>
        <w:t>gram that are placed in service but not reflected in rates as plant in service;</w:t>
      </w:r>
    </w:p>
    <w:p w:rsidR="00842A86" w:rsidRPr="00842A86" w:rsidRDefault="00842A86" w:rsidP="00842A86">
      <w:pPr>
        <w:spacing w:line="320" w:lineRule="exact"/>
        <w:ind w:left="1620" w:right="720"/>
        <w:jc w:val="both"/>
        <w:rPr>
          <w:rFonts w:ascii="Palatino Linotype" w:hAnsi="Palatino Linotype"/>
        </w:rPr>
      </w:pPr>
      <w:r w:rsidRPr="00842A86">
        <w:rPr>
          <w:rFonts w:ascii="Palatino Linotype" w:hAnsi="Palatino Linotype"/>
        </w:rPr>
        <w:t xml:space="preserve">(2) </w:t>
      </w:r>
      <w:r w:rsidRPr="00842A86">
        <w:rPr>
          <w:rFonts w:ascii="Palatino Linotype" w:hAnsi="Palatino Linotype"/>
          <w:i/>
        </w:rPr>
        <w:t>A regulatory asset for the incremental depreciation directly attributable to the capital expenditure program and the property tax expense directly attributable to the capital expenditure pr</w:t>
      </w:r>
      <w:r w:rsidRPr="00842A86">
        <w:rPr>
          <w:rFonts w:ascii="Palatino Linotype" w:hAnsi="Palatino Linotype"/>
          <w:i/>
        </w:rPr>
        <w:t>o</w:t>
      </w:r>
      <w:r w:rsidRPr="00842A86">
        <w:rPr>
          <w:rFonts w:ascii="Palatino Linotype" w:hAnsi="Palatino Linotype"/>
          <w:i/>
        </w:rPr>
        <w:t>gram.</w:t>
      </w:r>
      <w:r>
        <w:rPr>
          <w:rStyle w:val="FootnoteReference"/>
          <w:rFonts w:ascii="Palatino Linotype" w:hAnsi="Palatino Linotype"/>
          <w:i/>
        </w:rPr>
        <w:footnoteReference w:id="6"/>
      </w:r>
    </w:p>
    <w:p w:rsidR="00B56199" w:rsidRDefault="00B56199" w:rsidP="00434EDE">
      <w:pPr>
        <w:spacing w:line="320" w:lineRule="exact"/>
        <w:ind w:firstLine="720"/>
        <w:jc w:val="both"/>
        <w:rPr>
          <w:rFonts w:ascii="Palatino Linotype" w:hAnsi="Palatino Linotype"/>
        </w:rPr>
      </w:pPr>
    </w:p>
    <w:p w:rsidR="00CC1BEC" w:rsidRDefault="00B96C6F" w:rsidP="00434EDE">
      <w:pPr>
        <w:spacing w:line="320" w:lineRule="exact"/>
        <w:ind w:firstLine="720"/>
        <w:jc w:val="both"/>
        <w:rPr>
          <w:rFonts w:ascii="Palatino Linotype" w:hAnsi="Palatino Linotype"/>
        </w:rPr>
      </w:pPr>
      <w:r>
        <w:rPr>
          <w:rFonts w:ascii="Palatino Linotype" w:hAnsi="Palatino Linotype"/>
        </w:rPr>
        <w:t xml:space="preserve">Staff’s recommendation on this point is inconsistent with </w:t>
      </w:r>
      <w:r w:rsidR="00E30F1F">
        <w:rPr>
          <w:rFonts w:ascii="Palatino Linotype" w:hAnsi="Palatino Linotype"/>
        </w:rPr>
        <w:t xml:space="preserve">Rev Code § 4929.111 and with </w:t>
      </w:r>
      <w:r>
        <w:rPr>
          <w:rFonts w:ascii="Palatino Linotype" w:hAnsi="Palatino Linotype"/>
        </w:rPr>
        <w:t xml:space="preserve">Columbia’s </w:t>
      </w:r>
      <w:r w:rsidR="00CC1BEC">
        <w:rPr>
          <w:rFonts w:ascii="Palatino Linotype" w:hAnsi="Palatino Linotype"/>
        </w:rPr>
        <w:t>IRP cases</w:t>
      </w:r>
      <w:r w:rsidR="00E30F1F">
        <w:rPr>
          <w:rFonts w:ascii="Palatino Linotype" w:hAnsi="Palatino Linotype"/>
        </w:rPr>
        <w:t>,</w:t>
      </w:r>
      <w:r w:rsidR="00CC1BEC">
        <w:rPr>
          <w:rFonts w:ascii="Palatino Linotype" w:hAnsi="Palatino Linotype"/>
        </w:rPr>
        <w:t xml:space="preserve"> and </w:t>
      </w:r>
      <w:r>
        <w:rPr>
          <w:rFonts w:ascii="Palatino Linotype" w:hAnsi="Palatino Linotype"/>
        </w:rPr>
        <w:t xml:space="preserve">should </w:t>
      </w:r>
      <w:r w:rsidR="00CC1BEC">
        <w:rPr>
          <w:rFonts w:ascii="Palatino Linotype" w:hAnsi="Palatino Linotype"/>
        </w:rPr>
        <w:t xml:space="preserve">therefore </w:t>
      </w:r>
      <w:r>
        <w:rPr>
          <w:rFonts w:ascii="Palatino Linotype" w:hAnsi="Palatino Linotype"/>
        </w:rPr>
        <w:t>be rejected.</w:t>
      </w:r>
    </w:p>
    <w:p w:rsidR="00D655B7" w:rsidRPr="00BF0EF2" w:rsidRDefault="00D655B7" w:rsidP="00434EDE">
      <w:pPr>
        <w:spacing w:line="320" w:lineRule="exact"/>
        <w:ind w:firstLine="720"/>
        <w:jc w:val="both"/>
        <w:rPr>
          <w:rFonts w:ascii="Palatino Linotype" w:hAnsi="Palatino Linotype"/>
        </w:rPr>
      </w:pPr>
    </w:p>
    <w:p w:rsidR="00D655B7" w:rsidRPr="00D655B7" w:rsidRDefault="0090352D" w:rsidP="00D655B7">
      <w:pPr>
        <w:spacing w:line="320" w:lineRule="exact"/>
        <w:jc w:val="both"/>
        <w:rPr>
          <w:rFonts w:ascii="Palatino Linotype" w:hAnsi="Palatino Linotype"/>
          <w:b/>
        </w:rPr>
      </w:pPr>
      <w:r>
        <w:rPr>
          <w:rFonts w:ascii="Palatino Linotype" w:hAnsi="Palatino Linotype"/>
          <w:b/>
        </w:rPr>
        <w:tab/>
        <w:t xml:space="preserve">Staff’s Property Tax Expense Formula Needs </w:t>
      </w:r>
      <w:proofErr w:type="gramStart"/>
      <w:r>
        <w:rPr>
          <w:rFonts w:ascii="Palatino Linotype" w:hAnsi="Palatino Linotype"/>
          <w:b/>
        </w:rPr>
        <w:t>To</w:t>
      </w:r>
      <w:proofErr w:type="gramEnd"/>
      <w:r>
        <w:rPr>
          <w:rFonts w:ascii="Palatino Linotype" w:hAnsi="Palatino Linotype"/>
          <w:b/>
        </w:rPr>
        <w:t xml:space="preserve"> Be Clarified</w:t>
      </w:r>
    </w:p>
    <w:p w:rsidR="00D655B7" w:rsidRPr="00D655B7" w:rsidRDefault="00D655B7" w:rsidP="00D655B7">
      <w:pPr>
        <w:spacing w:line="320" w:lineRule="exact"/>
        <w:jc w:val="both"/>
        <w:rPr>
          <w:rFonts w:ascii="Palatino Linotype" w:hAnsi="Palatino Linotype"/>
          <w:b/>
        </w:rPr>
      </w:pPr>
    </w:p>
    <w:p w:rsidR="00D655B7" w:rsidRPr="00713BD3" w:rsidRDefault="00D655B7" w:rsidP="00713BD3">
      <w:pPr>
        <w:spacing w:line="320" w:lineRule="exact"/>
        <w:ind w:firstLine="720"/>
        <w:jc w:val="both"/>
        <w:rPr>
          <w:rFonts w:ascii="Palatino Linotype" w:hAnsi="Palatino Linotype"/>
          <w:b/>
        </w:rPr>
      </w:pPr>
      <w:r w:rsidRPr="0090352D">
        <w:rPr>
          <w:rFonts w:ascii="Palatino Linotype" w:hAnsi="Palatino Linotype"/>
        </w:rPr>
        <w:t xml:space="preserve">Staff’s </w:t>
      </w:r>
      <w:r w:rsidR="0090352D">
        <w:rPr>
          <w:rFonts w:ascii="Palatino Linotype" w:hAnsi="Palatino Linotype"/>
        </w:rPr>
        <w:t xml:space="preserve">Property Tax Expense </w:t>
      </w:r>
      <w:r w:rsidRPr="0090352D">
        <w:rPr>
          <w:rFonts w:ascii="Palatino Linotype" w:hAnsi="Palatino Linotype"/>
        </w:rPr>
        <w:t xml:space="preserve">formula provides for </w:t>
      </w:r>
      <w:r w:rsidR="0090352D">
        <w:rPr>
          <w:rFonts w:ascii="Palatino Linotype" w:hAnsi="Palatino Linotype"/>
        </w:rPr>
        <w:t xml:space="preserve">the </w:t>
      </w:r>
      <w:r w:rsidRPr="0090352D">
        <w:rPr>
          <w:rFonts w:ascii="Palatino Linotype" w:hAnsi="Palatino Linotype"/>
        </w:rPr>
        <w:t xml:space="preserve">use of </w:t>
      </w:r>
      <w:r w:rsidR="0090352D">
        <w:rPr>
          <w:rFonts w:ascii="Palatino Linotype" w:hAnsi="Palatino Linotype"/>
        </w:rPr>
        <w:t xml:space="preserve">the </w:t>
      </w:r>
      <w:r w:rsidRPr="0090352D">
        <w:rPr>
          <w:rFonts w:ascii="Palatino Linotype" w:hAnsi="Palatino Linotype"/>
        </w:rPr>
        <w:t xml:space="preserve">previous year’s cumulative </w:t>
      </w:r>
      <w:r w:rsidR="00713BD3">
        <w:rPr>
          <w:rFonts w:ascii="Palatino Linotype" w:hAnsi="Palatino Linotype"/>
        </w:rPr>
        <w:t xml:space="preserve">gross </w:t>
      </w:r>
      <w:r w:rsidRPr="0090352D">
        <w:rPr>
          <w:rFonts w:ascii="Palatino Linotype" w:hAnsi="Palatino Linotype"/>
        </w:rPr>
        <w:t xml:space="preserve">plant additions less </w:t>
      </w:r>
      <w:r w:rsidR="0090352D">
        <w:rPr>
          <w:rFonts w:ascii="Palatino Linotype" w:hAnsi="Palatino Linotype"/>
        </w:rPr>
        <w:t xml:space="preserve">the </w:t>
      </w:r>
      <w:r w:rsidRPr="0090352D">
        <w:rPr>
          <w:rFonts w:ascii="Palatino Linotype" w:hAnsi="Palatino Linotype"/>
        </w:rPr>
        <w:t>previous year’s cumulative r</w:t>
      </w:r>
      <w:r w:rsidRPr="0090352D">
        <w:rPr>
          <w:rFonts w:ascii="Palatino Linotype" w:hAnsi="Palatino Linotype"/>
        </w:rPr>
        <w:t>e</w:t>
      </w:r>
      <w:r w:rsidRPr="0090352D">
        <w:rPr>
          <w:rFonts w:ascii="Palatino Linotype" w:hAnsi="Palatino Linotype"/>
        </w:rPr>
        <w:t>tirements</w:t>
      </w:r>
      <w:r w:rsidR="0090352D">
        <w:rPr>
          <w:rFonts w:ascii="Palatino Linotype" w:hAnsi="Palatino Linotype"/>
        </w:rPr>
        <w:t>,</w:t>
      </w:r>
      <w:r w:rsidRPr="0090352D">
        <w:rPr>
          <w:rFonts w:ascii="Palatino Linotype" w:hAnsi="Palatino Linotype"/>
        </w:rPr>
        <w:t xml:space="preserve"> </w:t>
      </w:r>
      <w:r w:rsidR="0090352D">
        <w:rPr>
          <w:rFonts w:ascii="Palatino Linotype" w:hAnsi="Palatino Linotype"/>
        </w:rPr>
        <w:t xml:space="preserve">multiplied by </w:t>
      </w:r>
      <w:r w:rsidR="00713BD3">
        <w:rPr>
          <w:rFonts w:ascii="Palatino Linotype" w:hAnsi="Palatino Linotype"/>
        </w:rPr>
        <w:t>“p</w:t>
      </w:r>
      <w:r w:rsidRPr="0090352D">
        <w:rPr>
          <w:rFonts w:ascii="Palatino Linotype" w:hAnsi="Palatino Linotype"/>
        </w:rPr>
        <w:t xml:space="preserve">ercent </w:t>
      </w:r>
      <w:r w:rsidR="00713BD3">
        <w:rPr>
          <w:rFonts w:ascii="Palatino Linotype" w:hAnsi="Palatino Linotype"/>
        </w:rPr>
        <w:t>g</w:t>
      </w:r>
      <w:r w:rsidRPr="0090352D">
        <w:rPr>
          <w:rFonts w:ascii="Palatino Linotype" w:hAnsi="Palatino Linotype"/>
        </w:rPr>
        <w:t>ood adjustment</w:t>
      </w:r>
      <w:r w:rsidR="00713BD3">
        <w:rPr>
          <w:rFonts w:ascii="Palatino Linotype" w:hAnsi="Palatino Linotype"/>
        </w:rPr>
        <w:t xml:space="preserve">” multiplied by the </w:t>
      </w:r>
      <w:r w:rsidRPr="0090352D">
        <w:rPr>
          <w:rFonts w:ascii="Palatino Linotype" w:hAnsi="Palatino Linotype"/>
        </w:rPr>
        <w:t>effective property tax rate divided by 12. This formula needs to be clarified to the extent it provides for use of all cumulative plant additions and associated retirements (not just previous year) for determination of current month deferrals</w:t>
      </w:r>
      <w:r w:rsidR="00713BD3">
        <w:rPr>
          <w:rFonts w:ascii="Palatino Linotype" w:hAnsi="Palatino Linotype"/>
        </w:rPr>
        <w:t>,</w:t>
      </w:r>
      <w:r w:rsidRPr="0090352D">
        <w:rPr>
          <w:rFonts w:ascii="Palatino Linotype" w:hAnsi="Palatino Linotype"/>
        </w:rPr>
        <w:t xml:space="preserve"> until such time </w:t>
      </w:r>
      <w:r w:rsidR="007E2447">
        <w:rPr>
          <w:rFonts w:ascii="Palatino Linotype" w:hAnsi="Palatino Linotype"/>
        </w:rPr>
        <w:t xml:space="preserve">that </w:t>
      </w:r>
      <w:r w:rsidRPr="0090352D">
        <w:rPr>
          <w:rFonts w:ascii="Palatino Linotype" w:hAnsi="Palatino Linotype"/>
        </w:rPr>
        <w:t xml:space="preserve">these investments are included in base rates. </w:t>
      </w:r>
      <w:r w:rsidR="004D5F72" w:rsidRPr="004D5F72">
        <w:rPr>
          <w:rFonts w:ascii="Palatino Linotype" w:hAnsi="Palatino Linotype"/>
        </w:rPr>
        <w:t>Clarification needs to be pr</w:t>
      </w:r>
      <w:r w:rsidR="004D5F72" w:rsidRPr="004D5F72">
        <w:rPr>
          <w:rFonts w:ascii="Palatino Linotype" w:hAnsi="Palatino Linotype"/>
        </w:rPr>
        <w:t>o</w:t>
      </w:r>
      <w:r w:rsidR="004D5F72" w:rsidRPr="004D5F72">
        <w:rPr>
          <w:rFonts w:ascii="Palatino Linotype" w:hAnsi="Palatino Linotype"/>
        </w:rPr>
        <w:t xml:space="preserve">vided to the term “Cumulative” </w:t>
      </w:r>
      <w:r w:rsidR="004D5F72">
        <w:rPr>
          <w:rFonts w:ascii="Palatino Linotype" w:hAnsi="Palatino Linotype"/>
        </w:rPr>
        <w:t>s</w:t>
      </w:r>
      <w:r w:rsidR="004D5F72" w:rsidRPr="004D5F72">
        <w:rPr>
          <w:rFonts w:ascii="Palatino Linotype" w:hAnsi="Palatino Linotype"/>
        </w:rPr>
        <w:t>o th</w:t>
      </w:r>
      <w:r w:rsidR="004D5F72">
        <w:rPr>
          <w:rFonts w:ascii="Palatino Linotype" w:hAnsi="Palatino Linotype"/>
        </w:rPr>
        <w:t xml:space="preserve">at the term </w:t>
      </w:r>
      <w:r w:rsidR="004D5F72" w:rsidRPr="004D5F72">
        <w:rPr>
          <w:rFonts w:ascii="Palatino Linotype" w:hAnsi="Palatino Linotype"/>
        </w:rPr>
        <w:t xml:space="preserve">includes all approved capital expenditures through the applicable date </w:t>
      </w:r>
      <w:r w:rsidR="004D5F72">
        <w:rPr>
          <w:rFonts w:ascii="Palatino Linotype" w:hAnsi="Palatino Linotype"/>
        </w:rPr>
        <w:t xml:space="preserve">– </w:t>
      </w:r>
      <w:r w:rsidR="004D5F72" w:rsidRPr="004D5F72">
        <w:rPr>
          <w:rFonts w:ascii="Palatino Linotype" w:hAnsi="Palatino Linotype"/>
        </w:rPr>
        <w:t>e.g.</w:t>
      </w:r>
      <w:r w:rsidR="004D5F72">
        <w:rPr>
          <w:rFonts w:ascii="Palatino Linotype" w:hAnsi="Palatino Linotype"/>
        </w:rPr>
        <w:t>,</w:t>
      </w:r>
      <w:r w:rsidR="004D5F72" w:rsidRPr="004D5F72">
        <w:rPr>
          <w:rFonts w:ascii="Palatino Linotype" w:hAnsi="Palatino Linotype"/>
        </w:rPr>
        <w:t xml:space="preserve"> “Year 1 + Year 2</w:t>
      </w:r>
      <w:r w:rsidR="00E8162D">
        <w:rPr>
          <w:rFonts w:ascii="Palatino Linotype" w:hAnsi="Palatino Linotype"/>
        </w:rPr>
        <w:t xml:space="preserve"> </w:t>
      </w:r>
      <w:r w:rsidR="004D5F72" w:rsidRPr="004D5F72">
        <w:rPr>
          <w:rFonts w:ascii="Palatino Linotype" w:hAnsi="Palatino Linotype"/>
        </w:rPr>
        <w:t>+ Year 3” co</w:t>
      </w:r>
      <w:r w:rsidR="004D5F72" w:rsidRPr="004D5F72">
        <w:rPr>
          <w:rFonts w:ascii="Palatino Linotype" w:hAnsi="Palatino Linotype"/>
        </w:rPr>
        <w:t>m</w:t>
      </w:r>
      <w:r w:rsidR="004D5F72" w:rsidRPr="004D5F72">
        <w:rPr>
          <w:rFonts w:ascii="Palatino Linotype" w:hAnsi="Palatino Linotype"/>
        </w:rPr>
        <w:t>prise the “Previous Years’ Cumulative Gross Plant Additions and Retirements</w:t>
      </w:r>
      <w:r w:rsidR="004D5F72">
        <w:rPr>
          <w:rFonts w:ascii="Palatino Linotype" w:hAnsi="Palatino Linotype"/>
        </w:rPr>
        <w:t>.</w:t>
      </w:r>
      <w:r w:rsidR="004D5F72" w:rsidRPr="004D5F72">
        <w:rPr>
          <w:rFonts w:ascii="Palatino Linotype" w:hAnsi="Palatino Linotype"/>
        </w:rPr>
        <w:t>” Similar clarification for Staffs’ proposed PISCC and Depreciation Expense form</w:t>
      </w:r>
      <w:r w:rsidR="004D5F72" w:rsidRPr="004D5F72">
        <w:rPr>
          <w:rFonts w:ascii="Palatino Linotype" w:hAnsi="Palatino Linotype"/>
        </w:rPr>
        <w:t>u</w:t>
      </w:r>
      <w:r w:rsidR="004D5F72" w:rsidRPr="004D5F72">
        <w:rPr>
          <w:rFonts w:ascii="Palatino Linotype" w:hAnsi="Palatino Linotype"/>
        </w:rPr>
        <w:t>las should also be provided to the extent that “Previous Month’s data” includes “all Previous Months’” data.</w:t>
      </w:r>
    </w:p>
    <w:p w:rsidR="00D655B7" w:rsidRDefault="00D655B7" w:rsidP="00D655B7">
      <w:pPr>
        <w:spacing w:line="320" w:lineRule="exact"/>
        <w:jc w:val="both"/>
        <w:rPr>
          <w:rFonts w:ascii="Palatino Linotype" w:hAnsi="Palatino Linotype"/>
        </w:rPr>
      </w:pPr>
    </w:p>
    <w:p w:rsidR="00713BD3" w:rsidRPr="00713BD3" w:rsidRDefault="00713BD3" w:rsidP="00FF360F">
      <w:pPr>
        <w:keepNext/>
        <w:keepLines/>
        <w:spacing w:line="320" w:lineRule="exact"/>
        <w:ind w:left="720"/>
        <w:jc w:val="both"/>
        <w:rPr>
          <w:rFonts w:ascii="Palatino Linotype" w:hAnsi="Palatino Linotype"/>
          <w:b/>
        </w:rPr>
      </w:pPr>
      <w:r>
        <w:rPr>
          <w:rFonts w:ascii="Palatino Linotype" w:hAnsi="Palatino Linotype"/>
          <w:b/>
        </w:rPr>
        <w:t>Ohio Law Does Not Require That Capital Spending Be Incremental In Order To Qualify For Account</w:t>
      </w:r>
      <w:r w:rsidR="00B823B2">
        <w:rPr>
          <w:rFonts w:ascii="Palatino Linotype" w:hAnsi="Palatino Linotype"/>
          <w:b/>
        </w:rPr>
        <w:t xml:space="preserve">ing Treatment </w:t>
      </w:r>
      <w:proofErr w:type="gramStart"/>
      <w:r w:rsidR="00B823B2">
        <w:rPr>
          <w:rFonts w:ascii="Palatino Linotype" w:hAnsi="Palatino Linotype"/>
          <w:b/>
        </w:rPr>
        <w:t>Under</w:t>
      </w:r>
      <w:proofErr w:type="gramEnd"/>
      <w:r w:rsidR="00B823B2">
        <w:rPr>
          <w:rFonts w:ascii="Palatino Linotype" w:hAnsi="Palatino Linotype"/>
          <w:b/>
        </w:rPr>
        <w:t xml:space="preserve"> Rev. Code § </w:t>
      </w:r>
      <w:r>
        <w:rPr>
          <w:rFonts w:ascii="Palatino Linotype" w:hAnsi="Palatino Linotype"/>
          <w:b/>
        </w:rPr>
        <w:t>4929.111</w:t>
      </w:r>
    </w:p>
    <w:p w:rsidR="00713BD3" w:rsidRDefault="00713BD3" w:rsidP="00FF360F">
      <w:pPr>
        <w:keepNext/>
        <w:keepLines/>
        <w:spacing w:line="320" w:lineRule="exact"/>
        <w:jc w:val="both"/>
        <w:rPr>
          <w:rFonts w:ascii="Palatino Linotype" w:hAnsi="Palatino Linotype"/>
        </w:rPr>
      </w:pPr>
    </w:p>
    <w:p w:rsidR="00B823B2" w:rsidRDefault="00713BD3" w:rsidP="00B823B2">
      <w:pPr>
        <w:spacing w:line="320" w:lineRule="exact"/>
        <w:jc w:val="both"/>
        <w:rPr>
          <w:rFonts w:ascii="Palatino Linotype" w:hAnsi="Palatino Linotype"/>
        </w:rPr>
      </w:pPr>
      <w:r>
        <w:rPr>
          <w:rFonts w:ascii="Palatino Linotype" w:hAnsi="Palatino Linotype"/>
        </w:rPr>
        <w:tab/>
        <w:t>In its Comments St</w:t>
      </w:r>
      <w:r w:rsidR="00E8162D">
        <w:rPr>
          <w:rFonts w:ascii="Palatino Linotype" w:hAnsi="Palatino Linotype"/>
        </w:rPr>
        <w:t>aff notes that Columbia’s non-I</w:t>
      </w:r>
      <w:r>
        <w:rPr>
          <w:rFonts w:ascii="Palatino Linotype" w:hAnsi="Palatino Linotype"/>
        </w:rPr>
        <w:t>R</w:t>
      </w:r>
      <w:r w:rsidR="00E8162D">
        <w:rPr>
          <w:rFonts w:ascii="Palatino Linotype" w:hAnsi="Palatino Linotype"/>
        </w:rPr>
        <w:t>P</w:t>
      </w:r>
      <w:r>
        <w:rPr>
          <w:rFonts w:ascii="Palatino Linotype" w:hAnsi="Palatino Linotype"/>
        </w:rPr>
        <w:t xml:space="preserve"> capital spending for </w:t>
      </w:r>
      <w:r w:rsidR="00A66E6D">
        <w:rPr>
          <w:rFonts w:ascii="Palatino Linotype" w:hAnsi="Palatino Linotype"/>
        </w:rPr>
        <w:t>the period covered by the A</w:t>
      </w:r>
      <w:r>
        <w:rPr>
          <w:rFonts w:ascii="Palatino Linotype" w:hAnsi="Palatino Linotype"/>
        </w:rPr>
        <w:t>pplication in this case is not incremental to Colu</w:t>
      </w:r>
      <w:r>
        <w:rPr>
          <w:rFonts w:ascii="Palatino Linotype" w:hAnsi="Palatino Linotype"/>
        </w:rPr>
        <w:t>m</w:t>
      </w:r>
      <w:r>
        <w:rPr>
          <w:rFonts w:ascii="Palatino Linotype" w:hAnsi="Palatino Linotype"/>
        </w:rPr>
        <w:t>bia’s non-IRP spending for the period 2006-2010.</w:t>
      </w:r>
      <w:r w:rsidR="000D29DA">
        <w:rPr>
          <w:rStyle w:val="FootnoteReference"/>
          <w:rFonts w:ascii="Palatino Linotype" w:hAnsi="Palatino Linotype"/>
        </w:rPr>
        <w:footnoteReference w:id="7"/>
      </w:r>
      <w:r>
        <w:rPr>
          <w:rFonts w:ascii="Palatino Linotype" w:hAnsi="Palatino Linotype"/>
        </w:rPr>
        <w:t xml:space="preserve"> </w:t>
      </w:r>
      <w:r w:rsidR="00B823B2">
        <w:rPr>
          <w:rFonts w:ascii="Palatino Linotype" w:hAnsi="Palatino Linotype"/>
        </w:rPr>
        <w:t>While Staff makes this gratu</w:t>
      </w:r>
      <w:r w:rsidR="00B823B2">
        <w:rPr>
          <w:rFonts w:ascii="Palatino Linotype" w:hAnsi="Palatino Linotype"/>
        </w:rPr>
        <w:t>i</w:t>
      </w:r>
      <w:r w:rsidR="00B823B2">
        <w:rPr>
          <w:rFonts w:ascii="Palatino Linotype" w:hAnsi="Palatino Linotype"/>
        </w:rPr>
        <w:t>tous observation, it has no recommendation associated with the observation.</w:t>
      </w:r>
    </w:p>
    <w:p w:rsidR="00B823B2" w:rsidRDefault="00B823B2" w:rsidP="00B823B2">
      <w:pPr>
        <w:spacing w:line="320" w:lineRule="exact"/>
        <w:jc w:val="both"/>
        <w:rPr>
          <w:rFonts w:ascii="Palatino Linotype" w:hAnsi="Palatino Linotype"/>
        </w:rPr>
      </w:pPr>
    </w:p>
    <w:p w:rsidR="00B823B2" w:rsidRPr="0090352D" w:rsidRDefault="00B823B2" w:rsidP="00B823B2">
      <w:pPr>
        <w:spacing w:line="320" w:lineRule="exact"/>
        <w:jc w:val="both"/>
        <w:rPr>
          <w:rFonts w:ascii="Palatino Linotype" w:hAnsi="Palatino Linotype"/>
        </w:rPr>
      </w:pPr>
      <w:r>
        <w:rPr>
          <w:rFonts w:ascii="Palatino Linotype" w:hAnsi="Palatino Linotype"/>
        </w:rPr>
        <w:lastRenderedPageBreak/>
        <w:tab/>
        <w:t xml:space="preserve">The </w:t>
      </w:r>
      <w:r w:rsidR="00A66E6D">
        <w:rPr>
          <w:rFonts w:ascii="Palatino Linotype" w:hAnsi="Palatino Linotype"/>
        </w:rPr>
        <w:t>A</w:t>
      </w:r>
      <w:r>
        <w:rPr>
          <w:rFonts w:ascii="Palatino Linotype" w:hAnsi="Palatino Linotype"/>
        </w:rPr>
        <w:t xml:space="preserve">pplication in this docket was filed under Rev. Code </w:t>
      </w:r>
      <w:r w:rsidRPr="00B823B2">
        <w:rPr>
          <w:rFonts w:ascii="Palatino Linotype" w:hAnsi="Palatino Linotype"/>
        </w:rPr>
        <w:t>§ 4929.111</w:t>
      </w:r>
      <w:r>
        <w:rPr>
          <w:rFonts w:ascii="Palatino Linotype" w:hAnsi="Palatino Linotype"/>
        </w:rPr>
        <w:t>. That statute does not require that a utility’s capital spending be incremental to capital spending levels during any prior period.</w:t>
      </w:r>
      <w:r w:rsidR="00531860">
        <w:rPr>
          <w:rFonts w:ascii="Palatino Linotype" w:hAnsi="Palatino Linotype"/>
        </w:rPr>
        <w:t xml:space="preserve"> Whether or not the capital spending levels in any capital expenditure program are incremental to capital spending levels in any arbitrarily selected prior period is simply not relevant </w:t>
      </w:r>
      <w:r w:rsidR="00531860" w:rsidRPr="00531860">
        <w:rPr>
          <w:rFonts w:ascii="Palatino Linotype" w:hAnsi="Palatino Linotype"/>
        </w:rPr>
        <w:t>under Rev. Code § 4929.111</w:t>
      </w:r>
      <w:r w:rsidR="00531860">
        <w:rPr>
          <w:rFonts w:ascii="Palatino Linotype" w:hAnsi="Palatino Linotype"/>
        </w:rPr>
        <w:t>.</w:t>
      </w:r>
    </w:p>
    <w:p w:rsidR="00C934C6" w:rsidRDefault="00C934C6" w:rsidP="003E5173">
      <w:pPr>
        <w:spacing w:line="320" w:lineRule="exact"/>
        <w:jc w:val="both"/>
        <w:rPr>
          <w:rFonts w:ascii="Palatino Linotype" w:hAnsi="Palatino Linotype"/>
          <w:b/>
        </w:rPr>
      </w:pPr>
    </w:p>
    <w:p w:rsidR="003E5173" w:rsidRPr="003E5173" w:rsidRDefault="003E5173" w:rsidP="00E70034">
      <w:pPr>
        <w:keepNext/>
        <w:keepLines/>
        <w:spacing w:line="320" w:lineRule="exact"/>
        <w:jc w:val="both"/>
        <w:rPr>
          <w:rFonts w:ascii="Palatino Linotype" w:hAnsi="Palatino Linotype"/>
          <w:b/>
          <w:spacing w:val="-12"/>
        </w:rPr>
      </w:pPr>
      <w:r w:rsidRPr="003E5173">
        <w:rPr>
          <w:rFonts w:ascii="Palatino Linotype" w:hAnsi="Palatino Linotype"/>
          <w:b/>
          <w:spacing w:val="-12"/>
        </w:rPr>
        <w:t xml:space="preserve">RESPONSE TO OCC </w:t>
      </w:r>
      <w:r w:rsidR="009A473A">
        <w:rPr>
          <w:rFonts w:ascii="Palatino Linotype" w:hAnsi="Palatino Linotype"/>
          <w:b/>
          <w:spacing w:val="-12"/>
        </w:rPr>
        <w:t xml:space="preserve">AND OPAE </w:t>
      </w:r>
      <w:r w:rsidRPr="003E5173">
        <w:rPr>
          <w:rFonts w:ascii="Palatino Linotype" w:hAnsi="Palatino Linotype"/>
          <w:b/>
          <w:spacing w:val="-12"/>
        </w:rPr>
        <w:t>COMMENTS</w:t>
      </w:r>
    </w:p>
    <w:p w:rsidR="003E5173" w:rsidRPr="003E5173" w:rsidRDefault="003E5173" w:rsidP="00E70034">
      <w:pPr>
        <w:keepNext/>
        <w:keepLines/>
        <w:spacing w:line="320" w:lineRule="exact"/>
        <w:jc w:val="both"/>
        <w:rPr>
          <w:rFonts w:ascii="Palatino Linotype" w:hAnsi="Palatino Linotype"/>
        </w:rPr>
      </w:pPr>
    </w:p>
    <w:p w:rsidR="001D3CA5" w:rsidRDefault="001D3CA5" w:rsidP="00E70034">
      <w:pPr>
        <w:keepNext/>
        <w:keepLines/>
        <w:spacing w:line="320" w:lineRule="exact"/>
        <w:jc w:val="both"/>
        <w:rPr>
          <w:rFonts w:ascii="Palatino Linotype" w:hAnsi="Palatino Linotype"/>
          <w:b/>
        </w:rPr>
      </w:pPr>
      <w:r>
        <w:rPr>
          <w:rFonts w:ascii="Palatino Linotype" w:hAnsi="Palatino Linotype"/>
          <w:b/>
        </w:rPr>
        <w:tab/>
        <w:t>Columbia Has Met Its Burden Of Proof</w:t>
      </w:r>
    </w:p>
    <w:p w:rsidR="001D3CA5" w:rsidRDefault="001D3CA5" w:rsidP="00E70034">
      <w:pPr>
        <w:keepNext/>
        <w:keepLines/>
        <w:spacing w:line="320" w:lineRule="exact"/>
        <w:jc w:val="both"/>
        <w:rPr>
          <w:rFonts w:ascii="Palatino Linotype" w:hAnsi="Palatino Linotype"/>
          <w:b/>
        </w:rPr>
      </w:pPr>
    </w:p>
    <w:p w:rsidR="001D3CA5" w:rsidRDefault="00E32B92" w:rsidP="00E70034">
      <w:pPr>
        <w:keepNext/>
        <w:keepLines/>
        <w:spacing w:line="320" w:lineRule="exact"/>
        <w:ind w:firstLine="720"/>
        <w:jc w:val="both"/>
        <w:rPr>
          <w:rFonts w:ascii="Palatino Linotype" w:hAnsi="Palatino Linotype"/>
        </w:rPr>
      </w:pPr>
      <w:r>
        <w:rPr>
          <w:rFonts w:ascii="Palatino Linotype" w:hAnsi="Palatino Linotype"/>
        </w:rPr>
        <w:t>As noted by the OCC</w:t>
      </w:r>
      <w:r w:rsidR="009A473A">
        <w:rPr>
          <w:rFonts w:ascii="Palatino Linotype" w:hAnsi="Palatino Linotype"/>
        </w:rPr>
        <w:t>,</w:t>
      </w:r>
      <w:r>
        <w:rPr>
          <w:rStyle w:val="FootnoteReference"/>
          <w:rFonts w:ascii="Palatino Linotype" w:hAnsi="Palatino Linotype"/>
        </w:rPr>
        <w:footnoteReference w:id="8"/>
      </w:r>
      <w:r>
        <w:rPr>
          <w:rFonts w:ascii="Palatino Linotype" w:hAnsi="Palatino Linotype"/>
        </w:rPr>
        <w:t xml:space="preserve"> under Rev. Code </w:t>
      </w:r>
      <w:r w:rsidRPr="00E32B92">
        <w:rPr>
          <w:rFonts w:ascii="Palatino Linotype" w:hAnsi="Palatino Linotype"/>
        </w:rPr>
        <w:t>§ 4929.111</w:t>
      </w:r>
      <w:r>
        <w:rPr>
          <w:rFonts w:ascii="Palatino Linotype" w:hAnsi="Palatino Linotype"/>
        </w:rPr>
        <w:t xml:space="preserve"> Columbia must demonstrate that its proposed capital expenditure program is consistent with its obligation to furnish necessary and adequate services and facilities. Further, C</w:t>
      </w:r>
      <w:r>
        <w:rPr>
          <w:rFonts w:ascii="Palatino Linotype" w:hAnsi="Palatino Linotype"/>
        </w:rPr>
        <w:t>o</w:t>
      </w:r>
      <w:r>
        <w:rPr>
          <w:rFonts w:ascii="Palatino Linotype" w:hAnsi="Palatino Linotype"/>
        </w:rPr>
        <w:t>lumbia must provide sufficient information so as to enable the Commission to find the services and facilities to be just and reasonable.</w:t>
      </w:r>
      <w:r>
        <w:rPr>
          <w:rStyle w:val="FootnoteReference"/>
          <w:rFonts w:ascii="Palatino Linotype" w:hAnsi="Palatino Linotype"/>
        </w:rPr>
        <w:footnoteReference w:id="9"/>
      </w:r>
      <w:r w:rsidR="000B60E8">
        <w:rPr>
          <w:rFonts w:ascii="Palatino Linotype" w:hAnsi="Palatino Linotype"/>
        </w:rPr>
        <w:t xml:space="preserve"> The OCC alleges that Columbia has provided “minimal explanation” for its capital expenditure pr</w:t>
      </w:r>
      <w:r w:rsidR="000B60E8">
        <w:rPr>
          <w:rFonts w:ascii="Palatino Linotype" w:hAnsi="Palatino Linotype"/>
        </w:rPr>
        <w:t>o</w:t>
      </w:r>
      <w:r w:rsidR="000B60E8">
        <w:rPr>
          <w:rFonts w:ascii="Palatino Linotype" w:hAnsi="Palatino Linotype"/>
        </w:rPr>
        <w:t>gram and that i</w:t>
      </w:r>
      <w:r w:rsidR="001D3CA5" w:rsidRPr="001D3CA5">
        <w:rPr>
          <w:rFonts w:ascii="Palatino Linotype" w:hAnsi="Palatino Linotype"/>
        </w:rPr>
        <w:t xml:space="preserve">t is impossible to determine whether the spending under the </w:t>
      </w:r>
      <w:r w:rsidR="000B60E8">
        <w:rPr>
          <w:rFonts w:ascii="Palatino Linotype" w:hAnsi="Palatino Linotype"/>
        </w:rPr>
        <w:t>pr</w:t>
      </w:r>
      <w:r w:rsidR="000B60E8">
        <w:rPr>
          <w:rFonts w:ascii="Palatino Linotype" w:hAnsi="Palatino Linotype"/>
        </w:rPr>
        <w:t>o</w:t>
      </w:r>
      <w:r w:rsidR="000B60E8">
        <w:rPr>
          <w:rFonts w:ascii="Palatino Linotype" w:hAnsi="Palatino Linotype"/>
        </w:rPr>
        <w:t>gram</w:t>
      </w:r>
      <w:r w:rsidR="001D3CA5" w:rsidRPr="001D3CA5">
        <w:rPr>
          <w:rFonts w:ascii="Palatino Linotype" w:hAnsi="Palatino Linotype"/>
        </w:rPr>
        <w:t xml:space="preserve"> is to provide necessary and adequate services and facilities.</w:t>
      </w:r>
      <w:r w:rsidR="000B60E8">
        <w:rPr>
          <w:rStyle w:val="FootnoteReference"/>
          <w:rFonts w:ascii="Palatino Linotype" w:hAnsi="Palatino Linotype"/>
        </w:rPr>
        <w:footnoteReference w:id="10"/>
      </w:r>
      <w:r w:rsidR="009A473A">
        <w:rPr>
          <w:rFonts w:ascii="Palatino Linotype" w:hAnsi="Palatino Linotype"/>
        </w:rPr>
        <w:t xml:space="preserve"> </w:t>
      </w:r>
      <w:r w:rsidR="009A473A" w:rsidRPr="009A473A">
        <w:rPr>
          <w:rFonts w:ascii="Palatino Linotype" w:hAnsi="Palatino Linotype"/>
        </w:rPr>
        <w:t>OPAE also argues that because Columbia only provided an “estimate” of its capital expend</w:t>
      </w:r>
      <w:r w:rsidR="009A473A" w:rsidRPr="009A473A">
        <w:rPr>
          <w:rFonts w:ascii="Palatino Linotype" w:hAnsi="Palatino Linotype"/>
        </w:rPr>
        <w:t>i</w:t>
      </w:r>
      <w:r w:rsidR="009A473A" w:rsidRPr="009A473A">
        <w:rPr>
          <w:rFonts w:ascii="Palatino Linotype" w:hAnsi="Palatino Linotype"/>
        </w:rPr>
        <w:t xml:space="preserve">ture budget, it has failed to meet the requirements of </w:t>
      </w:r>
      <w:r w:rsidR="002938B1">
        <w:rPr>
          <w:rFonts w:ascii="Palatino Linotype" w:hAnsi="Palatino Linotype"/>
        </w:rPr>
        <w:t>Revised Code § </w:t>
      </w:r>
      <w:r w:rsidR="009A473A" w:rsidRPr="009A473A">
        <w:rPr>
          <w:rFonts w:ascii="Palatino Linotype" w:hAnsi="Palatino Linotype"/>
        </w:rPr>
        <w:t>4929.111(B).</w:t>
      </w:r>
      <w:r w:rsidR="009A473A" w:rsidRPr="009A473A">
        <w:rPr>
          <w:rFonts w:ascii="Palatino Linotype" w:hAnsi="Palatino Linotype"/>
          <w:vertAlign w:val="superscript"/>
        </w:rPr>
        <w:footnoteReference w:id="11"/>
      </w:r>
    </w:p>
    <w:p w:rsidR="000B60E8" w:rsidRDefault="000B60E8" w:rsidP="00E32B92">
      <w:pPr>
        <w:spacing w:line="320" w:lineRule="exact"/>
        <w:ind w:firstLine="720"/>
        <w:jc w:val="both"/>
        <w:rPr>
          <w:rFonts w:ascii="Palatino Linotype" w:hAnsi="Palatino Linotype"/>
        </w:rPr>
      </w:pPr>
    </w:p>
    <w:p w:rsidR="00277C21" w:rsidRDefault="00277C21" w:rsidP="00277C21">
      <w:pPr>
        <w:spacing w:line="320" w:lineRule="exact"/>
        <w:ind w:firstLine="720"/>
        <w:jc w:val="both"/>
        <w:rPr>
          <w:rFonts w:ascii="Palatino Linotype" w:hAnsi="Palatino Linotype"/>
        </w:rPr>
      </w:pPr>
      <w:r>
        <w:rPr>
          <w:rFonts w:ascii="Palatino Linotype" w:hAnsi="Palatino Linotype"/>
        </w:rPr>
        <w:t xml:space="preserve">Columbia’s </w:t>
      </w:r>
      <w:r w:rsidR="00A66E6D">
        <w:rPr>
          <w:rFonts w:ascii="Palatino Linotype" w:hAnsi="Palatino Linotype"/>
        </w:rPr>
        <w:t>A</w:t>
      </w:r>
      <w:r>
        <w:rPr>
          <w:rFonts w:ascii="Palatino Linotype" w:hAnsi="Palatino Linotype"/>
        </w:rPr>
        <w:t>pplication described six categories of services</w:t>
      </w:r>
      <w:r w:rsidR="0064057B">
        <w:rPr>
          <w:rFonts w:ascii="Palatino Linotype" w:hAnsi="Palatino Linotype"/>
        </w:rPr>
        <w:t xml:space="preserve"> and facilities</w:t>
      </w:r>
      <w:r>
        <w:rPr>
          <w:rFonts w:ascii="Palatino Linotype" w:hAnsi="Palatino Linotype"/>
        </w:rPr>
        <w:t xml:space="preserve"> included in Columbia’s capital expenditure program: (1) </w:t>
      </w:r>
      <w:r w:rsidRPr="00277C21">
        <w:rPr>
          <w:rFonts w:ascii="Palatino Linotype" w:hAnsi="Palatino Linotype"/>
        </w:rPr>
        <w:t>Replacement/Public Improvement/Betterment</w:t>
      </w:r>
      <w:r>
        <w:rPr>
          <w:rFonts w:ascii="Palatino Linotype" w:hAnsi="Palatino Linotype"/>
        </w:rPr>
        <w:t xml:space="preserve">; (2) </w:t>
      </w:r>
      <w:r w:rsidRPr="00277C21">
        <w:rPr>
          <w:rFonts w:ascii="Palatino Linotype" w:hAnsi="Palatino Linotype"/>
        </w:rPr>
        <w:t>Acquisitions</w:t>
      </w:r>
      <w:r>
        <w:rPr>
          <w:rFonts w:ascii="Palatino Linotype" w:hAnsi="Palatino Linotype"/>
        </w:rPr>
        <w:t xml:space="preserve">; (3) Growth; (4) Support Services; (5) Information Technology; and, (6) </w:t>
      </w:r>
      <w:r w:rsidR="0064057B" w:rsidRPr="0064057B">
        <w:rPr>
          <w:rFonts w:ascii="Palatino Linotype" w:hAnsi="Palatino Linotype"/>
        </w:rPr>
        <w:t>Distribution Integrity Management Plan I</w:t>
      </w:r>
      <w:r w:rsidR="0064057B" w:rsidRPr="0064057B">
        <w:rPr>
          <w:rFonts w:ascii="Palatino Linotype" w:hAnsi="Palatino Linotype"/>
        </w:rPr>
        <w:t>m</w:t>
      </w:r>
      <w:r w:rsidR="0064057B" w:rsidRPr="0064057B">
        <w:rPr>
          <w:rFonts w:ascii="Palatino Linotype" w:hAnsi="Palatino Linotype"/>
        </w:rPr>
        <w:t>plementation</w:t>
      </w:r>
      <w:r>
        <w:rPr>
          <w:rFonts w:ascii="Palatino Linotype" w:hAnsi="Palatino Linotype"/>
        </w:rPr>
        <w:t xml:space="preserve">. </w:t>
      </w:r>
      <w:r w:rsidR="0064057B">
        <w:rPr>
          <w:rFonts w:ascii="Palatino Linotype" w:hAnsi="Palatino Linotype"/>
        </w:rPr>
        <w:t>Each of these categories of services and facilities was fully d</w:t>
      </w:r>
      <w:r w:rsidR="0064057B">
        <w:rPr>
          <w:rFonts w:ascii="Palatino Linotype" w:hAnsi="Palatino Linotype"/>
        </w:rPr>
        <w:t>e</w:t>
      </w:r>
      <w:r w:rsidR="0064057B">
        <w:rPr>
          <w:rFonts w:ascii="Palatino Linotype" w:hAnsi="Palatino Linotype"/>
        </w:rPr>
        <w:t xml:space="preserve">scribed in the </w:t>
      </w:r>
      <w:r w:rsidR="00A66E6D">
        <w:rPr>
          <w:rFonts w:ascii="Palatino Linotype" w:hAnsi="Palatino Linotype"/>
        </w:rPr>
        <w:t>A</w:t>
      </w:r>
      <w:r w:rsidR="0064057B">
        <w:rPr>
          <w:rFonts w:ascii="Palatino Linotype" w:hAnsi="Palatino Linotype"/>
        </w:rPr>
        <w:t>pplication. Together, these services and facilities encompass the services and facilities that a natural gas utility must provide in order to furnish “necessary and ade</w:t>
      </w:r>
      <w:r w:rsidR="004C293D">
        <w:rPr>
          <w:rFonts w:ascii="Palatino Linotype" w:hAnsi="Palatino Linotype"/>
        </w:rPr>
        <w:t xml:space="preserve">quate services and facilities.” </w:t>
      </w:r>
      <w:r>
        <w:rPr>
          <w:rFonts w:ascii="Palatino Linotype" w:hAnsi="Palatino Linotype"/>
        </w:rPr>
        <w:t xml:space="preserve">The services </w:t>
      </w:r>
      <w:r w:rsidR="008B6A72">
        <w:rPr>
          <w:rFonts w:ascii="Palatino Linotype" w:hAnsi="Palatino Linotype"/>
        </w:rPr>
        <w:t>and facilities i</w:t>
      </w:r>
      <w:r w:rsidR="008B6A72">
        <w:rPr>
          <w:rFonts w:ascii="Palatino Linotype" w:hAnsi="Palatino Linotype"/>
        </w:rPr>
        <w:t>n</w:t>
      </w:r>
      <w:r w:rsidR="008B6A72">
        <w:rPr>
          <w:rFonts w:ascii="Palatino Linotype" w:hAnsi="Palatino Linotype"/>
        </w:rPr>
        <w:t>cluded in the capital expenditure program constitute the core business of a nat</w:t>
      </w:r>
      <w:r w:rsidR="008B6A72">
        <w:rPr>
          <w:rFonts w:ascii="Palatino Linotype" w:hAnsi="Palatino Linotype"/>
        </w:rPr>
        <w:t>u</w:t>
      </w:r>
      <w:r w:rsidR="008B6A72">
        <w:rPr>
          <w:rFonts w:ascii="Palatino Linotype" w:hAnsi="Palatino Linotype"/>
        </w:rPr>
        <w:t xml:space="preserve">ral gas utility, and recovery of the investments and costs associated with such investments and expenses are what every utility routinely recovers through its rates. </w:t>
      </w:r>
      <w:r w:rsidR="001169B7">
        <w:rPr>
          <w:rFonts w:ascii="Palatino Linotype" w:hAnsi="Palatino Linotype"/>
        </w:rPr>
        <w:t xml:space="preserve">Despite the OCC’s contrived argument to the contrary, there is no doubt </w:t>
      </w:r>
      <w:r w:rsidR="001169B7">
        <w:rPr>
          <w:rFonts w:ascii="Palatino Linotype" w:hAnsi="Palatino Linotype"/>
        </w:rPr>
        <w:lastRenderedPageBreak/>
        <w:t>that the proposed capital expenditure and program is needed to provide nece</w:t>
      </w:r>
      <w:r w:rsidR="001169B7">
        <w:rPr>
          <w:rFonts w:ascii="Palatino Linotype" w:hAnsi="Palatino Linotype"/>
        </w:rPr>
        <w:t>s</w:t>
      </w:r>
      <w:r w:rsidR="001169B7">
        <w:rPr>
          <w:rFonts w:ascii="Palatino Linotype" w:hAnsi="Palatino Linotype"/>
        </w:rPr>
        <w:t>sary and adequate services and facilities.</w:t>
      </w:r>
    </w:p>
    <w:p w:rsidR="00277C21" w:rsidRDefault="00277C21" w:rsidP="00277C21">
      <w:pPr>
        <w:spacing w:line="320" w:lineRule="exact"/>
        <w:ind w:firstLine="720"/>
        <w:jc w:val="both"/>
        <w:rPr>
          <w:rFonts w:ascii="Palatino Linotype" w:hAnsi="Palatino Linotype"/>
        </w:rPr>
      </w:pPr>
    </w:p>
    <w:p w:rsidR="006F6BAF" w:rsidRDefault="001169B7" w:rsidP="00277C21">
      <w:pPr>
        <w:spacing w:line="320" w:lineRule="exact"/>
        <w:ind w:firstLine="720"/>
        <w:jc w:val="both"/>
        <w:rPr>
          <w:rFonts w:ascii="Palatino Linotype" w:hAnsi="Palatino Linotype"/>
        </w:rPr>
      </w:pPr>
      <w:r>
        <w:rPr>
          <w:rFonts w:ascii="Palatino Linotype" w:hAnsi="Palatino Linotype"/>
        </w:rPr>
        <w:t xml:space="preserve">The OCC </w:t>
      </w:r>
      <w:r w:rsidR="00A65AF0">
        <w:rPr>
          <w:rFonts w:ascii="Palatino Linotype" w:hAnsi="Palatino Linotype"/>
        </w:rPr>
        <w:t xml:space="preserve">and OPAE </w:t>
      </w:r>
      <w:r>
        <w:rPr>
          <w:rFonts w:ascii="Palatino Linotype" w:hAnsi="Palatino Linotype"/>
        </w:rPr>
        <w:t>also criticize the amount of information provided with regard to the proposed spending levels.</w:t>
      </w:r>
      <w:r>
        <w:rPr>
          <w:rStyle w:val="FootnoteReference"/>
          <w:rFonts w:ascii="Palatino Linotype" w:hAnsi="Palatino Linotype"/>
        </w:rPr>
        <w:footnoteReference w:id="12"/>
      </w:r>
      <w:r w:rsidR="004C293D">
        <w:rPr>
          <w:rFonts w:ascii="Palatino Linotype" w:hAnsi="Palatino Linotype"/>
        </w:rPr>
        <w:t xml:space="preserve"> </w:t>
      </w:r>
      <w:r w:rsidR="004C293D" w:rsidRPr="004C293D">
        <w:rPr>
          <w:rFonts w:ascii="Palatino Linotype" w:hAnsi="Palatino Linotype"/>
        </w:rPr>
        <w:t xml:space="preserve">Columbia’s </w:t>
      </w:r>
      <w:r w:rsidR="00A66E6D">
        <w:rPr>
          <w:rFonts w:ascii="Palatino Linotype" w:hAnsi="Palatino Linotype"/>
        </w:rPr>
        <w:t>A</w:t>
      </w:r>
      <w:r w:rsidR="004C293D" w:rsidRPr="004C293D">
        <w:rPr>
          <w:rFonts w:ascii="Palatino Linotype" w:hAnsi="Palatino Linotype"/>
        </w:rPr>
        <w:t>pplication included an attachment that set forth its capital expenditures budget, by individual cat</w:t>
      </w:r>
      <w:r w:rsidR="004C293D" w:rsidRPr="004C293D">
        <w:rPr>
          <w:rFonts w:ascii="Palatino Linotype" w:hAnsi="Palatino Linotype"/>
        </w:rPr>
        <w:t>e</w:t>
      </w:r>
      <w:r w:rsidR="004C293D" w:rsidRPr="004C293D">
        <w:rPr>
          <w:rFonts w:ascii="Palatino Linotype" w:hAnsi="Palatino Linotype"/>
        </w:rPr>
        <w:t>gories, approved by NiSource’s Board of Directors, consistent with Columbia’s obligation to furnish necessary and adequate services and facilities.</w:t>
      </w:r>
      <w:r w:rsidR="006F6BAF">
        <w:rPr>
          <w:rFonts w:ascii="Palatino Linotype" w:hAnsi="Palatino Linotype"/>
        </w:rPr>
        <w:t xml:space="preserve"> </w:t>
      </w:r>
      <w:r w:rsidR="001D3CA5" w:rsidRPr="001D3CA5">
        <w:rPr>
          <w:rFonts w:ascii="Palatino Linotype" w:hAnsi="Palatino Linotype"/>
        </w:rPr>
        <w:t>The purpose of the attachment and description was to provide the Commission with info</w:t>
      </w:r>
      <w:r w:rsidR="001D3CA5" w:rsidRPr="001D3CA5">
        <w:rPr>
          <w:rFonts w:ascii="Palatino Linotype" w:hAnsi="Palatino Linotype"/>
        </w:rPr>
        <w:t>r</w:t>
      </w:r>
      <w:r w:rsidR="001D3CA5" w:rsidRPr="001D3CA5">
        <w:rPr>
          <w:rFonts w:ascii="Palatino Linotype" w:hAnsi="Palatino Linotype"/>
        </w:rPr>
        <w:t xml:space="preserve">mation from which it can determine the level </w:t>
      </w:r>
      <w:r w:rsidR="007E2447">
        <w:rPr>
          <w:rFonts w:ascii="Palatino Linotype" w:hAnsi="Palatino Linotype"/>
        </w:rPr>
        <w:t>and</w:t>
      </w:r>
      <w:r w:rsidR="001D3CA5" w:rsidRPr="001D3CA5">
        <w:rPr>
          <w:rFonts w:ascii="Palatino Linotype" w:hAnsi="Palatino Linotype"/>
        </w:rPr>
        <w:t xml:space="preserve"> type of capital expenditure for which Columbia is seeking deferred accounting treatment in this proceeding. It is only upon completion of those projects that the Commission </w:t>
      </w:r>
      <w:r w:rsidR="006F6BAF">
        <w:rPr>
          <w:rFonts w:ascii="Palatino Linotype" w:hAnsi="Palatino Linotype"/>
        </w:rPr>
        <w:t xml:space="preserve">subsequently </w:t>
      </w:r>
      <w:r w:rsidR="001D3CA5" w:rsidRPr="001D3CA5">
        <w:rPr>
          <w:rFonts w:ascii="Palatino Linotype" w:hAnsi="Palatino Linotype"/>
        </w:rPr>
        <w:t xml:space="preserve">can determine </w:t>
      </w:r>
      <w:r w:rsidR="006F6BAF">
        <w:rPr>
          <w:rFonts w:ascii="Palatino Linotype" w:hAnsi="Palatino Linotype"/>
        </w:rPr>
        <w:t xml:space="preserve">whether </w:t>
      </w:r>
      <w:r w:rsidR="001D3CA5" w:rsidRPr="001D3CA5">
        <w:rPr>
          <w:rFonts w:ascii="Palatino Linotype" w:hAnsi="Palatino Linotype"/>
        </w:rPr>
        <w:t>each capital expenditure meets the test for recovery.</w:t>
      </w:r>
    </w:p>
    <w:p w:rsidR="006F6BAF" w:rsidRDefault="006F6BAF" w:rsidP="00277C21">
      <w:pPr>
        <w:spacing w:line="320" w:lineRule="exact"/>
        <w:ind w:firstLine="720"/>
        <w:jc w:val="both"/>
        <w:rPr>
          <w:rFonts w:ascii="Palatino Linotype" w:hAnsi="Palatino Linotype"/>
        </w:rPr>
      </w:pPr>
    </w:p>
    <w:p w:rsidR="00A65AF0" w:rsidRPr="00A65AF0" w:rsidRDefault="00A65AF0" w:rsidP="00A65AF0">
      <w:pPr>
        <w:spacing w:line="320" w:lineRule="exact"/>
        <w:ind w:firstLine="720"/>
        <w:jc w:val="both"/>
        <w:rPr>
          <w:rFonts w:ascii="Palatino Linotype" w:hAnsi="Palatino Linotype"/>
        </w:rPr>
      </w:pPr>
      <w:r w:rsidRPr="00A65AF0">
        <w:rPr>
          <w:rFonts w:ascii="Palatino Linotype" w:hAnsi="Palatino Linotype"/>
        </w:rPr>
        <w:t>OPAE’s argument about the uncertainty of Columbia’s capital expend</w:t>
      </w:r>
      <w:r w:rsidRPr="00A65AF0">
        <w:rPr>
          <w:rFonts w:ascii="Palatino Linotype" w:hAnsi="Palatino Linotype"/>
        </w:rPr>
        <w:t>i</w:t>
      </w:r>
      <w:r w:rsidRPr="00A65AF0">
        <w:rPr>
          <w:rFonts w:ascii="Palatino Linotype" w:hAnsi="Palatino Linotype"/>
        </w:rPr>
        <w:t xml:space="preserve">ture program is </w:t>
      </w:r>
      <w:r w:rsidR="00136B26">
        <w:rPr>
          <w:rFonts w:ascii="Palatino Linotype" w:hAnsi="Palatino Linotype"/>
        </w:rPr>
        <w:t>without merit</w:t>
      </w:r>
      <w:r w:rsidRPr="00A65AF0">
        <w:rPr>
          <w:rFonts w:ascii="Palatino Linotype" w:hAnsi="Palatino Linotype"/>
        </w:rPr>
        <w:t>. The amounts projected in the Application are necessarily estimates, because the Application dealt with prospective expend</w:t>
      </w:r>
      <w:r w:rsidRPr="00A65AF0">
        <w:rPr>
          <w:rFonts w:ascii="Palatino Linotype" w:hAnsi="Palatino Linotype"/>
        </w:rPr>
        <w:t>i</w:t>
      </w:r>
      <w:r w:rsidRPr="00A65AF0">
        <w:rPr>
          <w:rFonts w:ascii="Palatino Linotype" w:hAnsi="Palatino Linotype"/>
        </w:rPr>
        <w:t xml:space="preserve">tures. Detailed itemization of the amount spent will become available </w:t>
      </w:r>
      <w:r>
        <w:rPr>
          <w:rFonts w:ascii="Palatino Linotype" w:hAnsi="Palatino Linotype"/>
        </w:rPr>
        <w:t xml:space="preserve">only </w:t>
      </w:r>
      <w:r w:rsidRPr="00A65AF0">
        <w:rPr>
          <w:rFonts w:ascii="Palatino Linotype" w:hAnsi="Palatino Linotype"/>
        </w:rPr>
        <w:t>after the expenditures are completed. However, such detailed itemization of expend</w:t>
      </w:r>
      <w:r w:rsidRPr="00A65AF0">
        <w:rPr>
          <w:rFonts w:ascii="Palatino Linotype" w:hAnsi="Palatino Linotype"/>
        </w:rPr>
        <w:t>i</w:t>
      </w:r>
      <w:r w:rsidRPr="00A65AF0">
        <w:rPr>
          <w:rFonts w:ascii="Palatino Linotype" w:hAnsi="Palatino Linotype"/>
        </w:rPr>
        <w:t>tures – while appropriate for a rate case -- is not necessary for an Application filed under Rev. Code §</w:t>
      </w:r>
      <w:r>
        <w:rPr>
          <w:rFonts w:ascii="Palatino Linotype" w:hAnsi="Palatino Linotype"/>
        </w:rPr>
        <w:t xml:space="preserve"> </w:t>
      </w:r>
      <w:r w:rsidRPr="00A65AF0">
        <w:rPr>
          <w:rFonts w:ascii="Palatino Linotype" w:hAnsi="Palatino Linotype"/>
        </w:rPr>
        <w:t>4929.111.</w:t>
      </w:r>
    </w:p>
    <w:p w:rsidR="00A66E6D" w:rsidRDefault="00A66E6D" w:rsidP="00277C21">
      <w:pPr>
        <w:spacing w:line="320" w:lineRule="exact"/>
        <w:ind w:firstLine="720"/>
        <w:jc w:val="both"/>
        <w:rPr>
          <w:rFonts w:ascii="Palatino Linotype" w:hAnsi="Palatino Linotype"/>
        </w:rPr>
      </w:pPr>
    </w:p>
    <w:p w:rsidR="001D3CA5" w:rsidRDefault="006F6BAF" w:rsidP="00277C21">
      <w:pPr>
        <w:spacing w:line="320" w:lineRule="exact"/>
        <w:ind w:firstLine="720"/>
        <w:jc w:val="both"/>
        <w:rPr>
          <w:rFonts w:ascii="Palatino Linotype" w:hAnsi="Palatino Linotype"/>
        </w:rPr>
      </w:pPr>
      <w:r>
        <w:rPr>
          <w:rFonts w:ascii="Palatino Linotype" w:hAnsi="Palatino Linotype"/>
        </w:rPr>
        <w:t xml:space="preserve">As </w:t>
      </w:r>
      <w:r w:rsidR="001D3CA5" w:rsidRPr="001D3CA5">
        <w:rPr>
          <w:rFonts w:ascii="Palatino Linotype" w:hAnsi="Palatino Linotype"/>
        </w:rPr>
        <w:t xml:space="preserve">Columbia </w:t>
      </w:r>
      <w:r>
        <w:rPr>
          <w:rFonts w:ascii="Palatino Linotype" w:hAnsi="Palatino Linotype"/>
        </w:rPr>
        <w:t xml:space="preserve">emphasized in its </w:t>
      </w:r>
      <w:r w:rsidR="00A66E6D">
        <w:rPr>
          <w:rFonts w:ascii="Palatino Linotype" w:hAnsi="Palatino Linotype"/>
        </w:rPr>
        <w:t>A</w:t>
      </w:r>
      <w:r>
        <w:rPr>
          <w:rFonts w:ascii="Palatino Linotype" w:hAnsi="Palatino Linotype"/>
        </w:rPr>
        <w:t xml:space="preserve">pplication, </w:t>
      </w:r>
      <w:r w:rsidR="001D3CA5" w:rsidRPr="001D3CA5">
        <w:rPr>
          <w:rFonts w:ascii="Palatino Linotype" w:hAnsi="Palatino Linotype"/>
        </w:rPr>
        <w:t xml:space="preserve">Columbia is requesting only the accounting authority described above. Columbia is </w:t>
      </w:r>
      <w:r w:rsidR="001D3CA5" w:rsidRPr="006F6BAF">
        <w:rPr>
          <w:rFonts w:ascii="Palatino Linotype" w:hAnsi="Palatino Linotype"/>
          <w:i/>
        </w:rPr>
        <w:t>not</w:t>
      </w:r>
      <w:r w:rsidR="001D3CA5" w:rsidRPr="001D3CA5">
        <w:rPr>
          <w:rFonts w:ascii="Palatino Linotype" w:hAnsi="Palatino Linotype"/>
        </w:rPr>
        <w:t xml:space="preserve"> requesting recovery of any amounts deferred pursuant to approval of this Application</w:t>
      </w:r>
      <w:r w:rsidR="00A66E6D">
        <w:rPr>
          <w:rFonts w:ascii="Palatino Linotype" w:hAnsi="Palatino Linotype"/>
        </w:rPr>
        <w:t>.</w:t>
      </w:r>
      <w:r w:rsidR="001D3CA5" w:rsidRPr="001D3CA5">
        <w:rPr>
          <w:rFonts w:ascii="Palatino Linotype" w:hAnsi="Palatino Linotype"/>
        </w:rPr>
        <w:t xml:space="preserve"> </w:t>
      </w:r>
      <w:r w:rsidR="00A66E6D">
        <w:rPr>
          <w:rFonts w:ascii="Palatino Linotype" w:hAnsi="Palatino Linotype"/>
        </w:rPr>
        <w:t>Recovery of d</w:t>
      </w:r>
      <w:r w:rsidR="00A66E6D">
        <w:rPr>
          <w:rFonts w:ascii="Palatino Linotype" w:hAnsi="Palatino Linotype"/>
        </w:rPr>
        <w:t>e</w:t>
      </w:r>
      <w:r w:rsidR="00A66E6D">
        <w:rPr>
          <w:rFonts w:ascii="Palatino Linotype" w:hAnsi="Palatino Linotype"/>
        </w:rPr>
        <w:t xml:space="preserve">ferred amounts </w:t>
      </w:r>
      <w:r w:rsidR="001D3CA5" w:rsidRPr="001D3CA5">
        <w:rPr>
          <w:rFonts w:ascii="Palatino Linotype" w:hAnsi="Palatino Linotype"/>
        </w:rPr>
        <w:t>will be addressed in a separate proceeding</w:t>
      </w:r>
      <w:r w:rsidR="00A66E6D">
        <w:rPr>
          <w:rFonts w:ascii="Palatino Linotype" w:hAnsi="Palatino Linotype"/>
        </w:rPr>
        <w:t>, in which Staff and parties will have an opportunity to fully explore the reasonableness of recovery of any and all amounts deferred</w:t>
      </w:r>
      <w:r w:rsidR="001D3CA5" w:rsidRPr="001D3CA5">
        <w:rPr>
          <w:rFonts w:ascii="Palatino Linotype" w:hAnsi="Palatino Linotype"/>
        </w:rPr>
        <w:t xml:space="preserve">. </w:t>
      </w:r>
      <w:r w:rsidR="00A66E6D">
        <w:rPr>
          <w:rFonts w:ascii="Palatino Linotype" w:hAnsi="Palatino Linotype"/>
        </w:rPr>
        <w:t xml:space="preserve">The OCC </w:t>
      </w:r>
      <w:r w:rsidR="006B2D66">
        <w:rPr>
          <w:rFonts w:ascii="Palatino Linotype" w:hAnsi="Palatino Linotype"/>
        </w:rPr>
        <w:t xml:space="preserve">and OPAE </w:t>
      </w:r>
      <w:r w:rsidR="00A66E6D">
        <w:rPr>
          <w:rFonts w:ascii="Palatino Linotype" w:hAnsi="Palatino Linotype"/>
        </w:rPr>
        <w:t>apparently would like to scrutinize now the estimated spending levels in the capital expenditure program as if this were a rate case in which recovery of the spending levels is at issue. However, that is not the case. Here, Columbia is merely r</w:t>
      </w:r>
      <w:r w:rsidR="00A77D25">
        <w:rPr>
          <w:rFonts w:ascii="Palatino Linotype" w:hAnsi="Palatino Linotype"/>
        </w:rPr>
        <w:t>equesting accounting authority.</w:t>
      </w:r>
      <w:r w:rsidR="00F97AA6">
        <w:rPr>
          <w:rFonts w:ascii="Palatino Linotype" w:hAnsi="Palatino Linotype"/>
        </w:rPr>
        <w:t xml:space="preserve"> The detailed data for which the OCC </w:t>
      </w:r>
      <w:r w:rsidR="006B2D66">
        <w:rPr>
          <w:rFonts w:ascii="Palatino Linotype" w:hAnsi="Palatino Linotype"/>
        </w:rPr>
        <w:t xml:space="preserve">and OPAE </w:t>
      </w:r>
      <w:r w:rsidR="00F97AA6">
        <w:rPr>
          <w:rFonts w:ascii="Palatino Linotype" w:hAnsi="Palatino Linotype"/>
        </w:rPr>
        <w:t>yearn will be avail</w:t>
      </w:r>
      <w:r w:rsidR="00F97AA6">
        <w:rPr>
          <w:rFonts w:ascii="Palatino Linotype" w:hAnsi="Palatino Linotype"/>
        </w:rPr>
        <w:t>a</w:t>
      </w:r>
      <w:r w:rsidR="00F97AA6">
        <w:rPr>
          <w:rFonts w:ascii="Palatino Linotype" w:hAnsi="Palatino Linotype"/>
        </w:rPr>
        <w:t>ble at the time Columbia seeks recovery of the amounts deferred as part of the capital expenditure program.</w:t>
      </w:r>
    </w:p>
    <w:p w:rsidR="00A77D25" w:rsidRDefault="00A77D25" w:rsidP="00277C21">
      <w:pPr>
        <w:spacing w:line="320" w:lineRule="exact"/>
        <w:ind w:firstLine="720"/>
        <w:jc w:val="both"/>
        <w:rPr>
          <w:rFonts w:ascii="Palatino Linotype" w:hAnsi="Palatino Linotype"/>
        </w:rPr>
      </w:pPr>
    </w:p>
    <w:p w:rsidR="00A77D25" w:rsidRPr="001D3CA5" w:rsidRDefault="00A77D25" w:rsidP="00277C21">
      <w:pPr>
        <w:spacing w:line="320" w:lineRule="exact"/>
        <w:ind w:firstLine="720"/>
        <w:jc w:val="both"/>
        <w:rPr>
          <w:rFonts w:ascii="Palatino Linotype" w:hAnsi="Palatino Linotype"/>
        </w:rPr>
      </w:pPr>
      <w:r>
        <w:rPr>
          <w:rFonts w:ascii="Palatino Linotype" w:hAnsi="Palatino Linotype"/>
        </w:rPr>
        <w:t>Columbia has provided sufficient information about the types of expend</w:t>
      </w:r>
      <w:r>
        <w:rPr>
          <w:rFonts w:ascii="Palatino Linotype" w:hAnsi="Palatino Linotype"/>
        </w:rPr>
        <w:t>i</w:t>
      </w:r>
      <w:r>
        <w:rPr>
          <w:rFonts w:ascii="Palatino Linotype" w:hAnsi="Palatino Linotype"/>
        </w:rPr>
        <w:t>tures included within its capital expenditure program, and about the proposed magnitude of those expenditures. Because this is not a rate case</w:t>
      </w:r>
      <w:r w:rsidR="00F97AA6">
        <w:rPr>
          <w:rFonts w:ascii="Palatino Linotype" w:hAnsi="Palatino Linotype"/>
        </w:rPr>
        <w:t>, IRP Rider A</w:t>
      </w:r>
      <w:r w:rsidR="00F97AA6">
        <w:rPr>
          <w:rFonts w:ascii="Palatino Linotype" w:hAnsi="Palatino Linotype"/>
        </w:rPr>
        <w:t>d</w:t>
      </w:r>
      <w:r w:rsidR="00F97AA6">
        <w:rPr>
          <w:rFonts w:ascii="Palatino Linotype" w:hAnsi="Palatino Linotype"/>
        </w:rPr>
        <w:lastRenderedPageBreak/>
        <w:t>justment case,</w:t>
      </w:r>
      <w:r>
        <w:rPr>
          <w:rFonts w:ascii="Palatino Linotype" w:hAnsi="Palatino Linotype"/>
        </w:rPr>
        <w:t xml:space="preserve"> or other proceeding in which actual recovery of expenditures is at issue, the Commission should find that Columbia has satisfied its burden of proof.</w:t>
      </w:r>
    </w:p>
    <w:p w:rsidR="001D3CA5" w:rsidRPr="001D3CA5" w:rsidRDefault="001D3CA5" w:rsidP="001D3CA5">
      <w:pPr>
        <w:spacing w:line="320" w:lineRule="exact"/>
        <w:jc w:val="both"/>
        <w:rPr>
          <w:rFonts w:ascii="Palatino Linotype" w:hAnsi="Palatino Linotype"/>
        </w:rPr>
      </w:pPr>
    </w:p>
    <w:p w:rsidR="001D3CA5" w:rsidRPr="003853E0" w:rsidRDefault="003853E0" w:rsidP="001D3CA5">
      <w:pPr>
        <w:spacing w:line="320" w:lineRule="exact"/>
        <w:jc w:val="both"/>
        <w:rPr>
          <w:rFonts w:ascii="Palatino Linotype" w:hAnsi="Palatino Linotype"/>
          <w:b/>
        </w:rPr>
      </w:pPr>
      <w:r>
        <w:rPr>
          <w:rFonts w:ascii="Palatino Linotype" w:hAnsi="Palatino Linotype"/>
        </w:rPr>
        <w:tab/>
      </w:r>
      <w:r w:rsidRPr="003853E0">
        <w:rPr>
          <w:rFonts w:ascii="Palatino Linotype" w:hAnsi="Palatino Linotype"/>
          <w:b/>
        </w:rPr>
        <w:t xml:space="preserve">PISCC Should Be Applied </w:t>
      </w:r>
      <w:r>
        <w:rPr>
          <w:rFonts w:ascii="Palatino Linotype" w:hAnsi="Palatino Linotype"/>
          <w:b/>
        </w:rPr>
        <w:t>T</w:t>
      </w:r>
      <w:r w:rsidRPr="003853E0">
        <w:rPr>
          <w:rFonts w:ascii="Palatino Linotype" w:hAnsi="Palatino Linotype"/>
          <w:b/>
        </w:rPr>
        <w:t>o Gross Plant Balances</w:t>
      </w:r>
    </w:p>
    <w:p w:rsidR="003853E0" w:rsidRPr="001D3CA5" w:rsidRDefault="003853E0" w:rsidP="001D3CA5">
      <w:pPr>
        <w:spacing w:line="320" w:lineRule="exact"/>
        <w:jc w:val="both"/>
        <w:rPr>
          <w:rFonts w:ascii="Palatino Linotype" w:hAnsi="Palatino Linotype"/>
        </w:rPr>
      </w:pPr>
    </w:p>
    <w:p w:rsidR="003853E0" w:rsidRDefault="003853E0" w:rsidP="001D3CA5">
      <w:pPr>
        <w:spacing w:line="320" w:lineRule="exact"/>
        <w:jc w:val="both"/>
        <w:rPr>
          <w:rFonts w:ascii="Palatino Linotype" w:hAnsi="Palatino Linotype"/>
        </w:rPr>
      </w:pPr>
      <w:r>
        <w:rPr>
          <w:rFonts w:ascii="Palatino Linotype" w:hAnsi="Palatino Linotype"/>
        </w:rPr>
        <w:tab/>
        <w:t xml:space="preserve">The OCC argues that PISCC should </w:t>
      </w:r>
      <w:r w:rsidR="00283222">
        <w:rPr>
          <w:rFonts w:ascii="Palatino Linotype" w:hAnsi="Palatino Linotype"/>
        </w:rPr>
        <w:t>not be applied to gross plant balances, but should instead be applied to plant balances net of retirements and accum</w:t>
      </w:r>
      <w:r w:rsidR="00283222">
        <w:rPr>
          <w:rFonts w:ascii="Palatino Linotype" w:hAnsi="Palatino Linotype"/>
        </w:rPr>
        <w:t>u</w:t>
      </w:r>
      <w:r w:rsidR="00283222">
        <w:rPr>
          <w:rFonts w:ascii="Palatino Linotype" w:hAnsi="Palatino Linotype"/>
        </w:rPr>
        <w:t>lated depreciation.</w:t>
      </w:r>
      <w:r w:rsidR="00283222">
        <w:rPr>
          <w:rStyle w:val="FootnoteReference"/>
          <w:rFonts w:ascii="Palatino Linotype" w:hAnsi="Palatino Linotype"/>
        </w:rPr>
        <w:footnoteReference w:id="13"/>
      </w:r>
      <w:r w:rsidR="009E5CF6">
        <w:rPr>
          <w:rFonts w:ascii="Palatino Linotype" w:hAnsi="Palatino Linotype"/>
        </w:rPr>
        <w:t xml:space="preserve"> OCC’s rationale for this argument is that deferred property taxes are calculated net of retirements so PISCC on plant balances should be ca</w:t>
      </w:r>
      <w:r w:rsidR="009E5CF6">
        <w:rPr>
          <w:rFonts w:ascii="Palatino Linotype" w:hAnsi="Palatino Linotype"/>
        </w:rPr>
        <w:t>l</w:t>
      </w:r>
      <w:r w:rsidR="009E5CF6">
        <w:rPr>
          <w:rFonts w:ascii="Palatino Linotype" w:hAnsi="Palatino Linotype"/>
        </w:rPr>
        <w:t>culated on a net basis as well in order to avoid over-recovery.</w:t>
      </w:r>
    </w:p>
    <w:p w:rsidR="009E5CF6" w:rsidRDefault="009E5CF6" w:rsidP="001D3CA5">
      <w:pPr>
        <w:spacing w:line="320" w:lineRule="exact"/>
        <w:jc w:val="both"/>
        <w:rPr>
          <w:rFonts w:ascii="Palatino Linotype" w:hAnsi="Palatino Linotype"/>
        </w:rPr>
      </w:pPr>
    </w:p>
    <w:p w:rsidR="009E5CF6" w:rsidRPr="003853E0" w:rsidRDefault="009E5CF6" w:rsidP="001D3CA5">
      <w:pPr>
        <w:spacing w:line="320" w:lineRule="exact"/>
        <w:jc w:val="both"/>
        <w:rPr>
          <w:rFonts w:ascii="Palatino Linotype" w:hAnsi="Palatino Linotype"/>
        </w:rPr>
      </w:pPr>
      <w:r>
        <w:rPr>
          <w:rFonts w:ascii="Palatino Linotype" w:hAnsi="Palatino Linotype"/>
        </w:rPr>
        <w:tab/>
      </w:r>
      <w:r w:rsidR="00586B43">
        <w:rPr>
          <w:rFonts w:ascii="Palatino Linotype" w:hAnsi="Palatino Linotype"/>
        </w:rPr>
        <w:t xml:space="preserve">The </w:t>
      </w:r>
      <w:r>
        <w:rPr>
          <w:rFonts w:ascii="Palatino Linotype" w:hAnsi="Palatino Linotype"/>
        </w:rPr>
        <w:t>OCC is correct in noting that property taxes are calculated net of r</w:t>
      </w:r>
      <w:r>
        <w:rPr>
          <w:rFonts w:ascii="Palatino Linotype" w:hAnsi="Palatino Linotype"/>
        </w:rPr>
        <w:t>e</w:t>
      </w:r>
      <w:r>
        <w:rPr>
          <w:rFonts w:ascii="Palatino Linotype" w:hAnsi="Palatino Linotype"/>
        </w:rPr>
        <w:t>tirements</w:t>
      </w:r>
      <w:r w:rsidR="00586B43">
        <w:rPr>
          <w:rFonts w:ascii="Palatino Linotype" w:hAnsi="Palatino Linotype"/>
        </w:rPr>
        <w:t xml:space="preserve">. </w:t>
      </w:r>
      <w:r w:rsidR="00586B43" w:rsidRPr="00586B43">
        <w:rPr>
          <w:rFonts w:ascii="Palatino Linotype" w:hAnsi="Palatino Linotype"/>
        </w:rPr>
        <w:t>The determination of deferred property taxes net of retirements is co</w:t>
      </w:r>
      <w:r w:rsidR="00586B43" w:rsidRPr="00586B43">
        <w:rPr>
          <w:rFonts w:ascii="Palatino Linotype" w:hAnsi="Palatino Linotype"/>
        </w:rPr>
        <w:t>r</w:t>
      </w:r>
      <w:r w:rsidR="00586B43" w:rsidRPr="00586B43">
        <w:rPr>
          <w:rFonts w:ascii="Palatino Linotype" w:hAnsi="Palatino Linotype"/>
        </w:rPr>
        <w:t xml:space="preserve">rect because property taxes are calculated net of retirements. </w:t>
      </w:r>
      <w:r w:rsidR="00586B43">
        <w:rPr>
          <w:rFonts w:ascii="Palatino Linotype" w:hAnsi="Palatino Linotype"/>
        </w:rPr>
        <w:t>However, d</w:t>
      </w:r>
      <w:r w:rsidR="00586B43" w:rsidRPr="00586B43">
        <w:rPr>
          <w:rFonts w:ascii="Palatino Linotype" w:hAnsi="Palatino Linotype"/>
        </w:rPr>
        <w:t>eferred property taxes are not calculated net of depreciation</w:t>
      </w:r>
      <w:r w:rsidR="00586B43">
        <w:rPr>
          <w:rFonts w:ascii="Palatino Linotype" w:hAnsi="Palatino Linotype"/>
        </w:rPr>
        <w:t>. Just because deferred pro</w:t>
      </w:r>
      <w:r w:rsidR="00586B43">
        <w:rPr>
          <w:rFonts w:ascii="Palatino Linotype" w:hAnsi="Palatino Linotype"/>
        </w:rPr>
        <w:t>p</w:t>
      </w:r>
      <w:r w:rsidR="00586B43">
        <w:rPr>
          <w:rFonts w:ascii="Palatino Linotype" w:hAnsi="Palatino Linotype"/>
        </w:rPr>
        <w:t>erty taxes are calculated net of retirements</w:t>
      </w:r>
      <w:r>
        <w:rPr>
          <w:rFonts w:ascii="Palatino Linotype" w:hAnsi="Palatino Linotype"/>
        </w:rPr>
        <w:t>, it does not logically flow that PISCC on plant balances should be calculated net of retirements and accumulated d</w:t>
      </w:r>
      <w:r>
        <w:rPr>
          <w:rFonts w:ascii="Palatino Linotype" w:hAnsi="Palatino Linotype"/>
        </w:rPr>
        <w:t>e</w:t>
      </w:r>
      <w:r>
        <w:rPr>
          <w:rFonts w:ascii="Palatino Linotype" w:hAnsi="Palatino Linotype"/>
        </w:rPr>
        <w:t>preciation.</w:t>
      </w:r>
    </w:p>
    <w:p w:rsidR="003853E0" w:rsidRDefault="003853E0" w:rsidP="001D3CA5">
      <w:pPr>
        <w:spacing w:line="320" w:lineRule="exact"/>
        <w:jc w:val="both"/>
        <w:rPr>
          <w:rFonts w:ascii="Palatino Linotype" w:hAnsi="Palatino Linotype"/>
          <w:b/>
        </w:rPr>
      </w:pPr>
    </w:p>
    <w:p w:rsidR="00586B43" w:rsidRDefault="00586B43" w:rsidP="00586B43">
      <w:pPr>
        <w:spacing w:line="320" w:lineRule="exact"/>
        <w:ind w:firstLine="720"/>
        <w:jc w:val="both"/>
        <w:rPr>
          <w:rFonts w:ascii="Palatino Linotype" w:hAnsi="Palatino Linotype"/>
        </w:rPr>
      </w:pPr>
      <w:r w:rsidRPr="00586B43">
        <w:rPr>
          <w:rFonts w:ascii="Palatino Linotype" w:hAnsi="Palatino Linotype"/>
        </w:rPr>
        <w:t xml:space="preserve">OCC’s logic </w:t>
      </w:r>
      <w:r>
        <w:rPr>
          <w:rFonts w:ascii="Palatino Linotype" w:hAnsi="Palatino Linotype"/>
        </w:rPr>
        <w:t xml:space="preserve">assumes that </w:t>
      </w:r>
      <w:r w:rsidRPr="00586B43">
        <w:rPr>
          <w:rFonts w:ascii="Palatino Linotype" w:hAnsi="Palatino Linotype"/>
        </w:rPr>
        <w:t xml:space="preserve">cash is generated </w:t>
      </w:r>
      <w:r>
        <w:rPr>
          <w:rFonts w:ascii="Palatino Linotype" w:hAnsi="Palatino Linotype"/>
        </w:rPr>
        <w:t>by</w:t>
      </w:r>
      <w:r w:rsidRPr="00586B43">
        <w:rPr>
          <w:rFonts w:ascii="Palatino Linotype" w:hAnsi="Palatino Linotype"/>
        </w:rPr>
        <w:t xml:space="preserve"> defer</w:t>
      </w:r>
      <w:r>
        <w:rPr>
          <w:rFonts w:ascii="Palatino Linotype" w:hAnsi="Palatino Linotype"/>
        </w:rPr>
        <w:t>rals. However, the d</w:t>
      </w:r>
      <w:r>
        <w:rPr>
          <w:rFonts w:ascii="Palatino Linotype" w:hAnsi="Palatino Linotype"/>
        </w:rPr>
        <w:t>e</w:t>
      </w:r>
      <w:r>
        <w:rPr>
          <w:rFonts w:ascii="Palatino Linotype" w:hAnsi="Palatino Linotype"/>
        </w:rPr>
        <w:t>ferral is only an accounting entry that generates no cash. R</w:t>
      </w:r>
      <w:r w:rsidRPr="00586B43">
        <w:rPr>
          <w:rFonts w:ascii="Palatino Linotype" w:hAnsi="Palatino Linotype"/>
        </w:rPr>
        <w:t xml:space="preserve">ecovery and </w:t>
      </w:r>
      <w:r>
        <w:rPr>
          <w:rFonts w:ascii="Palatino Linotype" w:hAnsi="Palatino Linotype"/>
        </w:rPr>
        <w:t>r</w:t>
      </w:r>
      <w:r w:rsidRPr="00586B43">
        <w:rPr>
          <w:rFonts w:ascii="Palatino Linotype" w:hAnsi="Palatino Linotype"/>
        </w:rPr>
        <w:t xml:space="preserve">eturn on capital expenditures </w:t>
      </w:r>
      <w:r>
        <w:rPr>
          <w:rFonts w:ascii="Palatino Linotype" w:hAnsi="Palatino Linotype"/>
        </w:rPr>
        <w:t xml:space="preserve">–i.e., cash – </w:t>
      </w:r>
      <w:r w:rsidRPr="00586B43">
        <w:rPr>
          <w:rFonts w:ascii="Palatino Linotype" w:hAnsi="Palatino Linotype"/>
        </w:rPr>
        <w:t xml:space="preserve">only occurs at the time </w:t>
      </w:r>
      <w:r>
        <w:rPr>
          <w:rFonts w:ascii="Palatino Linotype" w:hAnsi="Palatino Linotype"/>
        </w:rPr>
        <w:t>the deferrals are subs</w:t>
      </w:r>
      <w:r>
        <w:rPr>
          <w:rFonts w:ascii="Palatino Linotype" w:hAnsi="Palatino Linotype"/>
        </w:rPr>
        <w:t>e</w:t>
      </w:r>
      <w:r>
        <w:rPr>
          <w:rFonts w:ascii="Palatino Linotype" w:hAnsi="Palatino Linotype"/>
        </w:rPr>
        <w:t>quently collected in rates.</w:t>
      </w:r>
      <w:r w:rsidRPr="00586B43">
        <w:rPr>
          <w:rFonts w:ascii="Palatino Linotype" w:hAnsi="Palatino Linotype"/>
        </w:rPr>
        <w:t xml:space="preserve"> Therefore</w:t>
      </w:r>
      <w:r>
        <w:rPr>
          <w:rFonts w:ascii="Palatino Linotype" w:hAnsi="Palatino Linotype"/>
        </w:rPr>
        <w:t>,</w:t>
      </w:r>
      <w:r w:rsidRPr="00586B43">
        <w:rPr>
          <w:rFonts w:ascii="Palatino Linotype" w:hAnsi="Palatino Linotype"/>
        </w:rPr>
        <w:t xml:space="preserve"> the proper basis for calculation of PISCC is on gross plant additions</w:t>
      </w:r>
      <w:r>
        <w:rPr>
          <w:rFonts w:ascii="Palatino Linotype" w:hAnsi="Palatino Linotype"/>
        </w:rPr>
        <w:t xml:space="preserve">. This is </w:t>
      </w:r>
      <w:r w:rsidRPr="00586B43">
        <w:rPr>
          <w:rFonts w:ascii="Palatino Linotype" w:hAnsi="Palatino Linotype"/>
        </w:rPr>
        <w:t xml:space="preserve">consistent with the treatment </w:t>
      </w:r>
      <w:r>
        <w:rPr>
          <w:rFonts w:ascii="Palatino Linotype" w:hAnsi="Palatino Linotype"/>
        </w:rPr>
        <w:t xml:space="preserve">of PISCC </w:t>
      </w:r>
      <w:r w:rsidRPr="00586B43">
        <w:rPr>
          <w:rFonts w:ascii="Palatino Linotype" w:hAnsi="Palatino Linotype"/>
        </w:rPr>
        <w:t>in C</w:t>
      </w:r>
      <w:r w:rsidRPr="00586B43">
        <w:rPr>
          <w:rFonts w:ascii="Palatino Linotype" w:hAnsi="Palatino Linotype"/>
        </w:rPr>
        <w:t>o</w:t>
      </w:r>
      <w:r w:rsidRPr="00586B43">
        <w:rPr>
          <w:rFonts w:ascii="Palatino Linotype" w:hAnsi="Palatino Linotype"/>
        </w:rPr>
        <w:t>lumbia’s IRP cas</w:t>
      </w:r>
      <w:r>
        <w:rPr>
          <w:rFonts w:ascii="Palatino Linotype" w:hAnsi="Palatino Linotype"/>
        </w:rPr>
        <w:t>es.</w:t>
      </w:r>
    </w:p>
    <w:p w:rsidR="00586B43" w:rsidRDefault="00586B43" w:rsidP="00586B43">
      <w:pPr>
        <w:spacing w:line="320" w:lineRule="exact"/>
        <w:ind w:firstLine="720"/>
        <w:jc w:val="both"/>
        <w:rPr>
          <w:rFonts w:ascii="Palatino Linotype" w:hAnsi="Palatino Linotype"/>
        </w:rPr>
      </w:pPr>
    </w:p>
    <w:p w:rsidR="00953415" w:rsidRPr="00586B43" w:rsidRDefault="00586B43" w:rsidP="00953415">
      <w:pPr>
        <w:spacing w:line="320" w:lineRule="exact"/>
        <w:ind w:firstLine="720"/>
        <w:jc w:val="both"/>
        <w:rPr>
          <w:rFonts w:ascii="Palatino Linotype" w:hAnsi="Palatino Linotype"/>
        </w:rPr>
      </w:pPr>
      <w:r>
        <w:rPr>
          <w:rFonts w:ascii="Palatino Linotype" w:hAnsi="Palatino Linotype"/>
        </w:rPr>
        <w:t>In support of its argument the OCC also cites Cincinnati Gas &amp; Electric’s first AMRP case</w:t>
      </w:r>
      <w:r w:rsidR="00953415">
        <w:rPr>
          <w:rFonts w:ascii="Palatino Linotype" w:hAnsi="Palatino Linotype"/>
        </w:rPr>
        <w:t>, specifically page 8 of the stipulation filed and approved in that case</w:t>
      </w:r>
      <w:r>
        <w:rPr>
          <w:rFonts w:ascii="Palatino Linotype" w:hAnsi="Palatino Linotype"/>
        </w:rPr>
        <w:t>.</w:t>
      </w:r>
      <w:r w:rsidR="00411A54">
        <w:rPr>
          <w:rStyle w:val="FootnoteReference"/>
          <w:rFonts w:ascii="Palatino Linotype" w:hAnsi="Palatino Linotype"/>
        </w:rPr>
        <w:footnoteReference w:id="14"/>
      </w:r>
      <w:r w:rsidR="00953415">
        <w:rPr>
          <w:rFonts w:ascii="Palatino Linotype" w:hAnsi="Palatino Linotype"/>
        </w:rPr>
        <w:t xml:space="preserve"> However, the OCC failed to note the parties to that case agreed that the stipulation was not to be cited as a precedent in any other proceeding.</w:t>
      </w:r>
      <w:r w:rsidR="00953415">
        <w:rPr>
          <w:rStyle w:val="FootnoteReference"/>
          <w:rFonts w:ascii="Palatino Linotype" w:hAnsi="Palatino Linotype"/>
        </w:rPr>
        <w:footnoteReference w:id="15"/>
      </w:r>
      <w:r w:rsidR="00953415">
        <w:rPr>
          <w:rFonts w:ascii="Palatino Linotype" w:hAnsi="Palatino Linotype"/>
        </w:rPr>
        <w:t xml:space="preserve"> Thus, what the parties in that case agreed to for purposes of settlement is not determ</w:t>
      </w:r>
      <w:r w:rsidR="00953415">
        <w:rPr>
          <w:rFonts w:ascii="Palatino Linotype" w:hAnsi="Palatino Linotype"/>
        </w:rPr>
        <w:t>i</w:t>
      </w:r>
      <w:r w:rsidR="00953415">
        <w:rPr>
          <w:rFonts w:ascii="Palatino Linotype" w:hAnsi="Palatino Linotype"/>
        </w:rPr>
        <w:t>native of how issues should be decided in other cases.</w:t>
      </w:r>
    </w:p>
    <w:p w:rsidR="001D3CA5" w:rsidRPr="001D3CA5" w:rsidRDefault="001D3CA5" w:rsidP="001D3CA5">
      <w:pPr>
        <w:spacing w:line="320" w:lineRule="exact"/>
        <w:jc w:val="both"/>
        <w:rPr>
          <w:rFonts w:ascii="Palatino Linotype" w:hAnsi="Palatino Linotype"/>
        </w:rPr>
      </w:pPr>
    </w:p>
    <w:p w:rsidR="00B04B16" w:rsidRDefault="00B04B16" w:rsidP="001D3CA5">
      <w:pPr>
        <w:spacing w:line="320" w:lineRule="exact"/>
        <w:jc w:val="both"/>
        <w:rPr>
          <w:rFonts w:ascii="Palatino Linotype" w:hAnsi="Palatino Linotype"/>
          <w:b/>
        </w:rPr>
      </w:pPr>
      <w:r>
        <w:rPr>
          <w:rFonts w:ascii="Palatino Linotype" w:hAnsi="Palatino Linotype"/>
          <w:b/>
        </w:rPr>
        <w:tab/>
        <w:t>There Is No Double Recovery of Expenditures</w:t>
      </w:r>
    </w:p>
    <w:p w:rsidR="00B04B16" w:rsidRDefault="00B04B16" w:rsidP="001D3CA5">
      <w:pPr>
        <w:spacing w:line="320" w:lineRule="exact"/>
        <w:jc w:val="both"/>
        <w:rPr>
          <w:rFonts w:ascii="Palatino Linotype" w:hAnsi="Palatino Linotype"/>
          <w:b/>
        </w:rPr>
      </w:pPr>
    </w:p>
    <w:p w:rsidR="00DB0138" w:rsidRDefault="00423FC5" w:rsidP="00423FC5">
      <w:pPr>
        <w:spacing w:line="320" w:lineRule="exact"/>
        <w:ind w:firstLine="720"/>
        <w:jc w:val="both"/>
        <w:rPr>
          <w:rFonts w:ascii="Palatino Linotype" w:hAnsi="Palatino Linotype"/>
        </w:rPr>
      </w:pPr>
      <w:r>
        <w:rPr>
          <w:rFonts w:ascii="Palatino Linotype" w:hAnsi="Palatino Linotype"/>
        </w:rPr>
        <w:t xml:space="preserve">The </w:t>
      </w:r>
      <w:r w:rsidR="001D3CA5" w:rsidRPr="00423FC5">
        <w:rPr>
          <w:rFonts w:ascii="Palatino Linotype" w:hAnsi="Palatino Linotype"/>
        </w:rPr>
        <w:t>OCC Comments</w:t>
      </w:r>
      <w:r>
        <w:rPr>
          <w:rFonts w:ascii="Palatino Linotype" w:hAnsi="Palatino Linotype"/>
        </w:rPr>
        <w:t xml:space="preserve"> express concern about the potential for double r</w:t>
      </w:r>
      <w:r>
        <w:rPr>
          <w:rFonts w:ascii="Palatino Linotype" w:hAnsi="Palatino Linotype"/>
        </w:rPr>
        <w:t>e</w:t>
      </w:r>
      <w:r>
        <w:rPr>
          <w:rFonts w:ascii="Palatino Linotype" w:hAnsi="Palatino Linotype"/>
        </w:rPr>
        <w:t>covery of expenditures.</w:t>
      </w:r>
      <w:r>
        <w:rPr>
          <w:rStyle w:val="FootnoteReference"/>
          <w:rFonts w:ascii="Palatino Linotype" w:hAnsi="Palatino Linotype"/>
        </w:rPr>
        <w:footnoteReference w:id="16"/>
      </w:r>
      <w:r w:rsidR="001D3CA5" w:rsidRPr="00423FC5">
        <w:rPr>
          <w:rFonts w:ascii="Palatino Linotype" w:hAnsi="Palatino Linotype"/>
        </w:rPr>
        <w:t xml:space="preserve"> </w:t>
      </w:r>
      <w:r w:rsidR="00DB0138">
        <w:rPr>
          <w:rFonts w:ascii="Palatino Linotype" w:hAnsi="Palatino Linotype"/>
        </w:rPr>
        <w:t xml:space="preserve">Again, the </w:t>
      </w:r>
      <w:r w:rsidR="001D3CA5" w:rsidRPr="00423FC5">
        <w:rPr>
          <w:rFonts w:ascii="Palatino Linotype" w:hAnsi="Palatino Linotype"/>
        </w:rPr>
        <w:t xml:space="preserve">OCC </w:t>
      </w:r>
      <w:r w:rsidR="00DB0138">
        <w:rPr>
          <w:rFonts w:ascii="Palatino Linotype" w:hAnsi="Palatino Linotype"/>
        </w:rPr>
        <w:t>is confusing accounting authority with cost recovery. The Application in this docket requests only accounting authority, not cost recovery. Obviously, there can be no double recovery in this docket, and to the extent such potential for double recovery did exist, that would be an issue for a subsequent proceeding. Nonetheless, the OCC’s concerns about the overlap between the capital expenditure program and other programs are misplaced.</w:t>
      </w:r>
    </w:p>
    <w:p w:rsidR="00DB0138" w:rsidRDefault="00DB0138" w:rsidP="00423FC5">
      <w:pPr>
        <w:spacing w:line="320" w:lineRule="exact"/>
        <w:ind w:firstLine="720"/>
        <w:jc w:val="both"/>
        <w:rPr>
          <w:rFonts w:ascii="Palatino Linotype" w:hAnsi="Palatino Linotype"/>
        </w:rPr>
      </w:pPr>
    </w:p>
    <w:p w:rsidR="001D3CA5" w:rsidRPr="001D3CA5" w:rsidRDefault="00D707CE" w:rsidP="00BA4446">
      <w:pPr>
        <w:spacing w:line="320" w:lineRule="exact"/>
        <w:ind w:firstLine="720"/>
        <w:jc w:val="both"/>
        <w:rPr>
          <w:rFonts w:ascii="Palatino Linotype" w:hAnsi="Palatino Linotype"/>
        </w:rPr>
      </w:pPr>
      <w:r>
        <w:rPr>
          <w:rFonts w:ascii="Palatino Linotype" w:hAnsi="Palatino Linotype"/>
        </w:rPr>
        <w:t xml:space="preserve">OCC notes that </w:t>
      </w:r>
      <w:r w:rsidR="00BA4446">
        <w:rPr>
          <w:rFonts w:ascii="Palatino Linotype" w:hAnsi="Palatino Linotype"/>
        </w:rPr>
        <w:t>several categories of plant included in Columbia’s capital expenditure program might also fall under other programs such as Columbia’s IRP program or environmental remediation program, and the expenditures r</w:t>
      </w:r>
      <w:r w:rsidR="00BA4446">
        <w:rPr>
          <w:rFonts w:ascii="Palatino Linotype" w:hAnsi="Palatino Linotype"/>
        </w:rPr>
        <w:t>e</w:t>
      </w:r>
      <w:r w:rsidR="00BA4446">
        <w:rPr>
          <w:rFonts w:ascii="Palatino Linotype" w:hAnsi="Palatino Linotype"/>
        </w:rPr>
        <w:t>lated to such plant might be double recovered. The OCC suggests that the Co</w:t>
      </w:r>
      <w:r w:rsidR="00BA4446">
        <w:rPr>
          <w:rFonts w:ascii="Palatino Linotype" w:hAnsi="Palatino Linotype"/>
        </w:rPr>
        <w:t>m</w:t>
      </w:r>
      <w:r w:rsidR="00BA4446">
        <w:rPr>
          <w:rFonts w:ascii="Palatino Linotype" w:hAnsi="Palatino Linotype"/>
        </w:rPr>
        <w:t>mission should ensure that there is an accounting mechanism in place to separate the capital expenditure program plant balances from plant balances in other pr</w:t>
      </w:r>
      <w:r w:rsidR="00BA4446">
        <w:rPr>
          <w:rFonts w:ascii="Palatino Linotype" w:hAnsi="Palatino Linotype"/>
        </w:rPr>
        <w:t>o</w:t>
      </w:r>
      <w:r w:rsidR="00BA4446">
        <w:rPr>
          <w:rFonts w:ascii="Palatino Linotype" w:hAnsi="Palatino Linotype"/>
        </w:rPr>
        <w:t>grams.</w:t>
      </w:r>
      <w:r w:rsidR="00BA4446">
        <w:rPr>
          <w:rStyle w:val="FootnoteReference"/>
          <w:rFonts w:ascii="Palatino Linotype" w:hAnsi="Palatino Linotype"/>
        </w:rPr>
        <w:footnoteReference w:id="17"/>
      </w:r>
    </w:p>
    <w:p w:rsidR="001D3CA5" w:rsidRPr="001D3CA5" w:rsidRDefault="001D3CA5" w:rsidP="001D3CA5">
      <w:pPr>
        <w:spacing w:line="320" w:lineRule="exact"/>
        <w:jc w:val="both"/>
        <w:rPr>
          <w:rFonts w:ascii="Palatino Linotype" w:hAnsi="Palatino Linotype"/>
        </w:rPr>
      </w:pPr>
    </w:p>
    <w:p w:rsidR="009F5C1B" w:rsidRDefault="009F5C1B" w:rsidP="001D3CA5">
      <w:pPr>
        <w:spacing w:line="320" w:lineRule="exact"/>
        <w:jc w:val="both"/>
        <w:rPr>
          <w:rFonts w:ascii="Palatino Linotype" w:hAnsi="Palatino Linotype"/>
        </w:rPr>
      </w:pPr>
      <w:r>
        <w:rPr>
          <w:rFonts w:ascii="Palatino Linotype" w:hAnsi="Palatino Linotype"/>
        </w:rPr>
        <w:tab/>
        <w:t>Columbia already has in place accounting mechanisms to separate IRP expenditures from other expenditures such as those associated with the capital expenditure program. Similarly, Columbia has accounting mechanisms to ensure that environmental remediation expenditures are properly classified. For exa</w:t>
      </w:r>
      <w:r>
        <w:rPr>
          <w:rFonts w:ascii="Palatino Linotype" w:hAnsi="Palatino Linotype"/>
        </w:rPr>
        <w:t>m</w:t>
      </w:r>
      <w:r>
        <w:rPr>
          <w:rFonts w:ascii="Palatino Linotype" w:hAnsi="Palatino Linotype"/>
        </w:rPr>
        <w:t xml:space="preserve">ple, </w:t>
      </w:r>
      <w:r w:rsidR="001D3CA5" w:rsidRPr="001D3CA5">
        <w:rPr>
          <w:rFonts w:ascii="Palatino Linotype" w:hAnsi="Palatino Linotype"/>
        </w:rPr>
        <w:t xml:space="preserve">OCC </w:t>
      </w:r>
      <w:r>
        <w:rPr>
          <w:rFonts w:ascii="Palatino Linotype" w:hAnsi="Palatino Linotype"/>
        </w:rPr>
        <w:t xml:space="preserve">apparently </w:t>
      </w:r>
      <w:r w:rsidR="001D3CA5" w:rsidRPr="001D3CA5">
        <w:rPr>
          <w:rFonts w:ascii="Palatino Linotype" w:hAnsi="Palatino Linotype"/>
        </w:rPr>
        <w:t xml:space="preserve">fails to </w:t>
      </w:r>
      <w:r>
        <w:rPr>
          <w:rFonts w:ascii="Palatino Linotype" w:hAnsi="Palatino Linotype"/>
        </w:rPr>
        <w:t xml:space="preserve">appreciate that </w:t>
      </w:r>
      <w:r w:rsidR="001D3CA5" w:rsidRPr="001D3CA5">
        <w:rPr>
          <w:rFonts w:ascii="Palatino Linotype" w:hAnsi="Palatino Linotype"/>
        </w:rPr>
        <w:t xml:space="preserve">the appropriate vehicle for recovery of environmental remediation costs is dependent upon whether the costs </w:t>
      </w:r>
      <w:r>
        <w:rPr>
          <w:rFonts w:ascii="Palatino Linotype" w:hAnsi="Palatino Linotype"/>
        </w:rPr>
        <w:t xml:space="preserve">are </w:t>
      </w:r>
      <w:r w:rsidR="001D3CA5" w:rsidRPr="001D3CA5">
        <w:rPr>
          <w:rFonts w:ascii="Palatino Linotype" w:hAnsi="Palatino Linotype"/>
        </w:rPr>
        <w:t>r</w:t>
      </w:r>
      <w:r w:rsidR="001D3CA5" w:rsidRPr="001D3CA5">
        <w:rPr>
          <w:rFonts w:ascii="Palatino Linotype" w:hAnsi="Palatino Linotype"/>
        </w:rPr>
        <w:t>e</w:t>
      </w:r>
      <w:r w:rsidR="001D3CA5" w:rsidRPr="001D3CA5">
        <w:rPr>
          <w:rFonts w:ascii="Palatino Linotype" w:hAnsi="Palatino Linotype"/>
        </w:rPr>
        <w:t>lated to plant owned b</w:t>
      </w:r>
      <w:r>
        <w:rPr>
          <w:rFonts w:ascii="Palatino Linotype" w:hAnsi="Palatino Linotype"/>
        </w:rPr>
        <w:t>y Columbia and used and useful.</w:t>
      </w:r>
      <w:r w:rsidR="001D3CA5" w:rsidRPr="001D3CA5">
        <w:rPr>
          <w:rFonts w:ascii="Palatino Linotype" w:hAnsi="Palatino Linotype"/>
        </w:rPr>
        <w:t xml:space="preserve"> The requirements for capitalization of these types of expenditures were determined by Commission in its Entry issued in Case No. 99-195-GA-AAM on August 5, 1999. Environmental </w:t>
      </w:r>
      <w:r>
        <w:rPr>
          <w:rFonts w:ascii="Palatino Linotype" w:hAnsi="Palatino Linotype"/>
        </w:rPr>
        <w:t>c</w:t>
      </w:r>
      <w:r w:rsidR="001D3CA5" w:rsidRPr="001D3CA5">
        <w:rPr>
          <w:rFonts w:ascii="Palatino Linotype" w:hAnsi="Palatino Linotype"/>
        </w:rPr>
        <w:t>osts associated for projects where the plant is not used and useful</w:t>
      </w:r>
      <w:r>
        <w:rPr>
          <w:rFonts w:ascii="Palatino Linotype" w:hAnsi="Palatino Linotype"/>
        </w:rPr>
        <w:t>,</w:t>
      </w:r>
      <w:r w:rsidR="001D3CA5" w:rsidRPr="001D3CA5">
        <w:rPr>
          <w:rFonts w:ascii="Palatino Linotype" w:hAnsi="Palatino Linotype"/>
        </w:rPr>
        <w:t xml:space="preserve"> or the site is not owned by Columbia</w:t>
      </w:r>
      <w:r>
        <w:rPr>
          <w:rFonts w:ascii="Palatino Linotype" w:hAnsi="Palatino Linotype"/>
        </w:rPr>
        <w:t>,</w:t>
      </w:r>
      <w:r w:rsidR="001D3CA5" w:rsidRPr="001D3CA5">
        <w:rPr>
          <w:rFonts w:ascii="Palatino Linotype" w:hAnsi="Palatino Linotype"/>
        </w:rPr>
        <w:t xml:space="preserve"> can only be deferred in accordance with the Commi</w:t>
      </w:r>
      <w:r w:rsidR="001D3CA5" w:rsidRPr="001D3CA5">
        <w:rPr>
          <w:rFonts w:ascii="Palatino Linotype" w:hAnsi="Palatino Linotype"/>
        </w:rPr>
        <w:t>s</w:t>
      </w:r>
      <w:r>
        <w:rPr>
          <w:rFonts w:ascii="Palatino Linotype" w:hAnsi="Palatino Linotype"/>
        </w:rPr>
        <w:t xml:space="preserve">sion Entry issued </w:t>
      </w:r>
      <w:r w:rsidR="001D3CA5" w:rsidRPr="001D3CA5">
        <w:rPr>
          <w:rFonts w:ascii="Palatino Linotype" w:hAnsi="Palatino Linotype"/>
        </w:rPr>
        <w:t>on September 26, 2008 in Case No. 08-606-GA-AAM. Thus</w:t>
      </w:r>
      <w:r>
        <w:rPr>
          <w:rFonts w:ascii="Palatino Linotype" w:hAnsi="Palatino Linotype"/>
        </w:rPr>
        <w:t>,</w:t>
      </w:r>
      <w:r w:rsidR="001D3CA5" w:rsidRPr="001D3CA5">
        <w:rPr>
          <w:rFonts w:ascii="Palatino Linotype" w:hAnsi="Palatino Linotype"/>
        </w:rPr>
        <w:t xml:space="preserve"> there is no opportunity for duplicate recovery of costs since the Commission has established specific requirements </w:t>
      </w:r>
      <w:r>
        <w:rPr>
          <w:rFonts w:ascii="Palatino Linotype" w:hAnsi="Palatino Linotype"/>
        </w:rPr>
        <w:t xml:space="preserve">that Columbia </w:t>
      </w:r>
      <w:r w:rsidR="001D3CA5" w:rsidRPr="001D3CA5">
        <w:rPr>
          <w:rFonts w:ascii="Palatino Linotype" w:hAnsi="Palatino Linotype"/>
        </w:rPr>
        <w:t>must follow.</w:t>
      </w:r>
    </w:p>
    <w:p w:rsidR="009F5C1B" w:rsidRDefault="009F5C1B" w:rsidP="001D3CA5">
      <w:pPr>
        <w:spacing w:line="320" w:lineRule="exact"/>
        <w:jc w:val="both"/>
        <w:rPr>
          <w:rFonts w:ascii="Palatino Linotype" w:hAnsi="Palatino Linotype"/>
        </w:rPr>
      </w:pPr>
    </w:p>
    <w:p w:rsidR="001D3CA5" w:rsidRPr="001D3CA5" w:rsidRDefault="009F5C1B" w:rsidP="009F5C1B">
      <w:pPr>
        <w:spacing w:line="320" w:lineRule="exact"/>
        <w:ind w:firstLine="720"/>
        <w:jc w:val="both"/>
        <w:rPr>
          <w:rFonts w:ascii="Palatino Linotype" w:hAnsi="Palatino Linotype"/>
        </w:rPr>
      </w:pPr>
      <w:r w:rsidRPr="009F5C1B">
        <w:rPr>
          <w:rFonts w:ascii="Palatino Linotype" w:hAnsi="Palatino Linotype"/>
        </w:rPr>
        <w:t xml:space="preserve">Columbia is willing to make </w:t>
      </w:r>
      <w:r>
        <w:rPr>
          <w:rFonts w:ascii="Palatino Linotype" w:hAnsi="Palatino Linotype"/>
        </w:rPr>
        <w:t xml:space="preserve">its accounting </w:t>
      </w:r>
      <w:r w:rsidRPr="009F5C1B">
        <w:rPr>
          <w:rFonts w:ascii="Palatino Linotype" w:hAnsi="Palatino Linotype"/>
        </w:rPr>
        <w:t xml:space="preserve">mechanisms available for </w:t>
      </w:r>
      <w:r>
        <w:rPr>
          <w:rFonts w:ascii="Palatino Linotype" w:hAnsi="Palatino Linotype"/>
        </w:rPr>
        <w:t xml:space="preserve">Staff review </w:t>
      </w:r>
      <w:r w:rsidRPr="009F5C1B">
        <w:rPr>
          <w:rFonts w:ascii="Palatino Linotype" w:hAnsi="Palatino Linotype"/>
        </w:rPr>
        <w:t>at</w:t>
      </w:r>
      <w:r>
        <w:rPr>
          <w:rFonts w:ascii="Palatino Linotype" w:hAnsi="Palatino Linotype"/>
        </w:rPr>
        <w:t xml:space="preserve"> any time should the Commission have any concern about the appr</w:t>
      </w:r>
      <w:r>
        <w:rPr>
          <w:rFonts w:ascii="Palatino Linotype" w:hAnsi="Palatino Linotype"/>
        </w:rPr>
        <w:t>o</w:t>
      </w:r>
      <w:r>
        <w:rPr>
          <w:rFonts w:ascii="Palatino Linotype" w:hAnsi="Palatino Linotype"/>
        </w:rPr>
        <w:t>priateness of any amounts being deferred</w:t>
      </w:r>
      <w:r w:rsidRPr="009F5C1B">
        <w:rPr>
          <w:rFonts w:ascii="Palatino Linotype" w:hAnsi="Palatino Linotype"/>
        </w:rPr>
        <w:t>.</w:t>
      </w:r>
    </w:p>
    <w:p w:rsidR="001D3CA5" w:rsidRDefault="001D3CA5" w:rsidP="001D3CA5">
      <w:pPr>
        <w:spacing w:line="320" w:lineRule="exact"/>
        <w:jc w:val="both"/>
        <w:rPr>
          <w:rFonts w:ascii="Palatino Linotype" w:hAnsi="Palatino Linotype"/>
        </w:rPr>
      </w:pPr>
    </w:p>
    <w:p w:rsidR="00390113" w:rsidRPr="00390113" w:rsidRDefault="00390113" w:rsidP="001D3CA5">
      <w:pPr>
        <w:spacing w:line="320" w:lineRule="exact"/>
        <w:jc w:val="both"/>
        <w:rPr>
          <w:rFonts w:ascii="Palatino Linotype" w:hAnsi="Palatino Linotype"/>
          <w:b/>
        </w:rPr>
      </w:pPr>
      <w:r>
        <w:rPr>
          <w:rFonts w:ascii="Palatino Linotype" w:hAnsi="Palatino Linotype"/>
        </w:rPr>
        <w:tab/>
      </w:r>
      <w:r w:rsidRPr="00390113">
        <w:rPr>
          <w:rFonts w:ascii="Palatino Linotype" w:hAnsi="Palatino Linotype"/>
          <w:b/>
        </w:rPr>
        <w:t>Columbia’s Capital Expenditures Are Appropriately Classified</w:t>
      </w:r>
    </w:p>
    <w:p w:rsidR="00390113" w:rsidRDefault="00390113" w:rsidP="001D3CA5">
      <w:pPr>
        <w:spacing w:line="320" w:lineRule="exact"/>
        <w:jc w:val="both"/>
        <w:rPr>
          <w:rFonts w:ascii="Palatino Linotype" w:hAnsi="Palatino Linotype"/>
        </w:rPr>
      </w:pPr>
    </w:p>
    <w:p w:rsidR="00390113" w:rsidRDefault="00390113" w:rsidP="001D3CA5">
      <w:pPr>
        <w:spacing w:line="320" w:lineRule="exact"/>
        <w:jc w:val="both"/>
        <w:rPr>
          <w:rFonts w:ascii="Palatino Linotype" w:hAnsi="Palatino Linotype"/>
        </w:rPr>
      </w:pPr>
      <w:r>
        <w:rPr>
          <w:rFonts w:ascii="Palatino Linotype" w:hAnsi="Palatino Linotype"/>
        </w:rPr>
        <w:tab/>
        <w:t>The OCC notes that Columbia uses blanket work orders for the install</w:t>
      </w:r>
      <w:r>
        <w:rPr>
          <w:rFonts w:ascii="Palatino Linotype" w:hAnsi="Palatino Linotype"/>
        </w:rPr>
        <w:t>a</w:t>
      </w:r>
      <w:r>
        <w:rPr>
          <w:rFonts w:ascii="Palatino Linotype" w:hAnsi="Palatino Linotype"/>
        </w:rPr>
        <w:t>tion of property, and somehow jumps to the conclusion that the blanket work orders may include items that should be expensed. The OCC, therefore, reco</w:t>
      </w:r>
      <w:r>
        <w:rPr>
          <w:rFonts w:ascii="Palatino Linotype" w:hAnsi="Palatino Linotype"/>
        </w:rPr>
        <w:t>m</w:t>
      </w:r>
      <w:r>
        <w:rPr>
          <w:rFonts w:ascii="Palatino Linotype" w:hAnsi="Palatino Linotype"/>
        </w:rPr>
        <w:t>mends that all blanket work order expenditures should be excluded from the capital expenditure program.</w:t>
      </w:r>
      <w:r>
        <w:rPr>
          <w:rStyle w:val="FootnoteReference"/>
          <w:rFonts w:ascii="Palatino Linotype" w:hAnsi="Palatino Linotype"/>
        </w:rPr>
        <w:footnoteReference w:id="18"/>
      </w:r>
    </w:p>
    <w:p w:rsidR="00390113" w:rsidRDefault="00390113" w:rsidP="001D3CA5">
      <w:pPr>
        <w:spacing w:line="320" w:lineRule="exact"/>
        <w:jc w:val="both"/>
        <w:rPr>
          <w:rFonts w:ascii="Palatino Linotype" w:hAnsi="Palatino Linotype"/>
        </w:rPr>
      </w:pPr>
    </w:p>
    <w:p w:rsidR="001D3CA5" w:rsidRDefault="00390113" w:rsidP="00390113">
      <w:pPr>
        <w:spacing w:line="320" w:lineRule="exact"/>
        <w:ind w:firstLine="720"/>
        <w:jc w:val="both"/>
        <w:rPr>
          <w:rFonts w:ascii="Palatino Linotype" w:hAnsi="Palatino Linotype"/>
        </w:rPr>
      </w:pPr>
      <w:r>
        <w:rPr>
          <w:rFonts w:ascii="Palatino Linotype" w:hAnsi="Palatino Linotype"/>
        </w:rPr>
        <w:t xml:space="preserve">Columbia, like many utilities, utilizes blanket work orders </w:t>
      </w:r>
      <w:r w:rsidR="00E040A7">
        <w:rPr>
          <w:rFonts w:ascii="Palatino Linotype" w:hAnsi="Palatino Linotype"/>
        </w:rPr>
        <w:t xml:space="preserve">for capital-related expenditures and has done so for many years. </w:t>
      </w:r>
      <w:r w:rsidR="001D3CA5" w:rsidRPr="001D3CA5">
        <w:rPr>
          <w:rFonts w:ascii="Palatino Linotype" w:hAnsi="Palatino Linotype"/>
        </w:rPr>
        <w:t>Columbia’s accounting policies</w:t>
      </w:r>
      <w:r w:rsidR="00E040A7">
        <w:rPr>
          <w:rFonts w:ascii="Palatino Linotype" w:hAnsi="Palatino Linotype"/>
        </w:rPr>
        <w:t>, which have been reviewed in past rate cases,</w:t>
      </w:r>
      <w:r w:rsidR="001D3CA5" w:rsidRPr="001D3CA5">
        <w:rPr>
          <w:rFonts w:ascii="Palatino Linotype" w:hAnsi="Palatino Linotype"/>
        </w:rPr>
        <w:t xml:space="preserve"> include specific guidelines for capitalization of expenses.</w:t>
      </w:r>
      <w:r w:rsidR="00E040A7">
        <w:rPr>
          <w:rFonts w:ascii="Palatino Linotype" w:hAnsi="Palatino Linotype"/>
        </w:rPr>
        <w:t xml:space="preserve"> </w:t>
      </w:r>
      <w:r w:rsidR="00E60739">
        <w:rPr>
          <w:rFonts w:ascii="Palatino Linotype" w:hAnsi="Palatino Linotype"/>
        </w:rPr>
        <w:t>These procedures ensure that all expenditures are properly capitalized or expensed. To the extent that the OCC has concerns about the treatment of any particular expense</w:t>
      </w:r>
      <w:r w:rsidR="00E8162D">
        <w:rPr>
          <w:rFonts w:ascii="Palatino Linotype" w:hAnsi="Palatino Linotype"/>
        </w:rPr>
        <w:t>,</w:t>
      </w:r>
      <w:r w:rsidR="00E60739">
        <w:rPr>
          <w:rFonts w:ascii="Palatino Linotype" w:hAnsi="Palatino Linotype"/>
        </w:rPr>
        <w:t xml:space="preserve"> the time for review of that concern is the subsequent proceeding in which Columbia seeks recovery of the amounts d</w:t>
      </w:r>
      <w:r w:rsidR="00E60739">
        <w:rPr>
          <w:rFonts w:ascii="Palatino Linotype" w:hAnsi="Palatino Linotype"/>
        </w:rPr>
        <w:t>e</w:t>
      </w:r>
      <w:r w:rsidR="00E60739">
        <w:rPr>
          <w:rFonts w:ascii="Palatino Linotype" w:hAnsi="Palatino Linotype"/>
        </w:rPr>
        <w:t>ferred pursuant to the Application in this case.</w:t>
      </w:r>
    </w:p>
    <w:p w:rsidR="00E60739" w:rsidRDefault="00E60739" w:rsidP="00390113">
      <w:pPr>
        <w:spacing w:line="320" w:lineRule="exact"/>
        <w:ind w:firstLine="720"/>
        <w:jc w:val="both"/>
        <w:rPr>
          <w:rFonts w:ascii="Palatino Linotype" w:hAnsi="Palatino Linotype"/>
        </w:rPr>
      </w:pPr>
    </w:p>
    <w:p w:rsidR="00E60739" w:rsidRPr="001D3CA5" w:rsidRDefault="00E60739" w:rsidP="00390113">
      <w:pPr>
        <w:spacing w:line="320" w:lineRule="exact"/>
        <w:ind w:firstLine="720"/>
        <w:jc w:val="both"/>
        <w:rPr>
          <w:rFonts w:ascii="Palatino Linotype" w:hAnsi="Palatino Linotype"/>
        </w:rPr>
      </w:pPr>
      <w:r>
        <w:rPr>
          <w:rFonts w:ascii="Palatino Linotype" w:hAnsi="Palatino Linotype"/>
        </w:rPr>
        <w:t>The OCC’s has long expressed displeasure with accounting deferrals, and the OCC’s argument related to blanket work orders is an attempt to arbitrarily reduce the amount of the capital expenditure program deferrals just because the OCC does not endorse accounting deferrals. The Commission should not cou</w:t>
      </w:r>
      <w:r>
        <w:rPr>
          <w:rFonts w:ascii="Palatino Linotype" w:hAnsi="Palatino Linotype"/>
        </w:rPr>
        <w:t>n</w:t>
      </w:r>
      <w:r>
        <w:rPr>
          <w:rFonts w:ascii="Palatino Linotype" w:hAnsi="Palatino Linotype"/>
        </w:rPr>
        <w:t>tenance the OCC’s attempt to arbitrarily exclude certain categories of legitimate expenditures from the capital expenditure program deferrals authorized by Rev. Code § 4929.111.</w:t>
      </w:r>
    </w:p>
    <w:p w:rsidR="001D3CA5" w:rsidRDefault="001D3CA5" w:rsidP="001D3CA5">
      <w:pPr>
        <w:spacing w:line="320" w:lineRule="exact"/>
        <w:jc w:val="both"/>
        <w:rPr>
          <w:rFonts w:ascii="Palatino Linotype" w:hAnsi="Palatino Linotype"/>
        </w:rPr>
      </w:pPr>
    </w:p>
    <w:p w:rsidR="004E2D32" w:rsidRPr="004E2D32" w:rsidRDefault="004E2D32" w:rsidP="001D3CA5">
      <w:pPr>
        <w:spacing w:line="320" w:lineRule="exact"/>
        <w:jc w:val="both"/>
        <w:rPr>
          <w:rFonts w:ascii="Palatino Linotype" w:hAnsi="Palatino Linotype"/>
          <w:b/>
        </w:rPr>
      </w:pPr>
      <w:r>
        <w:rPr>
          <w:rFonts w:ascii="Palatino Linotype" w:hAnsi="Palatino Linotype"/>
        </w:rPr>
        <w:tab/>
      </w:r>
      <w:r w:rsidRPr="004E2D32">
        <w:rPr>
          <w:rFonts w:ascii="Palatino Linotype" w:hAnsi="Palatino Linotype"/>
          <w:b/>
        </w:rPr>
        <w:t xml:space="preserve">Rev. Code § 4929.111 Does Not Limit </w:t>
      </w:r>
      <w:proofErr w:type="gramStart"/>
      <w:r w:rsidRPr="004E2D32">
        <w:rPr>
          <w:rFonts w:ascii="Palatino Linotype" w:hAnsi="Palatino Linotype"/>
          <w:b/>
        </w:rPr>
        <w:t>The</w:t>
      </w:r>
      <w:proofErr w:type="gramEnd"/>
      <w:r w:rsidRPr="004E2D32">
        <w:rPr>
          <w:rFonts w:ascii="Palatino Linotype" w:hAnsi="Palatino Linotype"/>
          <w:b/>
        </w:rPr>
        <w:t xml:space="preserve"> Duration Of Deferrals</w:t>
      </w:r>
    </w:p>
    <w:p w:rsidR="004E2D32" w:rsidRDefault="004E2D32" w:rsidP="001D3CA5">
      <w:pPr>
        <w:spacing w:line="320" w:lineRule="exact"/>
        <w:jc w:val="both"/>
        <w:rPr>
          <w:rFonts w:ascii="Palatino Linotype" w:hAnsi="Palatino Linotype"/>
        </w:rPr>
      </w:pPr>
    </w:p>
    <w:p w:rsidR="004E2D32" w:rsidRDefault="004E2D32" w:rsidP="001D3CA5">
      <w:pPr>
        <w:spacing w:line="320" w:lineRule="exact"/>
        <w:jc w:val="both"/>
        <w:rPr>
          <w:rFonts w:ascii="Palatino Linotype" w:hAnsi="Palatino Linotype"/>
        </w:rPr>
      </w:pPr>
      <w:r>
        <w:rPr>
          <w:rFonts w:ascii="Palatino Linotype" w:hAnsi="Palatino Linotype"/>
        </w:rPr>
        <w:tab/>
        <w:t>The OCC states that it is concerned about deferrals growing to “unreaso</w:t>
      </w:r>
      <w:r>
        <w:rPr>
          <w:rFonts w:ascii="Palatino Linotype" w:hAnsi="Palatino Linotype"/>
        </w:rPr>
        <w:t>n</w:t>
      </w:r>
      <w:r>
        <w:rPr>
          <w:rFonts w:ascii="Palatino Linotype" w:hAnsi="Palatino Linotype"/>
        </w:rPr>
        <w:t>able levels,” and suggests that the deferrals be limited in duration to the earlier of the date of new Columbia base rates or December 31, 2014.</w:t>
      </w:r>
      <w:r>
        <w:rPr>
          <w:rStyle w:val="FootnoteReference"/>
          <w:rFonts w:ascii="Palatino Linotype" w:hAnsi="Palatino Linotype"/>
        </w:rPr>
        <w:footnoteReference w:id="19"/>
      </w:r>
    </w:p>
    <w:p w:rsidR="00E907D0" w:rsidRDefault="00E907D0" w:rsidP="001D3CA5">
      <w:pPr>
        <w:spacing w:line="320" w:lineRule="exact"/>
        <w:jc w:val="both"/>
        <w:rPr>
          <w:rFonts w:ascii="Palatino Linotype" w:hAnsi="Palatino Linotype"/>
        </w:rPr>
      </w:pPr>
    </w:p>
    <w:p w:rsidR="00E907D0" w:rsidRDefault="00E8162D" w:rsidP="00E8162D">
      <w:pPr>
        <w:spacing w:line="320" w:lineRule="exact"/>
        <w:ind w:firstLine="720"/>
        <w:jc w:val="both"/>
        <w:rPr>
          <w:rFonts w:ascii="Palatino Linotype" w:hAnsi="Palatino Linotype"/>
        </w:rPr>
      </w:pPr>
      <w:r w:rsidRPr="00E8162D">
        <w:rPr>
          <w:rFonts w:ascii="Palatino Linotype" w:hAnsi="Palatino Linotype"/>
        </w:rPr>
        <w:t>This statement fails to recogni</w:t>
      </w:r>
      <w:r>
        <w:rPr>
          <w:rFonts w:ascii="Palatino Linotype" w:hAnsi="Palatino Linotype"/>
        </w:rPr>
        <w:t xml:space="preserve">ze </w:t>
      </w:r>
      <w:r w:rsidRPr="00E8162D">
        <w:rPr>
          <w:rFonts w:ascii="Palatino Linotype" w:hAnsi="Palatino Linotype"/>
        </w:rPr>
        <w:t xml:space="preserve">the fact </w:t>
      </w:r>
      <w:r>
        <w:rPr>
          <w:rFonts w:ascii="Palatino Linotype" w:hAnsi="Palatino Linotype"/>
        </w:rPr>
        <w:t xml:space="preserve">that </w:t>
      </w:r>
      <w:r w:rsidRPr="00E8162D">
        <w:rPr>
          <w:rFonts w:ascii="Palatino Linotype" w:hAnsi="Palatino Linotype"/>
        </w:rPr>
        <w:t xml:space="preserve">these deferrals will have minimal impact on the rates of customers </w:t>
      </w:r>
      <w:r>
        <w:rPr>
          <w:rFonts w:ascii="Palatino Linotype" w:hAnsi="Palatino Linotype"/>
        </w:rPr>
        <w:t xml:space="preserve">because </w:t>
      </w:r>
      <w:r w:rsidRPr="00E8162D">
        <w:rPr>
          <w:rFonts w:ascii="Palatino Linotype" w:hAnsi="Palatino Linotype"/>
        </w:rPr>
        <w:t>recovery will be over the life of the asset</w:t>
      </w:r>
      <w:r>
        <w:rPr>
          <w:rFonts w:ascii="Palatino Linotype" w:hAnsi="Palatino Linotype"/>
        </w:rPr>
        <w:t xml:space="preserve">. Furthermore, </w:t>
      </w:r>
      <w:r w:rsidRPr="00E8162D">
        <w:rPr>
          <w:rFonts w:ascii="Palatino Linotype" w:hAnsi="Palatino Linotype"/>
        </w:rPr>
        <w:t>the recommendation</w:t>
      </w:r>
      <w:r>
        <w:rPr>
          <w:rFonts w:ascii="Palatino Linotype" w:hAnsi="Palatino Linotype"/>
        </w:rPr>
        <w:t>, if adopted,</w:t>
      </w:r>
      <w:r w:rsidRPr="00E8162D">
        <w:rPr>
          <w:rFonts w:ascii="Palatino Linotype" w:hAnsi="Palatino Linotype"/>
        </w:rPr>
        <w:t xml:space="preserve"> would likely result in additional rate case filings</w:t>
      </w:r>
      <w:r>
        <w:rPr>
          <w:rFonts w:ascii="Palatino Linotype" w:hAnsi="Palatino Linotype"/>
        </w:rPr>
        <w:t xml:space="preserve">. </w:t>
      </w:r>
      <w:r w:rsidR="00E907D0">
        <w:rPr>
          <w:rFonts w:ascii="Palatino Linotype" w:hAnsi="Palatino Linotype"/>
        </w:rPr>
        <w:t>Rate cases are extremely time consuming and expe</w:t>
      </w:r>
      <w:r w:rsidR="00E907D0">
        <w:rPr>
          <w:rFonts w:ascii="Palatino Linotype" w:hAnsi="Palatino Linotype"/>
        </w:rPr>
        <w:t>n</w:t>
      </w:r>
      <w:r w:rsidR="00E907D0">
        <w:rPr>
          <w:rFonts w:ascii="Palatino Linotype" w:hAnsi="Palatino Linotype"/>
        </w:rPr>
        <w:t xml:space="preserve">sive for utilities </w:t>
      </w:r>
      <w:r>
        <w:rPr>
          <w:rFonts w:ascii="Palatino Linotype" w:hAnsi="Palatino Linotype"/>
        </w:rPr>
        <w:t xml:space="preserve">(and ratepayers), </w:t>
      </w:r>
      <w:r w:rsidR="00E907D0">
        <w:rPr>
          <w:rFonts w:ascii="Palatino Linotype" w:hAnsi="Palatino Linotype"/>
        </w:rPr>
        <w:t xml:space="preserve">and place a huge administrative burden upon </w:t>
      </w:r>
      <w:r w:rsidR="00E907D0">
        <w:rPr>
          <w:rFonts w:ascii="Palatino Linotype" w:hAnsi="Palatino Linotype"/>
        </w:rPr>
        <w:lastRenderedPageBreak/>
        <w:t>the Commission. Thus, Columbia has worked hard with its stakeholders to find ways to mi</w:t>
      </w:r>
      <w:r w:rsidR="00E907D0">
        <w:rPr>
          <w:rFonts w:ascii="Palatino Linotype" w:hAnsi="Palatino Linotype"/>
        </w:rPr>
        <w:t>n</w:t>
      </w:r>
      <w:r w:rsidR="00E907D0">
        <w:rPr>
          <w:rFonts w:ascii="Palatino Linotype" w:hAnsi="Palatino Linotype"/>
        </w:rPr>
        <w:t>imize the number of rate cases that Columbia must file. One of the tools that C</w:t>
      </w:r>
      <w:r w:rsidR="00E907D0">
        <w:rPr>
          <w:rFonts w:ascii="Palatino Linotype" w:hAnsi="Palatino Linotype"/>
        </w:rPr>
        <w:t>o</w:t>
      </w:r>
      <w:r w:rsidR="00E907D0">
        <w:rPr>
          <w:rFonts w:ascii="Palatino Linotype" w:hAnsi="Palatino Linotype"/>
        </w:rPr>
        <w:t xml:space="preserve">lumbia now has available to it to help manage the frequency of rate cases </w:t>
      </w:r>
      <w:r w:rsidR="00D8721E">
        <w:rPr>
          <w:rFonts w:ascii="Palatino Linotype" w:hAnsi="Palatino Linotype"/>
        </w:rPr>
        <w:t xml:space="preserve">is the deferral authority </w:t>
      </w:r>
      <w:r w:rsidR="00D8721E" w:rsidRPr="00D8721E">
        <w:rPr>
          <w:rFonts w:ascii="Palatino Linotype" w:hAnsi="Palatino Linotype"/>
        </w:rPr>
        <w:t>for capital expenditure programs</w:t>
      </w:r>
      <w:r w:rsidR="00D8721E">
        <w:rPr>
          <w:rFonts w:ascii="Palatino Linotype" w:hAnsi="Palatino Linotype"/>
        </w:rPr>
        <w:t>, which authority was</w:t>
      </w:r>
      <w:r w:rsidR="00D8721E" w:rsidRPr="00D8721E">
        <w:rPr>
          <w:rFonts w:ascii="Palatino Linotype" w:hAnsi="Palatino Linotype"/>
        </w:rPr>
        <w:t xml:space="preserve"> </w:t>
      </w:r>
      <w:r w:rsidR="00D8721E">
        <w:rPr>
          <w:rFonts w:ascii="Palatino Linotype" w:hAnsi="Palatino Linotype"/>
        </w:rPr>
        <w:t>made available to the Commi</w:t>
      </w:r>
      <w:r w:rsidR="00D8721E">
        <w:rPr>
          <w:rFonts w:ascii="Palatino Linotype" w:hAnsi="Palatino Linotype"/>
        </w:rPr>
        <w:t>s</w:t>
      </w:r>
      <w:r w:rsidR="00D8721E">
        <w:rPr>
          <w:rFonts w:ascii="Palatino Linotype" w:hAnsi="Palatino Linotype"/>
        </w:rPr>
        <w:t>sion in Rev. Code § 4929.111.</w:t>
      </w:r>
    </w:p>
    <w:p w:rsidR="00E907D0" w:rsidRDefault="00E907D0" w:rsidP="001D3CA5">
      <w:pPr>
        <w:spacing w:line="320" w:lineRule="exact"/>
        <w:jc w:val="both"/>
        <w:rPr>
          <w:rFonts w:ascii="Palatino Linotype" w:hAnsi="Palatino Linotype"/>
        </w:rPr>
      </w:pPr>
    </w:p>
    <w:p w:rsidR="001D3CA5" w:rsidRDefault="00D8721E" w:rsidP="00D8721E">
      <w:pPr>
        <w:spacing w:line="320" w:lineRule="exact"/>
        <w:ind w:firstLine="720"/>
        <w:jc w:val="both"/>
        <w:rPr>
          <w:rFonts w:ascii="Palatino Linotype" w:hAnsi="Palatino Linotype"/>
        </w:rPr>
      </w:pPr>
      <w:r>
        <w:rPr>
          <w:rFonts w:ascii="Palatino Linotype" w:hAnsi="Palatino Linotype"/>
        </w:rPr>
        <w:t xml:space="preserve">Rev. Code </w:t>
      </w:r>
      <w:r w:rsidRPr="00D8721E">
        <w:rPr>
          <w:rFonts w:ascii="Palatino Linotype" w:hAnsi="Palatino Linotype"/>
        </w:rPr>
        <w:t>§ 4929.111</w:t>
      </w:r>
      <w:r>
        <w:rPr>
          <w:rFonts w:ascii="Palatino Linotype" w:hAnsi="Palatino Linotype"/>
        </w:rPr>
        <w:t xml:space="preserve"> does not limit the duration of deferrals, and the Commission should reject the OCC’s request for the establishment of such an a</w:t>
      </w:r>
      <w:r>
        <w:rPr>
          <w:rFonts w:ascii="Palatino Linotype" w:hAnsi="Palatino Linotype"/>
        </w:rPr>
        <w:t>r</w:t>
      </w:r>
      <w:r>
        <w:rPr>
          <w:rFonts w:ascii="Palatino Linotype" w:hAnsi="Palatino Linotype"/>
        </w:rPr>
        <w:t>bitrary deadline. This is simply another attempt on the OCC’s part to emasculate the accounting deferrals that the OCC dislikes, notwithstanding the General A</w:t>
      </w:r>
      <w:r>
        <w:rPr>
          <w:rFonts w:ascii="Palatino Linotype" w:hAnsi="Palatino Linotype"/>
        </w:rPr>
        <w:t>s</w:t>
      </w:r>
      <w:r>
        <w:rPr>
          <w:rFonts w:ascii="Palatino Linotype" w:hAnsi="Palatino Linotype"/>
        </w:rPr>
        <w:t xml:space="preserve">sembly’s recent enactment of </w:t>
      </w:r>
      <w:r w:rsidRPr="00D8721E">
        <w:rPr>
          <w:rFonts w:ascii="Palatino Linotype" w:hAnsi="Palatino Linotype"/>
        </w:rPr>
        <w:t>Rev. Code § 4929.111</w:t>
      </w:r>
      <w:r>
        <w:rPr>
          <w:rFonts w:ascii="Palatino Linotype" w:hAnsi="Palatino Linotype"/>
        </w:rPr>
        <w:t>.</w:t>
      </w:r>
    </w:p>
    <w:p w:rsidR="00D3508D" w:rsidRDefault="00D3508D" w:rsidP="00D8721E">
      <w:pPr>
        <w:spacing w:line="320" w:lineRule="exact"/>
        <w:ind w:firstLine="720"/>
        <w:jc w:val="both"/>
        <w:rPr>
          <w:rFonts w:ascii="Palatino Linotype" w:hAnsi="Palatino Linotype"/>
        </w:rPr>
      </w:pPr>
    </w:p>
    <w:p w:rsidR="00D3508D" w:rsidRDefault="00D3508D" w:rsidP="00D3508D">
      <w:pPr>
        <w:spacing w:line="320" w:lineRule="exact"/>
        <w:jc w:val="both"/>
        <w:rPr>
          <w:rFonts w:ascii="Palatino Linotype" w:hAnsi="Palatino Linotype"/>
          <w:b/>
        </w:rPr>
      </w:pPr>
      <w:r>
        <w:rPr>
          <w:rFonts w:ascii="Palatino Linotype" w:hAnsi="Palatino Linotype"/>
          <w:b/>
        </w:rPr>
        <w:t>CONCLUSION</w:t>
      </w:r>
    </w:p>
    <w:p w:rsidR="00D3508D" w:rsidRDefault="00D3508D" w:rsidP="00D3508D">
      <w:pPr>
        <w:spacing w:line="320" w:lineRule="exact"/>
        <w:jc w:val="both"/>
        <w:rPr>
          <w:rFonts w:ascii="Palatino Linotype" w:hAnsi="Palatino Linotype"/>
          <w:b/>
        </w:rPr>
      </w:pPr>
    </w:p>
    <w:p w:rsidR="00D3508D" w:rsidRPr="00D3508D" w:rsidRDefault="00D3508D" w:rsidP="00D3508D">
      <w:pPr>
        <w:spacing w:line="320" w:lineRule="exact"/>
        <w:jc w:val="both"/>
        <w:rPr>
          <w:rFonts w:ascii="Palatino Linotype" w:hAnsi="Palatino Linotype"/>
        </w:rPr>
      </w:pPr>
      <w:r>
        <w:rPr>
          <w:rFonts w:ascii="Palatino Linotype" w:hAnsi="Palatino Linotype"/>
          <w:b/>
        </w:rPr>
        <w:tab/>
      </w:r>
      <w:r>
        <w:rPr>
          <w:rFonts w:ascii="Palatino Linotype" w:hAnsi="Palatino Linotype"/>
        </w:rPr>
        <w:t>Columbia can generally agree with Staff’s recommendations, with the few exceptions addressed herein. Columbia respectfully requests that the Commi</w:t>
      </w:r>
      <w:r>
        <w:rPr>
          <w:rFonts w:ascii="Palatino Linotype" w:hAnsi="Palatino Linotype"/>
        </w:rPr>
        <w:t>s</w:t>
      </w:r>
      <w:r>
        <w:rPr>
          <w:rFonts w:ascii="Palatino Linotype" w:hAnsi="Palatino Linotype"/>
        </w:rPr>
        <w:t>sion approve its Application filed in this docket.</w:t>
      </w:r>
    </w:p>
    <w:p w:rsidR="003E5173" w:rsidRPr="003E5173" w:rsidRDefault="003E5173" w:rsidP="003E5173">
      <w:pPr>
        <w:spacing w:line="320" w:lineRule="exact"/>
        <w:jc w:val="both"/>
        <w:rPr>
          <w:rFonts w:ascii="Palatino Linotype" w:hAnsi="Palatino Linotype"/>
        </w:rPr>
      </w:pPr>
    </w:p>
    <w:p w:rsidR="002A15A3" w:rsidRPr="002A15A3" w:rsidRDefault="002A15A3" w:rsidP="006B01E6">
      <w:pPr>
        <w:keepNext/>
        <w:keepLines/>
        <w:spacing w:line="320" w:lineRule="exact"/>
        <w:ind w:left="4320"/>
        <w:jc w:val="both"/>
        <w:rPr>
          <w:rFonts w:ascii="Palatino Linotype" w:hAnsi="Palatino Linotype"/>
        </w:rPr>
      </w:pPr>
      <w:r w:rsidRPr="002A15A3">
        <w:rPr>
          <w:rFonts w:ascii="Palatino Linotype" w:hAnsi="Palatino Linotype"/>
        </w:rPr>
        <w:t>Respectfully submitted,</w:t>
      </w:r>
    </w:p>
    <w:p w:rsidR="002A15A3" w:rsidRPr="002A15A3" w:rsidRDefault="002A15A3" w:rsidP="006B01E6">
      <w:pPr>
        <w:keepNext/>
        <w:keepLines/>
        <w:spacing w:line="320" w:lineRule="exact"/>
        <w:ind w:left="4320"/>
        <w:jc w:val="both"/>
        <w:rPr>
          <w:rFonts w:ascii="Palatino Linotype" w:hAnsi="Palatino Linotype"/>
          <w:b/>
          <w:spacing w:val="-12"/>
        </w:rPr>
      </w:pPr>
      <w:proofErr w:type="gramStart"/>
      <w:r w:rsidRPr="002A15A3">
        <w:rPr>
          <w:rFonts w:ascii="Palatino Linotype" w:hAnsi="Palatino Linotype"/>
          <w:b/>
          <w:spacing w:val="-12"/>
        </w:rPr>
        <w:t>COLUMBIA GAS OF OHIO, INC.</w:t>
      </w:r>
      <w:proofErr w:type="gramEnd"/>
    </w:p>
    <w:p w:rsidR="002A15A3" w:rsidRDefault="002A15A3" w:rsidP="006B01E6">
      <w:pPr>
        <w:keepNext/>
        <w:keepLines/>
        <w:spacing w:line="320" w:lineRule="exact"/>
        <w:ind w:left="4320"/>
        <w:jc w:val="both"/>
        <w:rPr>
          <w:rFonts w:ascii="Palatino Linotype" w:hAnsi="Palatino Linotype"/>
        </w:rPr>
      </w:pPr>
    </w:p>
    <w:p w:rsidR="00D3508D" w:rsidRPr="002A15A3" w:rsidRDefault="00D3508D" w:rsidP="006B01E6">
      <w:pPr>
        <w:keepNext/>
        <w:keepLines/>
        <w:spacing w:line="320" w:lineRule="exact"/>
        <w:ind w:left="4320"/>
        <w:jc w:val="both"/>
        <w:rPr>
          <w:rFonts w:ascii="Palatino Linotype" w:hAnsi="Palatino Linotype"/>
        </w:rPr>
      </w:pPr>
    </w:p>
    <w:p w:rsidR="002A15A3" w:rsidRPr="002A15A3" w:rsidRDefault="002A15A3" w:rsidP="006B01E6">
      <w:pPr>
        <w:keepNext/>
        <w:keepLines/>
        <w:spacing w:line="320" w:lineRule="exact"/>
        <w:ind w:left="4320"/>
        <w:jc w:val="both"/>
        <w:rPr>
          <w:rFonts w:ascii="Palatino Linotype" w:hAnsi="Palatino Linotype"/>
        </w:rPr>
      </w:pPr>
      <w:r w:rsidRPr="002A15A3">
        <w:rPr>
          <w:rFonts w:ascii="Palatino Linotype" w:hAnsi="Palatino Linotype"/>
        </w:rPr>
        <w:t xml:space="preserve">By: </w:t>
      </w:r>
      <w:r w:rsidR="00D3508D">
        <w:rPr>
          <w:rFonts w:ascii="Palatino Linotype" w:hAnsi="Palatino Linotype"/>
          <w:b/>
          <w:u w:val="single"/>
        </w:rPr>
        <w:t xml:space="preserve"> </w:t>
      </w:r>
      <w:r w:rsidR="00D3508D" w:rsidRPr="00D3508D">
        <w:rPr>
          <w:rFonts w:ascii="Palatino Linotype" w:hAnsi="Palatino Linotype"/>
          <w:u w:val="single"/>
        </w:rPr>
        <w:t>/s/ Stephen B. Seiple</w:t>
      </w:r>
      <w:r w:rsidRPr="00D3508D">
        <w:rPr>
          <w:rFonts w:ascii="Palatino Linotype" w:hAnsi="Palatino Linotype"/>
          <w:u w:val="single"/>
        </w:rPr>
        <w:tab/>
      </w:r>
      <w:r w:rsidRPr="002A15A3">
        <w:rPr>
          <w:rFonts w:ascii="Palatino Linotype" w:hAnsi="Palatino Linotype"/>
          <w:b/>
          <w:u w:val="single"/>
        </w:rPr>
        <w:tab/>
      </w:r>
      <w:r w:rsidRPr="002A15A3">
        <w:rPr>
          <w:rFonts w:ascii="Palatino Linotype" w:hAnsi="Palatino Linotype"/>
          <w:b/>
          <w:u w:val="single"/>
        </w:rPr>
        <w:tab/>
      </w:r>
    </w:p>
    <w:p w:rsidR="002A15A3" w:rsidRPr="002A15A3" w:rsidRDefault="002A15A3" w:rsidP="006B01E6">
      <w:pPr>
        <w:keepNext/>
        <w:keepLines/>
        <w:spacing w:line="320" w:lineRule="exact"/>
        <w:ind w:left="4320"/>
        <w:jc w:val="both"/>
        <w:rPr>
          <w:rFonts w:ascii="Palatino Linotype" w:hAnsi="Palatino Linotype"/>
        </w:rPr>
      </w:pPr>
      <w:r w:rsidRPr="002A15A3">
        <w:rPr>
          <w:rFonts w:ascii="Palatino Linotype" w:hAnsi="Palatino Linotype"/>
        </w:rPr>
        <w:t>Stephen B. Seiple (Counsel of Record)</w:t>
      </w:r>
    </w:p>
    <w:p w:rsidR="002A15A3" w:rsidRPr="002A15A3" w:rsidRDefault="002A15A3" w:rsidP="006B01E6">
      <w:pPr>
        <w:keepNext/>
        <w:keepLines/>
        <w:spacing w:line="320" w:lineRule="exact"/>
        <w:ind w:left="4320"/>
        <w:jc w:val="both"/>
        <w:rPr>
          <w:rFonts w:ascii="Palatino Linotype" w:hAnsi="Palatino Linotype"/>
        </w:rPr>
      </w:pPr>
    </w:p>
    <w:p w:rsidR="002A15A3" w:rsidRPr="002A15A3" w:rsidRDefault="002A15A3" w:rsidP="006B01E6">
      <w:pPr>
        <w:keepNext/>
        <w:keepLines/>
        <w:spacing w:line="320" w:lineRule="exact"/>
        <w:ind w:left="4320"/>
        <w:jc w:val="both"/>
        <w:rPr>
          <w:rFonts w:ascii="Palatino Linotype" w:hAnsi="Palatino Linotype"/>
        </w:rPr>
      </w:pPr>
      <w:r w:rsidRPr="002A15A3">
        <w:rPr>
          <w:rFonts w:ascii="Palatino Linotype" w:hAnsi="Palatino Linotype"/>
        </w:rPr>
        <w:t>Stephen B. Seiple, Asst. General Counsel</w:t>
      </w:r>
    </w:p>
    <w:p w:rsidR="002A15A3" w:rsidRPr="002A15A3" w:rsidRDefault="002A15A3" w:rsidP="006B01E6">
      <w:pPr>
        <w:keepNext/>
        <w:keepLines/>
        <w:spacing w:line="320" w:lineRule="exact"/>
        <w:ind w:left="4320"/>
        <w:jc w:val="both"/>
        <w:rPr>
          <w:rFonts w:ascii="Palatino Linotype" w:hAnsi="Palatino Linotype"/>
        </w:rPr>
      </w:pPr>
      <w:r w:rsidRPr="002A15A3">
        <w:rPr>
          <w:rFonts w:ascii="Palatino Linotype" w:hAnsi="Palatino Linotype"/>
        </w:rPr>
        <w:t>Brooke E. Leslie, Counsel</w:t>
      </w:r>
    </w:p>
    <w:p w:rsidR="002A15A3" w:rsidRPr="002A15A3" w:rsidRDefault="002A15A3" w:rsidP="006B01E6">
      <w:pPr>
        <w:keepNext/>
        <w:keepLines/>
        <w:spacing w:line="320" w:lineRule="exact"/>
        <w:ind w:left="4320"/>
        <w:jc w:val="both"/>
        <w:rPr>
          <w:rFonts w:ascii="Palatino Linotype" w:hAnsi="Palatino Linotype"/>
        </w:rPr>
      </w:pPr>
      <w:r w:rsidRPr="002A15A3">
        <w:rPr>
          <w:rFonts w:ascii="Palatino Linotype" w:hAnsi="Palatino Linotype"/>
        </w:rPr>
        <w:t>200 Civic Center Drive</w:t>
      </w:r>
    </w:p>
    <w:p w:rsidR="002A15A3" w:rsidRPr="002A15A3" w:rsidRDefault="002A15A3" w:rsidP="006B01E6">
      <w:pPr>
        <w:keepNext/>
        <w:keepLines/>
        <w:spacing w:line="320" w:lineRule="exact"/>
        <w:ind w:left="4320"/>
        <w:jc w:val="both"/>
        <w:rPr>
          <w:rFonts w:ascii="Palatino Linotype" w:hAnsi="Palatino Linotype"/>
        </w:rPr>
      </w:pPr>
      <w:smartTag w:uri="urn:schemas-microsoft-com:office:smarttags" w:element="address">
        <w:smartTag w:uri="urn:schemas-microsoft-com:office:smarttags" w:element="Street">
          <w:r w:rsidRPr="002A15A3">
            <w:rPr>
              <w:rFonts w:ascii="Palatino Linotype" w:hAnsi="Palatino Linotype"/>
            </w:rPr>
            <w:t>P. O. Box</w:t>
          </w:r>
        </w:smartTag>
        <w:r w:rsidRPr="002A15A3">
          <w:rPr>
            <w:rFonts w:ascii="Palatino Linotype" w:hAnsi="Palatino Linotype"/>
          </w:rPr>
          <w:t xml:space="preserve"> 117</w:t>
        </w:r>
      </w:smartTag>
    </w:p>
    <w:p w:rsidR="002A15A3" w:rsidRPr="002A15A3" w:rsidRDefault="002A15A3" w:rsidP="006B01E6">
      <w:pPr>
        <w:keepNext/>
        <w:keepLines/>
        <w:spacing w:line="320" w:lineRule="exact"/>
        <w:ind w:left="4320"/>
        <w:jc w:val="both"/>
        <w:rPr>
          <w:rFonts w:ascii="Palatino Linotype" w:hAnsi="Palatino Linotype"/>
        </w:rPr>
      </w:pPr>
      <w:smartTag w:uri="urn:schemas-microsoft-com:office:smarttags" w:element="place">
        <w:smartTag w:uri="urn:schemas-microsoft-com:office:smarttags" w:element="City">
          <w:r w:rsidRPr="002A15A3">
            <w:rPr>
              <w:rFonts w:ascii="Palatino Linotype" w:hAnsi="Palatino Linotype"/>
            </w:rPr>
            <w:t>Columbus</w:t>
          </w:r>
        </w:smartTag>
        <w:r w:rsidRPr="002A15A3">
          <w:rPr>
            <w:rFonts w:ascii="Palatino Linotype" w:hAnsi="Palatino Linotype"/>
          </w:rPr>
          <w:t xml:space="preserve">, </w:t>
        </w:r>
        <w:smartTag w:uri="urn:schemas-microsoft-com:office:smarttags" w:element="State">
          <w:r w:rsidRPr="002A15A3">
            <w:rPr>
              <w:rFonts w:ascii="Palatino Linotype" w:hAnsi="Palatino Linotype"/>
            </w:rPr>
            <w:t>Ohio</w:t>
          </w:r>
        </w:smartTag>
        <w:r w:rsidRPr="002A15A3">
          <w:rPr>
            <w:rFonts w:ascii="Palatino Linotype" w:hAnsi="Palatino Linotype"/>
          </w:rPr>
          <w:t xml:space="preserve"> </w:t>
        </w:r>
        <w:smartTag w:uri="urn:schemas-microsoft-com:office:smarttags" w:element="PostalCode">
          <w:r w:rsidRPr="002A15A3">
            <w:rPr>
              <w:rFonts w:ascii="Palatino Linotype" w:hAnsi="Palatino Linotype"/>
            </w:rPr>
            <w:t>43216-0117</w:t>
          </w:r>
        </w:smartTag>
      </w:smartTag>
    </w:p>
    <w:p w:rsidR="002A15A3" w:rsidRPr="002A15A3" w:rsidRDefault="002A15A3" w:rsidP="006B01E6">
      <w:pPr>
        <w:keepNext/>
        <w:keepLines/>
        <w:spacing w:line="320" w:lineRule="exact"/>
        <w:ind w:left="4320"/>
        <w:jc w:val="both"/>
        <w:rPr>
          <w:rFonts w:ascii="Palatino Linotype" w:hAnsi="Palatino Linotype"/>
        </w:rPr>
      </w:pPr>
      <w:r w:rsidRPr="002A15A3">
        <w:rPr>
          <w:rFonts w:ascii="Palatino Linotype" w:hAnsi="Palatino Linotype"/>
        </w:rPr>
        <w:t>Telephone: (614) 460-4648</w:t>
      </w:r>
    </w:p>
    <w:p w:rsidR="002A15A3" w:rsidRPr="002A15A3" w:rsidRDefault="002A15A3" w:rsidP="006B01E6">
      <w:pPr>
        <w:keepNext/>
        <w:keepLines/>
        <w:spacing w:line="320" w:lineRule="exact"/>
        <w:ind w:left="4320"/>
        <w:jc w:val="both"/>
        <w:rPr>
          <w:rFonts w:ascii="Palatino Linotype" w:hAnsi="Palatino Linotype"/>
        </w:rPr>
      </w:pPr>
      <w:r w:rsidRPr="002A15A3">
        <w:rPr>
          <w:rFonts w:ascii="Palatino Linotype" w:hAnsi="Palatino Linotype"/>
        </w:rPr>
        <w:t>Fax: (614) 460-6986</w:t>
      </w:r>
    </w:p>
    <w:p w:rsidR="002A15A3" w:rsidRPr="002A15A3" w:rsidRDefault="002A15A3" w:rsidP="006B01E6">
      <w:pPr>
        <w:keepNext/>
        <w:keepLines/>
        <w:spacing w:line="320" w:lineRule="exact"/>
        <w:ind w:left="4320"/>
        <w:jc w:val="both"/>
        <w:rPr>
          <w:rFonts w:ascii="Palatino Linotype" w:hAnsi="Palatino Linotype"/>
        </w:rPr>
      </w:pPr>
      <w:r w:rsidRPr="002A15A3">
        <w:rPr>
          <w:rFonts w:ascii="Palatino Linotype" w:hAnsi="Palatino Linotype"/>
        </w:rPr>
        <w:t>Email:</w:t>
      </w:r>
      <w:r w:rsidRPr="002A15A3">
        <w:rPr>
          <w:rFonts w:ascii="Palatino Linotype" w:hAnsi="Palatino Linotype"/>
        </w:rPr>
        <w:tab/>
        <w:t>sseiple@nisource.com</w:t>
      </w:r>
    </w:p>
    <w:p w:rsidR="002A15A3" w:rsidRPr="002A15A3" w:rsidRDefault="002A15A3" w:rsidP="00D3508D">
      <w:pPr>
        <w:keepNext/>
        <w:keepLines/>
        <w:spacing w:line="320" w:lineRule="exact"/>
        <w:ind w:left="4320" w:firstLine="720"/>
        <w:jc w:val="both"/>
        <w:rPr>
          <w:rFonts w:ascii="Palatino Linotype" w:hAnsi="Palatino Linotype"/>
        </w:rPr>
      </w:pPr>
      <w:r w:rsidRPr="002A15A3">
        <w:rPr>
          <w:rFonts w:ascii="Palatino Linotype" w:hAnsi="Palatino Linotype"/>
        </w:rPr>
        <w:t>bleslie@nisource.com</w:t>
      </w:r>
    </w:p>
    <w:p w:rsidR="002A15A3" w:rsidRPr="002A15A3" w:rsidRDefault="002A15A3" w:rsidP="006B01E6">
      <w:pPr>
        <w:keepNext/>
        <w:keepLines/>
        <w:spacing w:line="320" w:lineRule="exact"/>
        <w:ind w:left="4320"/>
        <w:jc w:val="both"/>
        <w:rPr>
          <w:rFonts w:ascii="Palatino Linotype" w:hAnsi="Palatino Linotype"/>
        </w:rPr>
      </w:pPr>
    </w:p>
    <w:p w:rsidR="002A15A3" w:rsidRPr="002A15A3" w:rsidRDefault="002A15A3" w:rsidP="006B01E6">
      <w:pPr>
        <w:keepNext/>
        <w:keepLines/>
        <w:spacing w:line="320" w:lineRule="exact"/>
        <w:ind w:left="4320"/>
        <w:jc w:val="both"/>
        <w:rPr>
          <w:rFonts w:ascii="Palatino Linotype" w:hAnsi="Palatino Linotype"/>
          <w:b/>
        </w:rPr>
      </w:pPr>
      <w:r w:rsidRPr="002A15A3">
        <w:rPr>
          <w:rFonts w:ascii="Palatino Linotype" w:hAnsi="Palatino Linotype"/>
        </w:rPr>
        <w:t>Attorneys for Applicant</w:t>
      </w:r>
    </w:p>
    <w:p w:rsidR="002A15A3" w:rsidRPr="002A15A3" w:rsidRDefault="002A15A3" w:rsidP="006B01E6">
      <w:pPr>
        <w:keepNext/>
        <w:keepLines/>
        <w:spacing w:line="320" w:lineRule="exact"/>
        <w:ind w:left="4320"/>
        <w:jc w:val="both"/>
        <w:rPr>
          <w:rFonts w:ascii="Palatino Linotype" w:hAnsi="Palatino Linotype"/>
        </w:rPr>
      </w:pPr>
      <w:proofErr w:type="gramStart"/>
      <w:r w:rsidRPr="002A15A3">
        <w:rPr>
          <w:rFonts w:ascii="Palatino Linotype" w:hAnsi="Palatino Linotype"/>
          <w:b/>
          <w:bCs/>
          <w:spacing w:val="-12"/>
        </w:rPr>
        <w:t>COLUMBIA</w:t>
      </w:r>
      <w:r w:rsidRPr="002A15A3">
        <w:rPr>
          <w:rFonts w:ascii="Palatino Linotype" w:hAnsi="Palatino Linotype"/>
          <w:bCs/>
          <w:spacing w:val="-12"/>
        </w:rPr>
        <w:t xml:space="preserve"> </w:t>
      </w:r>
      <w:r w:rsidRPr="002A15A3">
        <w:rPr>
          <w:rFonts w:ascii="Palatino Linotype" w:hAnsi="Palatino Linotype"/>
          <w:b/>
          <w:bCs/>
          <w:spacing w:val="-12"/>
        </w:rPr>
        <w:t>GAS OF OHIO, INC</w:t>
      </w:r>
      <w:r w:rsidRPr="002A15A3">
        <w:rPr>
          <w:rFonts w:ascii="Palatino Linotype" w:hAnsi="Palatino Linotype"/>
          <w:b/>
          <w:bCs/>
        </w:rPr>
        <w:t>.</w:t>
      </w:r>
      <w:proofErr w:type="gramEnd"/>
    </w:p>
    <w:p w:rsidR="002A15A3" w:rsidRPr="003E5173" w:rsidRDefault="002A15A3" w:rsidP="003E5173">
      <w:pPr>
        <w:spacing w:line="320" w:lineRule="exact"/>
        <w:jc w:val="both"/>
        <w:rPr>
          <w:rFonts w:ascii="Palatino Linotype" w:hAnsi="Palatino Linotype"/>
        </w:rPr>
      </w:pPr>
    </w:p>
    <w:p w:rsidR="00FA7494" w:rsidRDefault="00FA7494">
      <w:pPr>
        <w:spacing w:line="300" w:lineRule="exact"/>
        <w:ind w:firstLine="720"/>
        <w:jc w:val="center"/>
        <w:rPr>
          <w:rFonts w:ascii="Palatino Linotype" w:hAnsi="Palatino Linotype"/>
        </w:rPr>
      </w:pPr>
      <w:r>
        <w:rPr>
          <w:rFonts w:ascii="Palatino Linotype" w:hAnsi="Palatino Linotype"/>
        </w:rPr>
        <w:br w:type="page"/>
      </w:r>
    </w:p>
    <w:p w:rsidR="00FA7494" w:rsidRPr="00FA7494" w:rsidRDefault="00FA7494" w:rsidP="00FA7494">
      <w:pPr>
        <w:spacing w:line="320" w:lineRule="exact"/>
        <w:jc w:val="center"/>
        <w:rPr>
          <w:rFonts w:ascii="Palatino Linotype" w:hAnsi="Palatino Linotype"/>
          <w:b/>
          <w:spacing w:val="-12"/>
        </w:rPr>
      </w:pPr>
      <w:r w:rsidRPr="00FA7494">
        <w:rPr>
          <w:rFonts w:ascii="Palatino Linotype" w:hAnsi="Palatino Linotype"/>
          <w:b/>
          <w:spacing w:val="-12"/>
        </w:rPr>
        <w:lastRenderedPageBreak/>
        <w:t>CERTIFIC</w:t>
      </w:r>
      <w:bookmarkStart w:id="0" w:name="_GoBack"/>
      <w:bookmarkEnd w:id="0"/>
      <w:r w:rsidRPr="00FA7494">
        <w:rPr>
          <w:rFonts w:ascii="Palatino Linotype" w:hAnsi="Palatino Linotype"/>
          <w:b/>
          <w:spacing w:val="-12"/>
        </w:rPr>
        <w:t>ATE OF SERVICE</w:t>
      </w:r>
    </w:p>
    <w:p w:rsidR="00FA7494" w:rsidRPr="00FA7494" w:rsidRDefault="00FA7494" w:rsidP="00FA7494">
      <w:pPr>
        <w:spacing w:line="320" w:lineRule="exact"/>
        <w:jc w:val="center"/>
        <w:rPr>
          <w:rFonts w:ascii="Palatino Linotype" w:hAnsi="Palatino Linotype"/>
          <w:b/>
        </w:rPr>
      </w:pPr>
    </w:p>
    <w:p w:rsidR="00FA7494" w:rsidRPr="00FA7494" w:rsidRDefault="00FA7494" w:rsidP="00FA7494">
      <w:pPr>
        <w:spacing w:line="320" w:lineRule="exact"/>
        <w:ind w:firstLine="720"/>
        <w:jc w:val="both"/>
        <w:rPr>
          <w:rFonts w:ascii="Palatino Linotype" w:hAnsi="Palatino Linotype"/>
        </w:rPr>
      </w:pPr>
      <w:r w:rsidRPr="00FA7494">
        <w:rPr>
          <w:rFonts w:ascii="Palatino Linotype" w:hAnsi="Palatino Linotype"/>
        </w:rPr>
        <w:t xml:space="preserve">I hereby certify that a true copy of the foregoing </w:t>
      </w:r>
      <w:r>
        <w:rPr>
          <w:rFonts w:ascii="Palatino Linotype" w:hAnsi="Palatino Linotype"/>
        </w:rPr>
        <w:t>Reply Comments of C</w:t>
      </w:r>
      <w:r>
        <w:rPr>
          <w:rFonts w:ascii="Palatino Linotype" w:hAnsi="Palatino Linotype"/>
        </w:rPr>
        <w:t>o</w:t>
      </w:r>
      <w:r>
        <w:rPr>
          <w:rFonts w:ascii="Palatino Linotype" w:hAnsi="Palatino Linotype"/>
        </w:rPr>
        <w:t xml:space="preserve">lumbia Gas of Ohio, Inc. was </w:t>
      </w:r>
      <w:r w:rsidRPr="00FA7494">
        <w:rPr>
          <w:rFonts w:ascii="Palatino Linotype" w:hAnsi="Palatino Linotype"/>
        </w:rPr>
        <w:t xml:space="preserve">sent by electronic mail to the parties listed below on this </w:t>
      </w:r>
      <w:r>
        <w:rPr>
          <w:rFonts w:ascii="Palatino Linotype" w:hAnsi="Palatino Linotype"/>
        </w:rPr>
        <w:t>27</w:t>
      </w:r>
      <w:r w:rsidRPr="00FA7494">
        <w:rPr>
          <w:rFonts w:ascii="Palatino Linotype" w:hAnsi="Palatino Linotype"/>
          <w:vertAlign w:val="superscript"/>
        </w:rPr>
        <w:t>th</w:t>
      </w:r>
      <w:r w:rsidRPr="00FA7494">
        <w:rPr>
          <w:rFonts w:ascii="Palatino Linotype" w:hAnsi="Palatino Linotype"/>
        </w:rPr>
        <w:t xml:space="preserve"> day of</w:t>
      </w:r>
      <w:r>
        <w:rPr>
          <w:rFonts w:ascii="Palatino Linotype" w:hAnsi="Palatino Linotype"/>
        </w:rPr>
        <w:t xml:space="preserve"> February</w:t>
      </w:r>
      <w:r w:rsidRPr="00FA7494">
        <w:rPr>
          <w:rFonts w:ascii="Palatino Linotype" w:hAnsi="Palatino Linotype"/>
        </w:rPr>
        <w:t>, 201</w:t>
      </w:r>
      <w:r>
        <w:rPr>
          <w:rFonts w:ascii="Palatino Linotype" w:hAnsi="Palatino Linotype"/>
        </w:rPr>
        <w:t>2</w:t>
      </w:r>
      <w:r w:rsidRPr="00FA7494">
        <w:rPr>
          <w:rFonts w:ascii="Palatino Linotype" w:hAnsi="Palatino Linotype"/>
        </w:rPr>
        <w:t>.</w:t>
      </w:r>
    </w:p>
    <w:p w:rsidR="00FA7494" w:rsidRPr="00FA7494" w:rsidRDefault="00FA7494" w:rsidP="00FA7494">
      <w:pPr>
        <w:spacing w:line="320" w:lineRule="exact"/>
        <w:jc w:val="both"/>
        <w:rPr>
          <w:rFonts w:ascii="Palatino Linotype" w:hAnsi="Palatino Linotype"/>
        </w:rPr>
      </w:pPr>
    </w:p>
    <w:p w:rsidR="00FA7494" w:rsidRPr="00FA7494" w:rsidRDefault="00FA7494" w:rsidP="00FA7494">
      <w:pPr>
        <w:spacing w:line="320" w:lineRule="exact"/>
        <w:jc w:val="both"/>
        <w:rPr>
          <w:rFonts w:ascii="Palatino Linotype" w:hAnsi="Palatino Linotype"/>
        </w:rPr>
      </w:pPr>
    </w:p>
    <w:p w:rsidR="00FA7494" w:rsidRPr="00FA7494" w:rsidRDefault="00FA7494" w:rsidP="00FA7494">
      <w:pPr>
        <w:spacing w:line="320" w:lineRule="exact"/>
        <w:jc w:val="both"/>
        <w:rPr>
          <w:rFonts w:ascii="Palatino Linotype" w:hAnsi="Palatino Linotype"/>
          <w:u w:val="single"/>
        </w:rPr>
      </w:pPr>
      <w:r w:rsidRPr="00FA7494">
        <w:rPr>
          <w:rFonts w:ascii="Palatino Linotype" w:hAnsi="Palatino Linotype"/>
        </w:rPr>
        <w:tab/>
      </w:r>
      <w:r w:rsidRPr="00FA7494">
        <w:rPr>
          <w:rFonts w:ascii="Palatino Linotype" w:hAnsi="Palatino Linotype"/>
        </w:rPr>
        <w:tab/>
      </w:r>
      <w:r w:rsidRPr="00FA7494">
        <w:rPr>
          <w:rFonts w:ascii="Palatino Linotype" w:hAnsi="Palatino Linotype"/>
        </w:rPr>
        <w:tab/>
      </w:r>
      <w:r w:rsidRPr="00FA7494">
        <w:rPr>
          <w:rFonts w:ascii="Palatino Linotype" w:hAnsi="Palatino Linotype"/>
        </w:rPr>
        <w:tab/>
      </w:r>
      <w:r w:rsidRPr="00FA7494">
        <w:rPr>
          <w:rFonts w:ascii="Palatino Linotype" w:hAnsi="Palatino Linotype"/>
        </w:rPr>
        <w:tab/>
      </w:r>
      <w:r w:rsidRPr="00FA7494">
        <w:rPr>
          <w:rFonts w:ascii="Palatino Linotype" w:hAnsi="Palatino Linotype"/>
        </w:rPr>
        <w:tab/>
      </w:r>
      <w:r w:rsidRPr="00FA7494">
        <w:rPr>
          <w:rFonts w:ascii="Palatino Linotype" w:hAnsi="Palatino Linotype"/>
          <w:u w:val="single"/>
        </w:rPr>
        <w:t>/s/ Stephen B. Seiple</w:t>
      </w:r>
      <w:r w:rsidRPr="00FA7494">
        <w:rPr>
          <w:rFonts w:ascii="Palatino Linotype" w:hAnsi="Palatino Linotype"/>
          <w:u w:val="single"/>
        </w:rPr>
        <w:tab/>
      </w:r>
      <w:r w:rsidRPr="00FA7494">
        <w:rPr>
          <w:rFonts w:ascii="Palatino Linotype" w:hAnsi="Palatino Linotype"/>
          <w:u w:val="single"/>
        </w:rPr>
        <w:tab/>
      </w:r>
      <w:r w:rsidRPr="00FA7494">
        <w:rPr>
          <w:rFonts w:ascii="Palatino Linotype" w:hAnsi="Palatino Linotype"/>
          <w:u w:val="single"/>
        </w:rPr>
        <w:tab/>
      </w:r>
      <w:r w:rsidRPr="00FA7494">
        <w:rPr>
          <w:rFonts w:ascii="Palatino Linotype" w:hAnsi="Palatino Linotype"/>
          <w:u w:val="single"/>
        </w:rPr>
        <w:tab/>
      </w:r>
    </w:p>
    <w:p w:rsidR="00FA7494" w:rsidRPr="00FA7494" w:rsidRDefault="00FA7494" w:rsidP="00FA7494">
      <w:pPr>
        <w:spacing w:line="320" w:lineRule="exact"/>
        <w:jc w:val="both"/>
        <w:rPr>
          <w:rFonts w:ascii="Palatino Linotype" w:hAnsi="Palatino Linotype"/>
        </w:rPr>
      </w:pPr>
      <w:r w:rsidRPr="00FA7494">
        <w:rPr>
          <w:rFonts w:ascii="Palatino Linotype" w:hAnsi="Palatino Linotype"/>
        </w:rPr>
        <w:tab/>
      </w:r>
      <w:r w:rsidRPr="00FA7494">
        <w:rPr>
          <w:rFonts w:ascii="Palatino Linotype" w:hAnsi="Palatino Linotype"/>
        </w:rPr>
        <w:tab/>
      </w:r>
      <w:r w:rsidRPr="00FA7494">
        <w:rPr>
          <w:rFonts w:ascii="Palatino Linotype" w:hAnsi="Palatino Linotype"/>
        </w:rPr>
        <w:tab/>
      </w:r>
      <w:r w:rsidRPr="00FA7494">
        <w:rPr>
          <w:rFonts w:ascii="Palatino Linotype" w:hAnsi="Palatino Linotype"/>
        </w:rPr>
        <w:tab/>
      </w:r>
      <w:r w:rsidRPr="00FA7494">
        <w:rPr>
          <w:rFonts w:ascii="Palatino Linotype" w:hAnsi="Palatino Linotype"/>
        </w:rPr>
        <w:tab/>
      </w:r>
      <w:r w:rsidRPr="00FA7494">
        <w:rPr>
          <w:rFonts w:ascii="Palatino Linotype" w:hAnsi="Palatino Linotype"/>
        </w:rPr>
        <w:tab/>
        <w:t>Stephen B. Seiple</w:t>
      </w:r>
    </w:p>
    <w:p w:rsidR="00FA7494" w:rsidRPr="00FA7494" w:rsidRDefault="00FA7494" w:rsidP="00FA7494">
      <w:pPr>
        <w:spacing w:line="320" w:lineRule="exact"/>
        <w:jc w:val="both"/>
        <w:rPr>
          <w:rFonts w:ascii="Palatino Linotype" w:hAnsi="Palatino Linotype"/>
        </w:rPr>
      </w:pPr>
      <w:r w:rsidRPr="00FA7494">
        <w:rPr>
          <w:rFonts w:ascii="Palatino Linotype" w:hAnsi="Palatino Linotype"/>
        </w:rPr>
        <w:tab/>
      </w:r>
      <w:r w:rsidRPr="00FA7494">
        <w:rPr>
          <w:rFonts w:ascii="Palatino Linotype" w:hAnsi="Palatino Linotype"/>
        </w:rPr>
        <w:tab/>
      </w:r>
      <w:r w:rsidRPr="00FA7494">
        <w:rPr>
          <w:rFonts w:ascii="Palatino Linotype" w:hAnsi="Palatino Linotype"/>
        </w:rPr>
        <w:tab/>
      </w:r>
      <w:r w:rsidRPr="00FA7494">
        <w:rPr>
          <w:rFonts w:ascii="Palatino Linotype" w:hAnsi="Palatino Linotype"/>
        </w:rPr>
        <w:tab/>
      </w:r>
      <w:r w:rsidRPr="00FA7494">
        <w:rPr>
          <w:rFonts w:ascii="Palatino Linotype" w:hAnsi="Palatino Linotype"/>
        </w:rPr>
        <w:tab/>
      </w:r>
      <w:r w:rsidRPr="00FA7494">
        <w:rPr>
          <w:rFonts w:ascii="Palatino Linotype" w:hAnsi="Palatino Linotype"/>
        </w:rPr>
        <w:tab/>
        <w:t>Attorney for</w:t>
      </w:r>
    </w:p>
    <w:p w:rsidR="00FA7494" w:rsidRPr="003D5C41" w:rsidRDefault="00FA7494" w:rsidP="00FA7494">
      <w:pPr>
        <w:spacing w:line="320" w:lineRule="exact"/>
        <w:jc w:val="both"/>
        <w:rPr>
          <w:rFonts w:ascii="Palatino Linotype" w:hAnsi="Palatino Linotype"/>
          <w:b/>
          <w:spacing w:val="-12"/>
        </w:rPr>
      </w:pPr>
      <w:r w:rsidRPr="00FA7494">
        <w:rPr>
          <w:rFonts w:ascii="Palatino Linotype" w:hAnsi="Palatino Linotype"/>
        </w:rPr>
        <w:tab/>
      </w:r>
      <w:r w:rsidRPr="00FA7494">
        <w:rPr>
          <w:rFonts w:ascii="Palatino Linotype" w:hAnsi="Palatino Linotype"/>
        </w:rPr>
        <w:tab/>
      </w:r>
      <w:r w:rsidRPr="00FA7494">
        <w:rPr>
          <w:rFonts w:ascii="Palatino Linotype" w:hAnsi="Palatino Linotype"/>
        </w:rPr>
        <w:tab/>
      </w:r>
      <w:r w:rsidRPr="00FA7494">
        <w:rPr>
          <w:rFonts w:ascii="Palatino Linotype" w:hAnsi="Palatino Linotype"/>
        </w:rPr>
        <w:tab/>
      </w:r>
      <w:r w:rsidRPr="00FA7494">
        <w:rPr>
          <w:rFonts w:ascii="Palatino Linotype" w:hAnsi="Palatino Linotype"/>
        </w:rPr>
        <w:tab/>
      </w:r>
      <w:r w:rsidRPr="00FA7494">
        <w:rPr>
          <w:rFonts w:ascii="Palatino Linotype" w:hAnsi="Palatino Linotype"/>
        </w:rPr>
        <w:tab/>
      </w:r>
      <w:proofErr w:type="gramStart"/>
      <w:r w:rsidRPr="003D5C41">
        <w:rPr>
          <w:rFonts w:ascii="Palatino Linotype" w:hAnsi="Palatino Linotype"/>
          <w:b/>
          <w:spacing w:val="-12"/>
        </w:rPr>
        <w:t>COLUMBIA GAS OF OHIO, INC.</w:t>
      </w:r>
      <w:proofErr w:type="gramEnd"/>
    </w:p>
    <w:p w:rsidR="00FA7494" w:rsidRPr="00FA7494" w:rsidRDefault="00FA7494" w:rsidP="00FA7494">
      <w:pPr>
        <w:spacing w:line="320" w:lineRule="exact"/>
        <w:jc w:val="both"/>
        <w:rPr>
          <w:rFonts w:ascii="Palatino Linotype" w:hAnsi="Palatino Linotype"/>
          <w:b/>
        </w:rPr>
      </w:pPr>
    </w:p>
    <w:p w:rsidR="00FA7494" w:rsidRPr="00FA7494" w:rsidRDefault="00FA7494" w:rsidP="00FA7494">
      <w:pPr>
        <w:spacing w:line="320" w:lineRule="exact"/>
        <w:jc w:val="both"/>
        <w:rPr>
          <w:rFonts w:ascii="Palatino Linotype" w:hAnsi="Palatino Linotype"/>
          <w:b/>
        </w:rPr>
      </w:pPr>
    </w:p>
    <w:p w:rsidR="00FA7494" w:rsidRPr="003D5C41" w:rsidRDefault="00FA7494" w:rsidP="00FA7494">
      <w:pPr>
        <w:spacing w:line="320" w:lineRule="exact"/>
        <w:jc w:val="center"/>
        <w:rPr>
          <w:rFonts w:ascii="Palatino Linotype" w:hAnsi="Palatino Linotype"/>
          <w:b/>
          <w:spacing w:val="-12"/>
        </w:rPr>
      </w:pPr>
      <w:r w:rsidRPr="003D5C41">
        <w:rPr>
          <w:rFonts w:ascii="Palatino Linotype" w:hAnsi="Palatino Linotype"/>
          <w:b/>
          <w:spacing w:val="-12"/>
        </w:rPr>
        <w:t>SERVICE LIST</w:t>
      </w:r>
    </w:p>
    <w:p w:rsidR="00FA7494" w:rsidRPr="00FA7494" w:rsidRDefault="00FA7494" w:rsidP="00FA7494">
      <w:pPr>
        <w:spacing w:line="320" w:lineRule="exact"/>
        <w:jc w:val="both"/>
        <w:rPr>
          <w:rFonts w:ascii="Palatino Linotype" w:hAnsi="Palatino Linotype"/>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FA7494" w:rsidRPr="00FA7494" w:rsidTr="00E32B92">
        <w:tc>
          <w:tcPr>
            <w:tcW w:w="4428" w:type="dxa"/>
          </w:tcPr>
          <w:p w:rsidR="00FA7494" w:rsidRPr="00FA7494" w:rsidRDefault="00FA7494" w:rsidP="00FA7494">
            <w:pPr>
              <w:spacing w:line="320" w:lineRule="exact"/>
              <w:jc w:val="both"/>
              <w:rPr>
                <w:rFonts w:ascii="Palatino Linotype" w:hAnsi="Palatino Linotype"/>
              </w:rPr>
            </w:pPr>
            <w:r w:rsidRPr="00FA7494">
              <w:rPr>
                <w:rFonts w:ascii="Palatino Linotype" w:hAnsi="Palatino Linotype"/>
              </w:rPr>
              <w:t xml:space="preserve">Joseph P. </w:t>
            </w:r>
            <w:proofErr w:type="spellStart"/>
            <w:r w:rsidRPr="00FA7494">
              <w:rPr>
                <w:rFonts w:ascii="Palatino Linotype" w:hAnsi="Palatino Linotype"/>
              </w:rPr>
              <w:t>Serio</w:t>
            </w:r>
            <w:proofErr w:type="spellEnd"/>
          </w:p>
          <w:p w:rsidR="00FA7494" w:rsidRPr="00FA7494" w:rsidRDefault="00FA7494" w:rsidP="00FA7494">
            <w:pPr>
              <w:spacing w:line="320" w:lineRule="exact"/>
              <w:jc w:val="both"/>
              <w:rPr>
                <w:rFonts w:ascii="Palatino Linotype" w:hAnsi="Palatino Linotype"/>
              </w:rPr>
            </w:pPr>
            <w:r w:rsidRPr="00FA7494">
              <w:rPr>
                <w:rFonts w:ascii="Palatino Linotype" w:hAnsi="Palatino Linotype"/>
              </w:rPr>
              <w:t>Assistant Consumers’ Counsel</w:t>
            </w:r>
          </w:p>
          <w:p w:rsidR="00FA7494" w:rsidRPr="00FA7494" w:rsidRDefault="00FA7494" w:rsidP="00FA7494">
            <w:pPr>
              <w:spacing w:line="320" w:lineRule="exact"/>
              <w:jc w:val="both"/>
              <w:rPr>
                <w:rFonts w:ascii="Palatino Linotype" w:hAnsi="Palatino Linotype"/>
              </w:rPr>
            </w:pPr>
            <w:r w:rsidRPr="00FA7494">
              <w:rPr>
                <w:rFonts w:ascii="Palatino Linotype" w:hAnsi="Palatino Linotype"/>
              </w:rPr>
              <w:t>10 West Broad Street, Suite 1800</w:t>
            </w:r>
          </w:p>
          <w:p w:rsidR="00FA7494" w:rsidRPr="00FA7494" w:rsidRDefault="00FA7494" w:rsidP="00FA7494">
            <w:pPr>
              <w:spacing w:line="320" w:lineRule="exact"/>
              <w:jc w:val="both"/>
              <w:rPr>
                <w:rFonts w:ascii="Palatino Linotype" w:hAnsi="Palatino Linotype"/>
              </w:rPr>
            </w:pPr>
            <w:r w:rsidRPr="00FA7494">
              <w:rPr>
                <w:rFonts w:ascii="Palatino Linotype" w:hAnsi="Palatino Linotype"/>
              </w:rPr>
              <w:t>Columbus, OH 43215-3485</w:t>
            </w:r>
          </w:p>
          <w:p w:rsidR="00FA7494" w:rsidRPr="00FA7494" w:rsidRDefault="00FA7494" w:rsidP="00FA7494">
            <w:pPr>
              <w:spacing w:line="320" w:lineRule="exact"/>
              <w:jc w:val="both"/>
              <w:rPr>
                <w:rFonts w:ascii="Palatino Linotype" w:hAnsi="Palatino Linotype"/>
              </w:rPr>
            </w:pPr>
            <w:r w:rsidRPr="00FA7494">
              <w:rPr>
                <w:rFonts w:ascii="Palatino Linotype" w:hAnsi="Palatino Linotype"/>
              </w:rPr>
              <w:t>serio@occ.state.oh.us</w:t>
            </w:r>
          </w:p>
          <w:p w:rsidR="00FA7494" w:rsidRPr="00FA7494" w:rsidRDefault="00FA7494" w:rsidP="00FA7494">
            <w:pPr>
              <w:spacing w:line="320" w:lineRule="exact"/>
              <w:jc w:val="both"/>
              <w:rPr>
                <w:rFonts w:ascii="Palatino Linotype" w:hAnsi="Palatino Linotype"/>
              </w:rPr>
            </w:pPr>
          </w:p>
        </w:tc>
        <w:tc>
          <w:tcPr>
            <w:tcW w:w="4428" w:type="dxa"/>
          </w:tcPr>
          <w:p w:rsidR="00FA7494" w:rsidRPr="00FA7494" w:rsidRDefault="00FA7494" w:rsidP="00FA7494">
            <w:pPr>
              <w:spacing w:line="320" w:lineRule="exact"/>
              <w:jc w:val="both"/>
              <w:rPr>
                <w:rFonts w:ascii="Palatino Linotype" w:hAnsi="Palatino Linotype"/>
              </w:rPr>
            </w:pPr>
            <w:r w:rsidRPr="00FA7494">
              <w:rPr>
                <w:rFonts w:ascii="Palatino Linotype" w:hAnsi="Palatino Linotype"/>
              </w:rPr>
              <w:t>Colleen L. Mooney</w:t>
            </w:r>
          </w:p>
          <w:p w:rsidR="00FA7494" w:rsidRPr="00FA7494" w:rsidRDefault="00FA7494" w:rsidP="00FA7494">
            <w:pPr>
              <w:spacing w:line="320" w:lineRule="exact"/>
              <w:jc w:val="both"/>
              <w:rPr>
                <w:rFonts w:ascii="Palatino Linotype" w:hAnsi="Palatino Linotype"/>
              </w:rPr>
            </w:pPr>
            <w:r w:rsidRPr="00FA7494">
              <w:rPr>
                <w:rFonts w:ascii="Palatino Linotype" w:hAnsi="Palatino Linotype"/>
              </w:rPr>
              <w:t>Ohio Partners for Affordable Energy</w:t>
            </w:r>
          </w:p>
          <w:p w:rsidR="00FA7494" w:rsidRPr="00FA7494" w:rsidRDefault="00FA7494" w:rsidP="00FA7494">
            <w:pPr>
              <w:spacing w:line="320" w:lineRule="exact"/>
              <w:jc w:val="both"/>
              <w:rPr>
                <w:rFonts w:ascii="Palatino Linotype" w:hAnsi="Palatino Linotype"/>
              </w:rPr>
            </w:pPr>
            <w:r w:rsidRPr="00FA7494">
              <w:rPr>
                <w:rFonts w:ascii="Palatino Linotype" w:hAnsi="Palatino Linotype"/>
              </w:rPr>
              <w:t>231 West Lima Street</w:t>
            </w:r>
          </w:p>
          <w:p w:rsidR="00FA7494" w:rsidRPr="00FA7494" w:rsidRDefault="00FA7494" w:rsidP="00FA7494">
            <w:pPr>
              <w:spacing w:line="320" w:lineRule="exact"/>
              <w:jc w:val="both"/>
              <w:rPr>
                <w:rFonts w:ascii="Palatino Linotype" w:hAnsi="Palatino Linotype"/>
              </w:rPr>
            </w:pPr>
            <w:r w:rsidRPr="00FA7494">
              <w:rPr>
                <w:rFonts w:ascii="Palatino Linotype" w:hAnsi="Palatino Linotype"/>
              </w:rPr>
              <w:t>P.O. Box 1793</w:t>
            </w:r>
          </w:p>
          <w:p w:rsidR="00FA7494" w:rsidRPr="00FA7494" w:rsidRDefault="00FA7494" w:rsidP="00FA7494">
            <w:pPr>
              <w:spacing w:line="320" w:lineRule="exact"/>
              <w:jc w:val="both"/>
              <w:rPr>
                <w:rFonts w:ascii="Palatino Linotype" w:hAnsi="Palatino Linotype"/>
              </w:rPr>
            </w:pPr>
            <w:r w:rsidRPr="00FA7494">
              <w:rPr>
                <w:rFonts w:ascii="Palatino Linotype" w:hAnsi="Palatino Linotype"/>
              </w:rPr>
              <w:t>Findlay, OH 45839-1793</w:t>
            </w:r>
          </w:p>
          <w:p w:rsidR="00FA7494" w:rsidRPr="00FA7494" w:rsidRDefault="00FA7494" w:rsidP="00FA7494">
            <w:pPr>
              <w:spacing w:line="320" w:lineRule="exact"/>
              <w:jc w:val="both"/>
              <w:rPr>
                <w:rFonts w:ascii="Palatino Linotype" w:hAnsi="Palatino Linotype"/>
              </w:rPr>
            </w:pPr>
            <w:r w:rsidRPr="00FA7494">
              <w:rPr>
                <w:rFonts w:ascii="Palatino Linotype" w:hAnsi="Palatino Linotype"/>
              </w:rPr>
              <w:t>cmooney2@columbus.rr.com</w:t>
            </w:r>
          </w:p>
          <w:p w:rsidR="00FA7494" w:rsidRPr="00FA7494" w:rsidRDefault="00FA7494" w:rsidP="00FA7494">
            <w:pPr>
              <w:spacing w:line="320" w:lineRule="exact"/>
              <w:jc w:val="both"/>
              <w:rPr>
                <w:rFonts w:ascii="Palatino Linotype" w:hAnsi="Palatino Linotype"/>
              </w:rPr>
            </w:pPr>
          </w:p>
        </w:tc>
      </w:tr>
      <w:tr w:rsidR="00FA7494" w:rsidRPr="00FA7494" w:rsidTr="00E32B92">
        <w:tc>
          <w:tcPr>
            <w:tcW w:w="4428" w:type="dxa"/>
          </w:tcPr>
          <w:p w:rsidR="00FA7494" w:rsidRPr="00FA7494" w:rsidRDefault="00FA7494" w:rsidP="00FA7494">
            <w:pPr>
              <w:spacing w:line="320" w:lineRule="exact"/>
              <w:jc w:val="both"/>
              <w:rPr>
                <w:rFonts w:ascii="Palatino Linotype" w:hAnsi="Palatino Linotype"/>
              </w:rPr>
            </w:pPr>
            <w:r w:rsidRPr="00FA7494">
              <w:rPr>
                <w:rFonts w:ascii="Palatino Linotype" w:hAnsi="Palatino Linotype"/>
              </w:rPr>
              <w:t>William Wright</w:t>
            </w:r>
          </w:p>
          <w:p w:rsidR="00FA7494" w:rsidRPr="00FA7494" w:rsidRDefault="00FA7494" w:rsidP="00FA7494">
            <w:pPr>
              <w:spacing w:line="320" w:lineRule="exact"/>
              <w:jc w:val="both"/>
              <w:rPr>
                <w:rFonts w:ascii="Palatino Linotype" w:hAnsi="Palatino Linotype"/>
              </w:rPr>
            </w:pPr>
            <w:r w:rsidRPr="00FA7494">
              <w:rPr>
                <w:rFonts w:ascii="Palatino Linotype" w:hAnsi="Palatino Linotype"/>
              </w:rPr>
              <w:t>Chief, Public Utilities Section</w:t>
            </w:r>
          </w:p>
          <w:p w:rsidR="00FA7494" w:rsidRPr="00FA7494" w:rsidRDefault="00FA7494" w:rsidP="00FA7494">
            <w:pPr>
              <w:spacing w:line="320" w:lineRule="exact"/>
              <w:jc w:val="both"/>
              <w:rPr>
                <w:rFonts w:ascii="Palatino Linotype" w:hAnsi="Palatino Linotype"/>
              </w:rPr>
            </w:pPr>
            <w:r w:rsidRPr="00FA7494">
              <w:rPr>
                <w:rFonts w:ascii="Palatino Linotype" w:hAnsi="Palatino Linotype"/>
              </w:rPr>
              <w:t>Public Utilities Commission of Ohio</w:t>
            </w:r>
          </w:p>
          <w:p w:rsidR="00FA7494" w:rsidRPr="00FA7494" w:rsidRDefault="00FA7494" w:rsidP="00FA7494">
            <w:pPr>
              <w:spacing w:line="320" w:lineRule="exact"/>
              <w:jc w:val="both"/>
              <w:rPr>
                <w:rFonts w:ascii="Palatino Linotype" w:hAnsi="Palatino Linotype"/>
              </w:rPr>
            </w:pPr>
            <w:r w:rsidRPr="00FA7494">
              <w:rPr>
                <w:rFonts w:ascii="Palatino Linotype" w:hAnsi="Palatino Linotype"/>
              </w:rPr>
              <w:t>180 East Broad Street, 6</w:t>
            </w:r>
            <w:r w:rsidRPr="00FA7494">
              <w:rPr>
                <w:rFonts w:ascii="Palatino Linotype" w:hAnsi="Palatino Linotype"/>
                <w:vertAlign w:val="superscript"/>
              </w:rPr>
              <w:t>th</w:t>
            </w:r>
            <w:r w:rsidRPr="00FA7494">
              <w:rPr>
                <w:rFonts w:ascii="Palatino Linotype" w:hAnsi="Palatino Linotype"/>
              </w:rPr>
              <w:t xml:space="preserve"> Floor</w:t>
            </w:r>
          </w:p>
          <w:p w:rsidR="00FA7494" w:rsidRPr="00FA7494" w:rsidRDefault="00FA7494" w:rsidP="00FA7494">
            <w:pPr>
              <w:spacing w:line="320" w:lineRule="exact"/>
              <w:jc w:val="both"/>
              <w:rPr>
                <w:rFonts w:ascii="Palatino Linotype" w:hAnsi="Palatino Linotype"/>
              </w:rPr>
            </w:pPr>
            <w:r w:rsidRPr="00FA7494">
              <w:rPr>
                <w:rFonts w:ascii="Palatino Linotype" w:hAnsi="Palatino Linotype"/>
              </w:rPr>
              <w:t>Columbus, OH 43215</w:t>
            </w:r>
          </w:p>
          <w:p w:rsidR="00FA7494" w:rsidRPr="00FA7494" w:rsidRDefault="00FA7494" w:rsidP="00FA7494">
            <w:pPr>
              <w:spacing w:line="320" w:lineRule="exact"/>
              <w:jc w:val="both"/>
              <w:rPr>
                <w:rFonts w:ascii="Palatino Linotype" w:hAnsi="Palatino Linotype"/>
              </w:rPr>
            </w:pPr>
            <w:r w:rsidRPr="00FA7494">
              <w:rPr>
                <w:rFonts w:ascii="Palatino Linotype" w:hAnsi="Palatino Linotype"/>
              </w:rPr>
              <w:t>william.wright@puc.state.oh.us</w:t>
            </w:r>
          </w:p>
          <w:p w:rsidR="00FA7494" w:rsidRPr="00FA7494" w:rsidRDefault="00FA7494" w:rsidP="00FA7494">
            <w:pPr>
              <w:spacing w:line="320" w:lineRule="exact"/>
              <w:jc w:val="both"/>
              <w:rPr>
                <w:rFonts w:ascii="Palatino Linotype" w:hAnsi="Palatino Linotype"/>
              </w:rPr>
            </w:pPr>
          </w:p>
        </w:tc>
        <w:tc>
          <w:tcPr>
            <w:tcW w:w="4428" w:type="dxa"/>
          </w:tcPr>
          <w:p w:rsidR="00FA7494" w:rsidRPr="00FA7494" w:rsidRDefault="00FA7494" w:rsidP="00FA7494">
            <w:pPr>
              <w:spacing w:line="320" w:lineRule="exact"/>
              <w:jc w:val="both"/>
              <w:rPr>
                <w:rFonts w:ascii="Palatino Linotype" w:hAnsi="Palatino Linotype"/>
              </w:rPr>
            </w:pPr>
          </w:p>
        </w:tc>
      </w:tr>
    </w:tbl>
    <w:p w:rsidR="003E5173" w:rsidRPr="003E5173" w:rsidRDefault="003E5173" w:rsidP="003E5173">
      <w:pPr>
        <w:spacing w:line="320" w:lineRule="exact"/>
        <w:jc w:val="both"/>
        <w:rPr>
          <w:rFonts w:ascii="Palatino Linotype" w:hAnsi="Palatino Linotype"/>
        </w:rPr>
      </w:pPr>
    </w:p>
    <w:p w:rsidR="00EC48DE" w:rsidRPr="003E5173" w:rsidRDefault="00EC48DE" w:rsidP="003E5173">
      <w:pPr>
        <w:spacing w:line="320" w:lineRule="exact"/>
      </w:pPr>
    </w:p>
    <w:sectPr w:rsidR="00EC48DE" w:rsidRPr="003E5173" w:rsidSect="00AC1DB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447" w:rsidRDefault="007E2447" w:rsidP="009F0A6C">
      <w:r>
        <w:separator/>
      </w:r>
    </w:p>
  </w:endnote>
  <w:endnote w:type="continuationSeparator" w:id="0">
    <w:p w:rsidR="007E2447" w:rsidRDefault="007E2447" w:rsidP="009F0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330122"/>
      <w:docPartObj>
        <w:docPartGallery w:val="Page Numbers (Bottom of Page)"/>
        <w:docPartUnique/>
      </w:docPartObj>
    </w:sdtPr>
    <w:sdtEndPr>
      <w:rPr>
        <w:noProof/>
      </w:rPr>
    </w:sdtEndPr>
    <w:sdtContent>
      <w:p w:rsidR="00AC1DB6" w:rsidRDefault="00AC1DB6">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7E2447" w:rsidRPr="00AC1DB6" w:rsidRDefault="007E2447" w:rsidP="00AC1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447" w:rsidRDefault="007E2447" w:rsidP="009F0A6C">
      <w:r>
        <w:separator/>
      </w:r>
    </w:p>
  </w:footnote>
  <w:footnote w:type="continuationSeparator" w:id="0">
    <w:p w:rsidR="007E2447" w:rsidRDefault="007E2447" w:rsidP="009F0A6C">
      <w:r>
        <w:continuationSeparator/>
      </w:r>
    </w:p>
  </w:footnote>
  <w:footnote w:id="1">
    <w:p w:rsidR="007E2447" w:rsidRPr="00966CAE" w:rsidRDefault="007E2447">
      <w:pPr>
        <w:pStyle w:val="FootnoteText"/>
        <w:rPr>
          <w:rFonts w:ascii="Palatino Linotype" w:hAnsi="Palatino Linotype"/>
        </w:rPr>
      </w:pPr>
      <w:r w:rsidRPr="00966CAE">
        <w:rPr>
          <w:rStyle w:val="FootnoteReference"/>
          <w:rFonts w:ascii="Palatino Linotype" w:hAnsi="Palatino Linotype"/>
        </w:rPr>
        <w:footnoteRef/>
      </w:r>
      <w:r w:rsidRPr="00966CAE">
        <w:rPr>
          <w:rFonts w:ascii="Palatino Linotype" w:hAnsi="Palatino Linotype"/>
        </w:rPr>
        <w:t xml:space="preserve"> </w:t>
      </w:r>
      <w:proofErr w:type="gramStart"/>
      <w:r w:rsidRPr="00966CAE">
        <w:rPr>
          <w:rFonts w:ascii="Palatino Linotype" w:hAnsi="Palatino Linotype"/>
        </w:rPr>
        <w:t>Staff Comments at 8.</w:t>
      </w:r>
      <w:proofErr w:type="gramEnd"/>
    </w:p>
  </w:footnote>
  <w:footnote w:id="2">
    <w:p w:rsidR="007E2447" w:rsidRDefault="007E2447">
      <w:pPr>
        <w:pStyle w:val="FootnoteText"/>
      </w:pPr>
      <w:r>
        <w:rPr>
          <w:rStyle w:val="FootnoteReference"/>
        </w:rPr>
        <w:footnoteRef/>
      </w:r>
      <w:r>
        <w:t xml:space="preserve"> The OCC raised a similar concern about the impact of incremental revenues. OCC Comments at 6-8.</w:t>
      </w:r>
    </w:p>
  </w:footnote>
  <w:footnote w:id="3">
    <w:p w:rsidR="007E2447" w:rsidRPr="00297429" w:rsidRDefault="007E2447">
      <w:pPr>
        <w:pStyle w:val="FootnoteText"/>
        <w:rPr>
          <w:rFonts w:ascii="Palatino Linotype" w:hAnsi="Palatino Linotype"/>
        </w:rPr>
      </w:pPr>
      <w:r w:rsidRPr="00297429">
        <w:rPr>
          <w:rStyle w:val="FootnoteReference"/>
          <w:rFonts w:ascii="Palatino Linotype" w:hAnsi="Palatino Linotype"/>
        </w:rPr>
        <w:footnoteRef/>
      </w:r>
      <w:r w:rsidRPr="00297429">
        <w:rPr>
          <w:rFonts w:ascii="Palatino Linotype" w:hAnsi="Palatino Linotype"/>
        </w:rPr>
        <w:t xml:space="preserve"> </w:t>
      </w:r>
      <w:proofErr w:type="gramStart"/>
      <w:r>
        <w:rPr>
          <w:rFonts w:ascii="Palatino Linotype" w:hAnsi="Palatino Linotype"/>
        </w:rPr>
        <w:t>Staff Comments</w:t>
      </w:r>
      <w:r w:rsidRPr="00297429">
        <w:rPr>
          <w:rFonts w:ascii="Palatino Linotype" w:hAnsi="Palatino Linotype"/>
        </w:rPr>
        <w:t xml:space="preserve"> at 9.</w:t>
      </w:r>
      <w:proofErr w:type="gramEnd"/>
    </w:p>
  </w:footnote>
  <w:footnote w:id="4">
    <w:p w:rsidR="007E2447" w:rsidRPr="000C7202" w:rsidRDefault="007E2447">
      <w:pPr>
        <w:pStyle w:val="FootnoteText"/>
        <w:rPr>
          <w:rFonts w:ascii="Palatino Linotype" w:hAnsi="Palatino Linotype"/>
        </w:rPr>
      </w:pPr>
      <w:r w:rsidRPr="000C7202">
        <w:rPr>
          <w:rStyle w:val="FootnoteReference"/>
          <w:rFonts w:ascii="Palatino Linotype" w:hAnsi="Palatino Linotype"/>
        </w:rPr>
        <w:footnoteRef/>
      </w:r>
      <w:r w:rsidRPr="000C7202">
        <w:rPr>
          <w:rFonts w:ascii="Palatino Linotype" w:hAnsi="Palatino Linotype"/>
        </w:rPr>
        <w:t xml:space="preserve"> </w:t>
      </w:r>
      <w:proofErr w:type="gramStart"/>
      <w:r w:rsidRPr="000C7202">
        <w:rPr>
          <w:rFonts w:ascii="Palatino Linotype" w:hAnsi="Palatino Linotype"/>
          <w:i/>
        </w:rPr>
        <w:t>Id</w:t>
      </w:r>
      <w:r w:rsidRPr="000C7202">
        <w:rPr>
          <w:rFonts w:ascii="Palatino Linotype" w:hAnsi="Palatino Linotype"/>
        </w:rPr>
        <w:t>. at 10.</w:t>
      </w:r>
      <w:proofErr w:type="gramEnd"/>
    </w:p>
  </w:footnote>
  <w:footnote w:id="5">
    <w:p w:rsidR="007E2447" w:rsidRPr="005A039A" w:rsidRDefault="007E2447">
      <w:pPr>
        <w:pStyle w:val="FootnoteText"/>
        <w:rPr>
          <w:rFonts w:ascii="Palatino Linotype" w:hAnsi="Palatino Linotype"/>
        </w:rPr>
      </w:pPr>
      <w:r w:rsidRPr="005A039A">
        <w:rPr>
          <w:rStyle w:val="FootnoteReference"/>
          <w:rFonts w:ascii="Palatino Linotype" w:hAnsi="Palatino Linotype"/>
        </w:rPr>
        <w:footnoteRef/>
      </w:r>
      <w:r w:rsidRPr="005A039A">
        <w:rPr>
          <w:rFonts w:ascii="Palatino Linotype" w:hAnsi="Palatino Linotype"/>
        </w:rPr>
        <w:t xml:space="preserve"> </w:t>
      </w:r>
      <w:proofErr w:type="gramStart"/>
      <w:r w:rsidRPr="005A039A">
        <w:rPr>
          <w:rFonts w:ascii="Palatino Linotype" w:hAnsi="Palatino Linotype"/>
          <w:i/>
        </w:rPr>
        <w:t>Id</w:t>
      </w:r>
      <w:r w:rsidRPr="005A039A">
        <w:rPr>
          <w:rFonts w:ascii="Palatino Linotype" w:hAnsi="Palatino Linotype"/>
        </w:rPr>
        <w:t>. at 11</w:t>
      </w:r>
      <w:r>
        <w:rPr>
          <w:rFonts w:ascii="Palatino Linotype" w:hAnsi="Palatino Linotype"/>
        </w:rPr>
        <w:t>.</w:t>
      </w:r>
      <w:proofErr w:type="gramEnd"/>
    </w:p>
  </w:footnote>
  <w:footnote w:id="6">
    <w:p w:rsidR="007E2447" w:rsidRPr="000B60E8" w:rsidRDefault="007E2447">
      <w:pPr>
        <w:pStyle w:val="FootnoteText"/>
        <w:rPr>
          <w:rFonts w:ascii="Palatino Linotype" w:hAnsi="Palatino Linotype"/>
        </w:rPr>
      </w:pPr>
      <w:r w:rsidRPr="000B60E8">
        <w:rPr>
          <w:rStyle w:val="FootnoteReference"/>
          <w:rFonts w:ascii="Palatino Linotype" w:hAnsi="Palatino Linotype"/>
        </w:rPr>
        <w:footnoteRef/>
      </w:r>
      <w:r w:rsidRPr="000B60E8">
        <w:rPr>
          <w:rFonts w:ascii="Palatino Linotype" w:hAnsi="Palatino Linotype"/>
        </w:rPr>
        <w:t xml:space="preserve"> Rev. Code § 4929.111(D) (emphasis added).</w:t>
      </w:r>
    </w:p>
  </w:footnote>
  <w:footnote w:id="7">
    <w:p w:rsidR="007E2447" w:rsidRPr="000D29DA" w:rsidRDefault="007E2447">
      <w:pPr>
        <w:pStyle w:val="FootnoteText"/>
        <w:rPr>
          <w:rFonts w:ascii="Palatino Linotype" w:hAnsi="Palatino Linotype"/>
        </w:rPr>
      </w:pPr>
      <w:r w:rsidRPr="000D29DA">
        <w:rPr>
          <w:rStyle w:val="FootnoteReference"/>
          <w:rFonts w:ascii="Palatino Linotype" w:hAnsi="Palatino Linotype"/>
        </w:rPr>
        <w:footnoteRef/>
      </w:r>
      <w:r w:rsidRPr="000D29DA">
        <w:rPr>
          <w:rFonts w:ascii="Palatino Linotype" w:hAnsi="Palatino Linotype"/>
        </w:rPr>
        <w:t xml:space="preserve"> </w:t>
      </w:r>
      <w:proofErr w:type="gramStart"/>
      <w:r>
        <w:rPr>
          <w:rFonts w:ascii="Palatino Linotype" w:hAnsi="Palatino Linotype"/>
        </w:rPr>
        <w:t>Staff Comments</w:t>
      </w:r>
      <w:r w:rsidRPr="000D29DA">
        <w:rPr>
          <w:rFonts w:ascii="Palatino Linotype" w:hAnsi="Palatino Linotype"/>
        </w:rPr>
        <w:t xml:space="preserve"> at 14.</w:t>
      </w:r>
      <w:proofErr w:type="gramEnd"/>
    </w:p>
  </w:footnote>
  <w:footnote w:id="8">
    <w:p w:rsidR="007E2447" w:rsidRPr="00E32B92" w:rsidRDefault="007E2447">
      <w:pPr>
        <w:pStyle w:val="FootnoteText"/>
        <w:rPr>
          <w:rFonts w:ascii="Palatino Linotype" w:hAnsi="Palatino Linotype"/>
        </w:rPr>
      </w:pPr>
      <w:r w:rsidRPr="00E32B92">
        <w:rPr>
          <w:rStyle w:val="FootnoteReference"/>
          <w:rFonts w:ascii="Palatino Linotype" w:hAnsi="Palatino Linotype"/>
        </w:rPr>
        <w:footnoteRef/>
      </w:r>
      <w:r w:rsidRPr="00E32B92">
        <w:rPr>
          <w:rFonts w:ascii="Palatino Linotype" w:hAnsi="Palatino Linotype"/>
        </w:rPr>
        <w:t xml:space="preserve"> </w:t>
      </w:r>
      <w:proofErr w:type="gramStart"/>
      <w:r w:rsidRPr="00E32B92">
        <w:rPr>
          <w:rFonts w:ascii="Palatino Linotype" w:hAnsi="Palatino Linotype"/>
        </w:rPr>
        <w:t>OCC Comments at 3.</w:t>
      </w:r>
      <w:proofErr w:type="gramEnd"/>
    </w:p>
  </w:footnote>
  <w:footnote w:id="9">
    <w:p w:rsidR="007E2447" w:rsidRPr="000B60E8" w:rsidRDefault="007E2447">
      <w:pPr>
        <w:pStyle w:val="FootnoteText"/>
        <w:rPr>
          <w:rFonts w:ascii="Palatino Linotype" w:hAnsi="Palatino Linotype"/>
        </w:rPr>
      </w:pPr>
      <w:r w:rsidRPr="000B60E8">
        <w:rPr>
          <w:rStyle w:val="FootnoteReference"/>
          <w:rFonts w:ascii="Palatino Linotype" w:hAnsi="Palatino Linotype"/>
        </w:rPr>
        <w:footnoteRef/>
      </w:r>
      <w:r w:rsidRPr="000B60E8">
        <w:rPr>
          <w:rFonts w:ascii="Palatino Linotype" w:hAnsi="Palatino Linotype"/>
        </w:rPr>
        <w:t xml:space="preserve"> </w:t>
      </w:r>
      <w:proofErr w:type="gramStart"/>
      <w:r w:rsidRPr="000B60E8">
        <w:rPr>
          <w:rFonts w:ascii="Palatino Linotype" w:hAnsi="Palatino Linotype"/>
        </w:rPr>
        <w:t>Rev. Code § 4929.111(C).</w:t>
      </w:r>
      <w:proofErr w:type="gramEnd"/>
    </w:p>
  </w:footnote>
  <w:footnote w:id="10">
    <w:p w:rsidR="007E2447" w:rsidRPr="009A473A" w:rsidRDefault="007E2447">
      <w:pPr>
        <w:pStyle w:val="FootnoteText"/>
        <w:rPr>
          <w:rFonts w:ascii="Palatino Linotype" w:hAnsi="Palatino Linotype"/>
        </w:rPr>
      </w:pPr>
      <w:r w:rsidRPr="009A473A">
        <w:rPr>
          <w:rStyle w:val="FootnoteReference"/>
          <w:rFonts w:ascii="Palatino Linotype" w:hAnsi="Palatino Linotype"/>
        </w:rPr>
        <w:footnoteRef/>
      </w:r>
      <w:r w:rsidRPr="009A473A">
        <w:rPr>
          <w:rFonts w:ascii="Palatino Linotype" w:hAnsi="Palatino Linotype"/>
        </w:rPr>
        <w:t xml:space="preserve"> </w:t>
      </w:r>
      <w:r w:rsidRPr="009A473A">
        <w:rPr>
          <w:rFonts w:ascii="Palatino Linotype" w:hAnsi="Palatino Linotype"/>
          <w:i/>
        </w:rPr>
        <w:t>Id</w:t>
      </w:r>
      <w:r w:rsidRPr="009A473A">
        <w:rPr>
          <w:rFonts w:ascii="Palatino Linotype" w:hAnsi="Palatino Linotype"/>
        </w:rPr>
        <w:t>. at 3-4.</w:t>
      </w:r>
    </w:p>
  </w:footnote>
  <w:footnote w:id="11">
    <w:p w:rsidR="007E2447" w:rsidRPr="009A473A" w:rsidRDefault="007E2447" w:rsidP="009A473A">
      <w:pPr>
        <w:pStyle w:val="FootnoteText"/>
        <w:rPr>
          <w:rFonts w:ascii="Palatino Linotype" w:hAnsi="Palatino Linotype"/>
        </w:rPr>
      </w:pPr>
      <w:r w:rsidRPr="009A473A">
        <w:rPr>
          <w:rStyle w:val="FootnoteReference"/>
          <w:rFonts w:ascii="Palatino Linotype" w:hAnsi="Palatino Linotype"/>
        </w:rPr>
        <w:footnoteRef/>
      </w:r>
      <w:r w:rsidRPr="009A473A">
        <w:rPr>
          <w:rFonts w:ascii="Palatino Linotype" w:hAnsi="Palatino Linotype"/>
        </w:rPr>
        <w:t xml:space="preserve"> </w:t>
      </w:r>
      <w:proofErr w:type="gramStart"/>
      <w:r w:rsidRPr="009A473A">
        <w:rPr>
          <w:rFonts w:ascii="Palatino Linotype" w:hAnsi="Palatino Linotype"/>
        </w:rPr>
        <w:t>OPAE Comments at 2.</w:t>
      </w:r>
      <w:proofErr w:type="gramEnd"/>
    </w:p>
  </w:footnote>
  <w:footnote w:id="12">
    <w:p w:rsidR="007E2447" w:rsidRPr="009A473A" w:rsidRDefault="007E2447">
      <w:pPr>
        <w:pStyle w:val="FootnoteText"/>
        <w:rPr>
          <w:rFonts w:ascii="Palatino Linotype" w:hAnsi="Palatino Linotype"/>
        </w:rPr>
      </w:pPr>
      <w:r w:rsidRPr="009A473A">
        <w:rPr>
          <w:rStyle w:val="FootnoteReference"/>
          <w:rFonts w:ascii="Palatino Linotype" w:hAnsi="Palatino Linotype"/>
        </w:rPr>
        <w:footnoteRef/>
      </w:r>
      <w:r w:rsidRPr="009A473A">
        <w:rPr>
          <w:rFonts w:ascii="Palatino Linotype" w:hAnsi="Palatino Linotype"/>
        </w:rPr>
        <w:t xml:space="preserve"> </w:t>
      </w:r>
      <w:proofErr w:type="gramStart"/>
      <w:r w:rsidRPr="009A473A">
        <w:rPr>
          <w:rFonts w:ascii="Palatino Linotype" w:hAnsi="Palatino Linotype"/>
        </w:rPr>
        <w:t>OCC Comments at 4-6</w:t>
      </w:r>
      <w:r>
        <w:rPr>
          <w:rFonts w:ascii="Palatino Linotype" w:hAnsi="Palatino Linotype"/>
        </w:rPr>
        <w:t>; OPAE Comments at 3</w:t>
      </w:r>
      <w:r w:rsidRPr="009A473A">
        <w:rPr>
          <w:rFonts w:ascii="Palatino Linotype" w:hAnsi="Palatino Linotype"/>
        </w:rPr>
        <w:t>.</w:t>
      </w:r>
      <w:proofErr w:type="gramEnd"/>
    </w:p>
  </w:footnote>
  <w:footnote w:id="13">
    <w:p w:rsidR="007E2447" w:rsidRPr="00283222" w:rsidRDefault="007E2447">
      <w:pPr>
        <w:pStyle w:val="FootnoteText"/>
        <w:rPr>
          <w:rFonts w:ascii="Palatino Linotype" w:hAnsi="Palatino Linotype"/>
        </w:rPr>
      </w:pPr>
      <w:r w:rsidRPr="00283222">
        <w:rPr>
          <w:rStyle w:val="FootnoteReference"/>
          <w:rFonts w:ascii="Palatino Linotype" w:hAnsi="Palatino Linotype"/>
        </w:rPr>
        <w:footnoteRef/>
      </w:r>
      <w:r w:rsidRPr="00283222">
        <w:rPr>
          <w:rFonts w:ascii="Palatino Linotype" w:hAnsi="Palatino Linotype"/>
        </w:rPr>
        <w:t xml:space="preserve"> </w:t>
      </w:r>
      <w:r>
        <w:rPr>
          <w:rFonts w:ascii="Palatino Linotype" w:hAnsi="Palatino Linotype"/>
        </w:rPr>
        <w:t>OCC Comments</w:t>
      </w:r>
      <w:r w:rsidRPr="00283222">
        <w:rPr>
          <w:rFonts w:ascii="Palatino Linotype" w:hAnsi="Palatino Linotype"/>
        </w:rPr>
        <w:t xml:space="preserve"> at 8-9.</w:t>
      </w:r>
    </w:p>
  </w:footnote>
  <w:footnote w:id="14">
    <w:p w:rsidR="007E2447" w:rsidRPr="00411A54" w:rsidRDefault="007E2447">
      <w:pPr>
        <w:pStyle w:val="FootnoteText"/>
        <w:rPr>
          <w:rFonts w:ascii="Palatino Linotype" w:hAnsi="Palatino Linotype"/>
        </w:rPr>
      </w:pPr>
      <w:r w:rsidRPr="00411A54">
        <w:rPr>
          <w:rStyle w:val="FootnoteReference"/>
          <w:rFonts w:ascii="Palatino Linotype" w:hAnsi="Palatino Linotype"/>
        </w:rPr>
        <w:footnoteRef/>
      </w:r>
      <w:r w:rsidRPr="00411A54">
        <w:rPr>
          <w:rFonts w:ascii="Palatino Linotype" w:hAnsi="Palatino Linotype"/>
        </w:rPr>
        <w:t xml:space="preserve"> </w:t>
      </w:r>
      <w:r w:rsidRPr="00411A54">
        <w:rPr>
          <w:rFonts w:ascii="Palatino Linotype" w:hAnsi="Palatino Linotype"/>
          <w:i/>
        </w:rPr>
        <w:t>Id</w:t>
      </w:r>
      <w:r w:rsidRPr="00411A54">
        <w:rPr>
          <w:rFonts w:ascii="Palatino Linotype" w:hAnsi="Palatino Linotype"/>
        </w:rPr>
        <w:t xml:space="preserve">., citing </w:t>
      </w:r>
      <w:r w:rsidRPr="00411A54">
        <w:rPr>
          <w:rFonts w:ascii="Palatino Linotype" w:hAnsi="Palatino Linotype"/>
          <w:i/>
        </w:rPr>
        <w:t>In the Matter of the Application of the Cincinnati Gas &amp; Electric Company for an Increase in Gas Rates for its Service Area</w:t>
      </w:r>
      <w:r w:rsidRPr="00411A54">
        <w:rPr>
          <w:rFonts w:ascii="Palatino Linotype" w:hAnsi="Palatino Linotype"/>
        </w:rPr>
        <w:t>, Case No. 01-1228-GA-AIR, Stipulation and Recommendation (April 17, 2002) at 8, and Opinion and Order (May 30, 2002).</w:t>
      </w:r>
    </w:p>
  </w:footnote>
  <w:footnote w:id="15">
    <w:p w:rsidR="007E2447" w:rsidRPr="00953415" w:rsidRDefault="007E2447">
      <w:pPr>
        <w:pStyle w:val="FootnoteText"/>
        <w:rPr>
          <w:rFonts w:ascii="Palatino Linotype" w:hAnsi="Palatino Linotype"/>
        </w:rPr>
      </w:pPr>
      <w:r w:rsidRPr="00953415">
        <w:rPr>
          <w:rStyle w:val="FootnoteReference"/>
          <w:rFonts w:ascii="Palatino Linotype" w:hAnsi="Palatino Linotype"/>
        </w:rPr>
        <w:footnoteRef/>
      </w:r>
      <w:r w:rsidRPr="00953415">
        <w:rPr>
          <w:rFonts w:ascii="Palatino Linotype" w:hAnsi="Palatino Linotype"/>
        </w:rPr>
        <w:t xml:space="preserve"> </w:t>
      </w:r>
      <w:r w:rsidRPr="00953415">
        <w:rPr>
          <w:rFonts w:ascii="Palatino Linotype" w:hAnsi="Palatino Linotype"/>
          <w:i/>
        </w:rPr>
        <w:t>In the Matter of the Application of the Cincinnati Gas &amp; Electric Company for an Increase in Gas Rates for its Service Area</w:t>
      </w:r>
      <w:r w:rsidRPr="00953415">
        <w:rPr>
          <w:rFonts w:ascii="Palatino Linotype" w:hAnsi="Palatino Linotype"/>
        </w:rPr>
        <w:t>, Case No. 01-1228-GA-AIR, Stipulation and Recommendation (April 17, 2002) at 2.</w:t>
      </w:r>
    </w:p>
  </w:footnote>
  <w:footnote w:id="16">
    <w:p w:rsidR="007E2447" w:rsidRPr="00423FC5" w:rsidRDefault="007E2447">
      <w:pPr>
        <w:pStyle w:val="FootnoteText"/>
        <w:rPr>
          <w:rFonts w:ascii="Palatino Linotype" w:hAnsi="Palatino Linotype"/>
        </w:rPr>
      </w:pPr>
      <w:r w:rsidRPr="00423FC5">
        <w:rPr>
          <w:rStyle w:val="FootnoteReference"/>
          <w:rFonts w:ascii="Palatino Linotype" w:hAnsi="Palatino Linotype"/>
        </w:rPr>
        <w:footnoteRef/>
      </w:r>
      <w:r w:rsidRPr="00423FC5">
        <w:rPr>
          <w:rFonts w:ascii="Palatino Linotype" w:hAnsi="Palatino Linotype"/>
        </w:rPr>
        <w:t xml:space="preserve"> OCC Comments at 9-10.</w:t>
      </w:r>
    </w:p>
  </w:footnote>
  <w:footnote w:id="17">
    <w:p w:rsidR="007E2447" w:rsidRPr="00BA4446" w:rsidRDefault="007E2447">
      <w:pPr>
        <w:pStyle w:val="FootnoteText"/>
        <w:rPr>
          <w:rFonts w:ascii="Palatino Linotype" w:hAnsi="Palatino Linotype"/>
        </w:rPr>
      </w:pPr>
      <w:r w:rsidRPr="00BA4446">
        <w:rPr>
          <w:rStyle w:val="FootnoteReference"/>
          <w:rFonts w:ascii="Palatino Linotype" w:hAnsi="Palatino Linotype"/>
        </w:rPr>
        <w:footnoteRef/>
      </w:r>
      <w:r w:rsidRPr="00BA4446">
        <w:rPr>
          <w:rFonts w:ascii="Palatino Linotype" w:hAnsi="Palatino Linotype"/>
        </w:rPr>
        <w:t xml:space="preserve"> </w:t>
      </w:r>
      <w:proofErr w:type="gramStart"/>
      <w:r w:rsidRPr="00BA4446">
        <w:rPr>
          <w:rFonts w:ascii="Palatino Linotype" w:hAnsi="Palatino Linotype"/>
          <w:i/>
        </w:rPr>
        <w:t>Id</w:t>
      </w:r>
      <w:r w:rsidRPr="00BA4446">
        <w:rPr>
          <w:rFonts w:ascii="Palatino Linotype" w:hAnsi="Palatino Linotype"/>
        </w:rPr>
        <w:t>. at 9.</w:t>
      </w:r>
      <w:proofErr w:type="gramEnd"/>
    </w:p>
  </w:footnote>
  <w:footnote w:id="18">
    <w:p w:rsidR="007E2447" w:rsidRPr="00390113" w:rsidRDefault="007E2447">
      <w:pPr>
        <w:pStyle w:val="FootnoteText"/>
        <w:rPr>
          <w:rFonts w:ascii="Palatino Linotype" w:hAnsi="Palatino Linotype"/>
        </w:rPr>
      </w:pPr>
      <w:r w:rsidRPr="00390113">
        <w:rPr>
          <w:rStyle w:val="FootnoteReference"/>
          <w:rFonts w:ascii="Palatino Linotype" w:hAnsi="Palatino Linotype"/>
        </w:rPr>
        <w:footnoteRef/>
      </w:r>
      <w:r w:rsidRPr="00390113">
        <w:rPr>
          <w:rFonts w:ascii="Palatino Linotype" w:hAnsi="Palatino Linotype"/>
        </w:rPr>
        <w:t xml:space="preserve"> </w:t>
      </w:r>
      <w:proofErr w:type="gramStart"/>
      <w:r w:rsidRPr="00390113">
        <w:rPr>
          <w:rFonts w:ascii="Palatino Linotype" w:hAnsi="Palatino Linotype"/>
          <w:i/>
        </w:rPr>
        <w:t>Id</w:t>
      </w:r>
      <w:r w:rsidRPr="00390113">
        <w:rPr>
          <w:rFonts w:ascii="Palatino Linotype" w:hAnsi="Palatino Linotype"/>
        </w:rPr>
        <w:t>. at 11.</w:t>
      </w:r>
      <w:proofErr w:type="gramEnd"/>
    </w:p>
  </w:footnote>
  <w:footnote w:id="19">
    <w:p w:rsidR="007E2447" w:rsidRPr="004E2D32" w:rsidRDefault="007E2447">
      <w:pPr>
        <w:pStyle w:val="FootnoteText"/>
        <w:rPr>
          <w:rFonts w:ascii="Palatino Linotype" w:hAnsi="Palatino Linotype"/>
        </w:rPr>
      </w:pPr>
      <w:r w:rsidRPr="004E2D32">
        <w:rPr>
          <w:rStyle w:val="FootnoteReference"/>
          <w:rFonts w:ascii="Palatino Linotype" w:hAnsi="Palatino Linotype"/>
        </w:rPr>
        <w:footnoteRef/>
      </w:r>
      <w:r w:rsidRPr="004E2D32">
        <w:rPr>
          <w:rFonts w:ascii="Palatino Linotype" w:hAnsi="Palatino Linotype"/>
        </w:rPr>
        <w:t xml:space="preserve"> </w:t>
      </w:r>
      <w:proofErr w:type="gramStart"/>
      <w:r w:rsidRPr="004E2D32">
        <w:rPr>
          <w:rFonts w:ascii="Palatino Linotype" w:hAnsi="Palatino Linotype"/>
          <w:i/>
        </w:rPr>
        <w:t>Id</w:t>
      </w:r>
      <w:r w:rsidRPr="004E2D32">
        <w:rPr>
          <w:rFonts w:ascii="Palatino Linotype" w:hAnsi="Palatino Linotype"/>
        </w:rPr>
        <w:t>. at 12.</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80"/>
    <w:rsid w:val="00042C24"/>
    <w:rsid w:val="000B60E8"/>
    <w:rsid w:val="000C7202"/>
    <w:rsid w:val="000D29DA"/>
    <w:rsid w:val="001169B7"/>
    <w:rsid w:val="00136B26"/>
    <w:rsid w:val="001D04AD"/>
    <w:rsid w:val="001D3CA5"/>
    <w:rsid w:val="00232324"/>
    <w:rsid w:val="00277C21"/>
    <w:rsid w:val="00283222"/>
    <w:rsid w:val="002938B1"/>
    <w:rsid w:val="00297429"/>
    <w:rsid w:val="002A15A3"/>
    <w:rsid w:val="00344D07"/>
    <w:rsid w:val="00380032"/>
    <w:rsid w:val="003853E0"/>
    <w:rsid w:val="00390113"/>
    <w:rsid w:val="003D5C41"/>
    <w:rsid w:val="003D7B58"/>
    <w:rsid w:val="003E5173"/>
    <w:rsid w:val="003F38F7"/>
    <w:rsid w:val="00411A54"/>
    <w:rsid w:val="00423FC5"/>
    <w:rsid w:val="00434EDE"/>
    <w:rsid w:val="004C293D"/>
    <w:rsid w:val="004D5F72"/>
    <w:rsid w:val="004E2D32"/>
    <w:rsid w:val="00521B62"/>
    <w:rsid w:val="00531860"/>
    <w:rsid w:val="00543923"/>
    <w:rsid w:val="00574E17"/>
    <w:rsid w:val="00586B43"/>
    <w:rsid w:val="005A039A"/>
    <w:rsid w:val="0064057B"/>
    <w:rsid w:val="00692D81"/>
    <w:rsid w:val="006B01E6"/>
    <w:rsid w:val="006B2D66"/>
    <w:rsid w:val="006F6BAF"/>
    <w:rsid w:val="00713BD3"/>
    <w:rsid w:val="007E2447"/>
    <w:rsid w:val="00842A86"/>
    <w:rsid w:val="008A7398"/>
    <w:rsid w:val="008B0A38"/>
    <w:rsid w:val="008B6A72"/>
    <w:rsid w:val="0090352D"/>
    <w:rsid w:val="00953415"/>
    <w:rsid w:val="00966CAE"/>
    <w:rsid w:val="009A473A"/>
    <w:rsid w:val="009E5CF6"/>
    <w:rsid w:val="009F0A6C"/>
    <w:rsid w:val="009F5C1B"/>
    <w:rsid w:val="00A46F75"/>
    <w:rsid w:val="00A65AF0"/>
    <w:rsid w:val="00A66E6D"/>
    <w:rsid w:val="00A77D25"/>
    <w:rsid w:val="00AC1DB6"/>
    <w:rsid w:val="00B04B16"/>
    <w:rsid w:val="00B54966"/>
    <w:rsid w:val="00B56199"/>
    <w:rsid w:val="00B61A7C"/>
    <w:rsid w:val="00B62B9E"/>
    <w:rsid w:val="00B823B2"/>
    <w:rsid w:val="00B96C6F"/>
    <w:rsid w:val="00BA4446"/>
    <w:rsid w:val="00BC3080"/>
    <w:rsid w:val="00BF0EF2"/>
    <w:rsid w:val="00C31A02"/>
    <w:rsid w:val="00C934C6"/>
    <w:rsid w:val="00CC1BEC"/>
    <w:rsid w:val="00D3508D"/>
    <w:rsid w:val="00D655B7"/>
    <w:rsid w:val="00D707CE"/>
    <w:rsid w:val="00D84A31"/>
    <w:rsid w:val="00D86451"/>
    <w:rsid w:val="00D8721E"/>
    <w:rsid w:val="00DB0138"/>
    <w:rsid w:val="00E040A7"/>
    <w:rsid w:val="00E30F1F"/>
    <w:rsid w:val="00E32B92"/>
    <w:rsid w:val="00E60739"/>
    <w:rsid w:val="00E70034"/>
    <w:rsid w:val="00E8162D"/>
    <w:rsid w:val="00E907D0"/>
    <w:rsid w:val="00EC48DE"/>
    <w:rsid w:val="00F97AA6"/>
    <w:rsid w:val="00FA7494"/>
    <w:rsid w:val="00FF3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00" w:lineRule="exact"/>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080"/>
    <w:pPr>
      <w:spacing w:line="240" w:lineRule="auto"/>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A6C"/>
    <w:pPr>
      <w:tabs>
        <w:tab w:val="center" w:pos="4680"/>
        <w:tab w:val="right" w:pos="9360"/>
      </w:tabs>
    </w:pPr>
  </w:style>
  <w:style w:type="character" w:customStyle="1" w:styleId="HeaderChar">
    <w:name w:val="Header Char"/>
    <w:basedOn w:val="DefaultParagraphFont"/>
    <w:link w:val="Header"/>
    <w:uiPriority w:val="99"/>
    <w:rsid w:val="009F0A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0A6C"/>
    <w:pPr>
      <w:tabs>
        <w:tab w:val="center" w:pos="4680"/>
        <w:tab w:val="right" w:pos="9360"/>
      </w:tabs>
    </w:pPr>
  </w:style>
  <w:style w:type="character" w:customStyle="1" w:styleId="FooterChar">
    <w:name w:val="Footer Char"/>
    <w:basedOn w:val="DefaultParagraphFont"/>
    <w:link w:val="Footer"/>
    <w:uiPriority w:val="99"/>
    <w:rsid w:val="009F0A6C"/>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66CAE"/>
    <w:rPr>
      <w:sz w:val="20"/>
      <w:szCs w:val="20"/>
    </w:rPr>
  </w:style>
  <w:style w:type="character" w:customStyle="1" w:styleId="FootnoteTextChar">
    <w:name w:val="Footnote Text Char"/>
    <w:basedOn w:val="DefaultParagraphFont"/>
    <w:link w:val="FootnoteText"/>
    <w:uiPriority w:val="99"/>
    <w:semiHidden/>
    <w:rsid w:val="00966CA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66CAE"/>
    <w:rPr>
      <w:vertAlign w:val="superscript"/>
    </w:rPr>
  </w:style>
  <w:style w:type="table" w:styleId="TableGrid">
    <w:name w:val="Table Grid"/>
    <w:basedOn w:val="TableNormal"/>
    <w:uiPriority w:val="59"/>
    <w:rsid w:val="00FA7494"/>
    <w:pPr>
      <w:spacing w:line="240" w:lineRule="auto"/>
      <w:ind w:firstLine="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2447"/>
    <w:rPr>
      <w:rFonts w:ascii="Tahoma" w:hAnsi="Tahoma" w:cs="Tahoma"/>
      <w:sz w:val="16"/>
      <w:szCs w:val="16"/>
    </w:rPr>
  </w:style>
  <w:style w:type="character" w:customStyle="1" w:styleId="BalloonTextChar">
    <w:name w:val="Balloon Text Char"/>
    <w:basedOn w:val="DefaultParagraphFont"/>
    <w:link w:val="BalloonText"/>
    <w:uiPriority w:val="99"/>
    <w:semiHidden/>
    <w:rsid w:val="007E244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00" w:lineRule="exact"/>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080"/>
    <w:pPr>
      <w:spacing w:line="240" w:lineRule="auto"/>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A6C"/>
    <w:pPr>
      <w:tabs>
        <w:tab w:val="center" w:pos="4680"/>
        <w:tab w:val="right" w:pos="9360"/>
      </w:tabs>
    </w:pPr>
  </w:style>
  <w:style w:type="character" w:customStyle="1" w:styleId="HeaderChar">
    <w:name w:val="Header Char"/>
    <w:basedOn w:val="DefaultParagraphFont"/>
    <w:link w:val="Header"/>
    <w:uiPriority w:val="99"/>
    <w:rsid w:val="009F0A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0A6C"/>
    <w:pPr>
      <w:tabs>
        <w:tab w:val="center" w:pos="4680"/>
        <w:tab w:val="right" w:pos="9360"/>
      </w:tabs>
    </w:pPr>
  </w:style>
  <w:style w:type="character" w:customStyle="1" w:styleId="FooterChar">
    <w:name w:val="Footer Char"/>
    <w:basedOn w:val="DefaultParagraphFont"/>
    <w:link w:val="Footer"/>
    <w:uiPriority w:val="99"/>
    <w:rsid w:val="009F0A6C"/>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66CAE"/>
    <w:rPr>
      <w:sz w:val="20"/>
      <w:szCs w:val="20"/>
    </w:rPr>
  </w:style>
  <w:style w:type="character" w:customStyle="1" w:styleId="FootnoteTextChar">
    <w:name w:val="Footnote Text Char"/>
    <w:basedOn w:val="DefaultParagraphFont"/>
    <w:link w:val="FootnoteText"/>
    <w:uiPriority w:val="99"/>
    <w:semiHidden/>
    <w:rsid w:val="00966CA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66CAE"/>
    <w:rPr>
      <w:vertAlign w:val="superscript"/>
    </w:rPr>
  </w:style>
  <w:style w:type="table" w:styleId="TableGrid">
    <w:name w:val="Table Grid"/>
    <w:basedOn w:val="TableNormal"/>
    <w:uiPriority w:val="59"/>
    <w:rsid w:val="00FA7494"/>
    <w:pPr>
      <w:spacing w:line="240" w:lineRule="auto"/>
      <w:ind w:firstLine="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2447"/>
    <w:rPr>
      <w:rFonts w:ascii="Tahoma" w:hAnsi="Tahoma" w:cs="Tahoma"/>
      <w:sz w:val="16"/>
      <w:szCs w:val="16"/>
    </w:rPr>
  </w:style>
  <w:style w:type="character" w:customStyle="1" w:styleId="BalloonTextChar">
    <w:name w:val="Balloon Text Char"/>
    <w:basedOn w:val="DefaultParagraphFont"/>
    <w:link w:val="BalloonText"/>
    <w:uiPriority w:val="99"/>
    <w:semiHidden/>
    <w:rsid w:val="007E244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E031F-BC3A-4C0E-8949-E0C12950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3166</Words>
  <Characters>18051</Characters>
  <Application>Microsoft Office Word</Application>
  <DocSecurity>0</DocSecurity>
  <Lines>150</Lines>
  <Paragraphs>42</Paragraphs>
  <ScaleCrop>false</ScaleCrop>
  <Company/>
  <LinksUpToDate>false</LinksUpToDate>
  <CharactersWithSpaces>21175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2012-02-27T16:32:00Z</dcterms:created>
  <dcterms:modified xsi:type="dcterms:W3CDTF">2012-02-27T16:35:00Z</dcterms:modified>
</cp:coreProperties>
</file>