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7526" w14:textId="77777777" w:rsidR="003659AC" w:rsidRDefault="003659AC" w:rsidP="00210E19">
      <w:pPr>
        <w:spacing w:after="0" w:line="240" w:lineRule="auto"/>
        <w:jc w:val="center"/>
        <w:rPr>
          <w:rFonts w:cs="Arial"/>
          <w:b/>
          <w:smallCaps/>
          <w:sz w:val="32"/>
          <w:szCs w:val="32"/>
        </w:rPr>
      </w:pPr>
      <w:bookmarkStart w:id="0" w:name="_Hlk8309001"/>
      <w:r>
        <w:rPr>
          <w:rFonts w:cs="Arial"/>
          <w:b/>
          <w:smallCaps/>
          <w:sz w:val="32"/>
          <w:szCs w:val="32"/>
        </w:rPr>
        <w:t>Before</w:t>
      </w:r>
    </w:p>
    <w:p w14:paraId="3C27036E" w14:textId="77777777" w:rsidR="003659AC" w:rsidRDefault="003659AC" w:rsidP="00210E19">
      <w:pPr>
        <w:spacing w:after="0" w:line="240" w:lineRule="auto"/>
        <w:jc w:val="center"/>
        <w:rPr>
          <w:rFonts w:cs="Arial"/>
          <w:b/>
          <w:smallCaps/>
          <w:sz w:val="32"/>
          <w:szCs w:val="32"/>
        </w:rPr>
      </w:pPr>
      <w:r>
        <w:rPr>
          <w:rFonts w:cs="Arial"/>
          <w:b/>
          <w:smallCaps/>
          <w:sz w:val="32"/>
          <w:szCs w:val="32"/>
        </w:rPr>
        <w:t>The Public Utilities Commission of Ohio</w:t>
      </w:r>
    </w:p>
    <w:p w14:paraId="3FBB5785" w14:textId="77777777" w:rsidR="003659AC" w:rsidRDefault="003659AC" w:rsidP="00210E19">
      <w:pPr>
        <w:spacing w:after="0" w:line="240" w:lineRule="auto"/>
        <w:jc w:val="left"/>
        <w:rPr>
          <w:rFonts w:cs="Arial"/>
        </w:rPr>
      </w:pPr>
    </w:p>
    <w:p w14:paraId="11196AE0" w14:textId="77777777" w:rsidR="003659AC" w:rsidRDefault="003659AC" w:rsidP="00210E19">
      <w:pPr>
        <w:tabs>
          <w:tab w:val="left" w:pos="5040"/>
          <w:tab w:val="left" w:pos="5760"/>
        </w:tabs>
        <w:spacing w:after="0" w:line="240" w:lineRule="auto"/>
        <w:rPr>
          <w:rFonts w:cs="Arial"/>
        </w:rPr>
      </w:pPr>
      <w:r>
        <w:rPr>
          <w:rFonts w:cs="Arial"/>
        </w:rPr>
        <w:t>In the Matter of the Amendment of Ohio</w:t>
      </w:r>
      <w:r>
        <w:rPr>
          <w:rFonts w:cs="Arial"/>
        </w:rPr>
        <w:tab/>
        <w:t>)</w:t>
      </w:r>
    </w:p>
    <w:p w14:paraId="1725D9E3" w14:textId="77777777" w:rsidR="003659AC" w:rsidRDefault="003659AC" w:rsidP="00210E19">
      <w:pPr>
        <w:tabs>
          <w:tab w:val="left" w:pos="5040"/>
          <w:tab w:val="left" w:pos="5760"/>
        </w:tabs>
        <w:spacing w:after="0" w:line="240" w:lineRule="auto"/>
        <w:rPr>
          <w:rFonts w:cs="Arial"/>
        </w:rPr>
      </w:pPr>
      <w:r>
        <w:rPr>
          <w:rFonts w:cs="Arial"/>
        </w:rPr>
        <w:t>Administrative Code Chapter 4901:1-40,</w:t>
      </w:r>
      <w:r>
        <w:rPr>
          <w:rFonts w:cs="Arial"/>
        </w:rPr>
        <w:tab/>
        <w:t>)</w:t>
      </w:r>
      <w:r>
        <w:rPr>
          <w:rFonts w:cs="Arial"/>
        </w:rPr>
        <w:tab/>
        <w:t>Case No. 12-2156-EL-ORD</w:t>
      </w:r>
    </w:p>
    <w:p w14:paraId="22248A05" w14:textId="77777777" w:rsidR="003659AC" w:rsidRDefault="003659AC" w:rsidP="00210E19">
      <w:pPr>
        <w:tabs>
          <w:tab w:val="left" w:pos="5040"/>
          <w:tab w:val="left" w:pos="5760"/>
        </w:tabs>
        <w:spacing w:after="0" w:line="240" w:lineRule="auto"/>
        <w:rPr>
          <w:rFonts w:cs="Arial"/>
        </w:rPr>
      </w:pPr>
      <w:r>
        <w:rPr>
          <w:rFonts w:cs="Arial"/>
        </w:rPr>
        <w:t>Regarding the Alternative Energy Portfolio</w:t>
      </w:r>
      <w:r>
        <w:rPr>
          <w:rFonts w:cs="Arial"/>
        </w:rPr>
        <w:tab/>
        <w:t>)</w:t>
      </w:r>
    </w:p>
    <w:p w14:paraId="6ECFB044" w14:textId="77777777" w:rsidR="003659AC" w:rsidRDefault="003659AC" w:rsidP="00210E19">
      <w:pPr>
        <w:tabs>
          <w:tab w:val="left" w:pos="5040"/>
          <w:tab w:val="left" w:pos="5760"/>
        </w:tabs>
        <w:spacing w:after="0" w:line="240" w:lineRule="auto"/>
        <w:rPr>
          <w:rFonts w:cs="Arial"/>
        </w:rPr>
      </w:pPr>
      <w:r>
        <w:rPr>
          <w:rFonts w:cs="Arial"/>
        </w:rPr>
        <w:t>Standard, to Implement Am. Sub. S.B. 315.</w:t>
      </w:r>
      <w:r>
        <w:rPr>
          <w:rFonts w:cs="Arial"/>
        </w:rPr>
        <w:tab/>
        <w:t>)</w:t>
      </w:r>
    </w:p>
    <w:p w14:paraId="21FCC956" w14:textId="77777777" w:rsidR="00105420" w:rsidRDefault="00105420" w:rsidP="00210E19">
      <w:pPr>
        <w:tabs>
          <w:tab w:val="left" w:pos="5040"/>
          <w:tab w:val="left" w:pos="5760"/>
        </w:tabs>
        <w:spacing w:after="0" w:line="240" w:lineRule="auto"/>
        <w:rPr>
          <w:rFonts w:cs="Arial"/>
        </w:rPr>
      </w:pPr>
    </w:p>
    <w:p w14:paraId="30AA015D" w14:textId="41743407" w:rsidR="003659AC" w:rsidRDefault="003659AC" w:rsidP="00210E19">
      <w:pPr>
        <w:tabs>
          <w:tab w:val="left" w:pos="5040"/>
          <w:tab w:val="left" w:pos="5760"/>
        </w:tabs>
        <w:spacing w:after="0" w:line="240" w:lineRule="auto"/>
        <w:rPr>
          <w:rFonts w:cs="Arial"/>
        </w:rPr>
      </w:pPr>
      <w:r>
        <w:rPr>
          <w:rFonts w:cs="Arial"/>
        </w:rPr>
        <w:t>In the Matter of the Commission’s Review</w:t>
      </w:r>
      <w:r>
        <w:rPr>
          <w:rFonts w:cs="Arial"/>
        </w:rPr>
        <w:tab/>
        <w:t>)</w:t>
      </w:r>
    </w:p>
    <w:p w14:paraId="05030C8E" w14:textId="77777777" w:rsidR="003659AC" w:rsidRDefault="003659AC" w:rsidP="00210E19">
      <w:pPr>
        <w:tabs>
          <w:tab w:val="left" w:pos="5040"/>
          <w:tab w:val="left" w:pos="5760"/>
        </w:tabs>
        <w:spacing w:after="0" w:line="240" w:lineRule="auto"/>
        <w:rPr>
          <w:rFonts w:cs="Arial"/>
        </w:rPr>
      </w:pPr>
      <w:r>
        <w:rPr>
          <w:rFonts w:cs="Arial"/>
        </w:rPr>
        <w:t>of its Rules for Energy Efficiency Programs</w:t>
      </w:r>
      <w:r>
        <w:rPr>
          <w:rFonts w:cs="Arial"/>
        </w:rPr>
        <w:tab/>
        <w:t>)</w:t>
      </w:r>
      <w:r>
        <w:rPr>
          <w:rFonts w:cs="Arial"/>
        </w:rPr>
        <w:tab/>
        <w:t>Case No. 13-651-EL-ORD</w:t>
      </w:r>
    </w:p>
    <w:p w14:paraId="610546CD" w14:textId="77777777" w:rsidR="003659AC" w:rsidRDefault="003659AC" w:rsidP="00210E19">
      <w:pPr>
        <w:tabs>
          <w:tab w:val="left" w:pos="5040"/>
          <w:tab w:val="left" w:pos="5760"/>
        </w:tabs>
        <w:spacing w:after="0" w:line="240" w:lineRule="auto"/>
        <w:rPr>
          <w:rFonts w:cs="Arial"/>
        </w:rPr>
      </w:pPr>
      <w:r>
        <w:rPr>
          <w:rFonts w:cs="Arial"/>
        </w:rPr>
        <w:t>Contained in Chapter 4901:1-39 of the Ohio</w:t>
      </w:r>
      <w:r>
        <w:rPr>
          <w:rFonts w:cs="Arial"/>
        </w:rPr>
        <w:tab/>
        <w:t>)</w:t>
      </w:r>
    </w:p>
    <w:p w14:paraId="227A0E8D" w14:textId="77777777" w:rsidR="003659AC" w:rsidRDefault="003659AC" w:rsidP="00210E19">
      <w:pPr>
        <w:tabs>
          <w:tab w:val="left" w:pos="5040"/>
          <w:tab w:val="left" w:pos="5760"/>
        </w:tabs>
        <w:spacing w:after="0" w:line="240" w:lineRule="auto"/>
        <w:rPr>
          <w:rFonts w:cs="Arial"/>
        </w:rPr>
      </w:pPr>
      <w:r>
        <w:rPr>
          <w:rFonts w:cs="Arial"/>
        </w:rPr>
        <w:t>Administrative Code.</w:t>
      </w:r>
      <w:r>
        <w:rPr>
          <w:rFonts w:cs="Arial"/>
        </w:rPr>
        <w:tab/>
        <w:t>)</w:t>
      </w:r>
    </w:p>
    <w:p w14:paraId="3F8CF62A" w14:textId="77777777" w:rsidR="003659AC" w:rsidRDefault="003659AC" w:rsidP="00210E19">
      <w:pPr>
        <w:tabs>
          <w:tab w:val="left" w:pos="5040"/>
          <w:tab w:val="left" w:pos="5760"/>
        </w:tabs>
        <w:spacing w:after="0" w:line="240" w:lineRule="auto"/>
        <w:rPr>
          <w:rFonts w:cs="Arial"/>
        </w:rPr>
      </w:pPr>
    </w:p>
    <w:p w14:paraId="1DCC72EA" w14:textId="77777777" w:rsidR="003659AC" w:rsidRDefault="003659AC" w:rsidP="00210E19">
      <w:pPr>
        <w:tabs>
          <w:tab w:val="left" w:pos="5040"/>
          <w:tab w:val="left" w:pos="5760"/>
        </w:tabs>
        <w:spacing w:after="0" w:line="240" w:lineRule="auto"/>
        <w:rPr>
          <w:rFonts w:cs="Arial"/>
        </w:rPr>
      </w:pPr>
      <w:r>
        <w:rPr>
          <w:rFonts w:cs="Arial"/>
        </w:rPr>
        <w:t>In the Matter of the Commission’s Review</w:t>
      </w:r>
      <w:r>
        <w:rPr>
          <w:rFonts w:cs="Arial"/>
        </w:rPr>
        <w:tab/>
        <w:t>)</w:t>
      </w:r>
    </w:p>
    <w:p w14:paraId="476143B0" w14:textId="77777777" w:rsidR="003659AC" w:rsidRDefault="003659AC" w:rsidP="00210E19">
      <w:pPr>
        <w:tabs>
          <w:tab w:val="left" w:pos="5040"/>
          <w:tab w:val="left" w:pos="5760"/>
        </w:tabs>
        <w:spacing w:after="0" w:line="240" w:lineRule="auto"/>
        <w:rPr>
          <w:rFonts w:cs="Arial"/>
        </w:rPr>
      </w:pPr>
      <w:r>
        <w:rPr>
          <w:rFonts w:cs="Arial"/>
        </w:rPr>
        <w:t>of its Rules for the Alternative Energy</w:t>
      </w:r>
      <w:r>
        <w:rPr>
          <w:rFonts w:cs="Arial"/>
        </w:rPr>
        <w:tab/>
        <w:t>)</w:t>
      </w:r>
      <w:r>
        <w:rPr>
          <w:rFonts w:cs="Arial"/>
        </w:rPr>
        <w:tab/>
        <w:t>Case No. 13-652-EL-ORD</w:t>
      </w:r>
    </w:p>
    <w:p w14:paraId="796E981E" w14:textId="77777777" w:rsidR="003659AC" w:rsidRDefault="003659AC" w:rsidP="00210E19">
      <w:pPr>
        <w:tabs>
          <w:tab w:val="left" w:pos="5040"/>
          <w:tab w:val="left" w:pos="5760"/>
        </w:tabs>
        <w:spacing w:after="0" w:line="240" w:lineRule="auto"/>
        <w:rPr>
          <w:rFonts w:cs="Arial"/>
        </w:rPr>
      </w:pPr>
      <w:r>
        <w:rPr>
          <w:rFonts w:cs="Arial"/>
        </w:rPr>
        <w:t xml:space="preserve">Portfolio Standard Contained in Chapter </w:t>
      </w:r>
      <w:r>
        <w:rPr>
          <w:rFonts w:cs="Arial"/>
        </w:rPr>
        <w:tab/>
        <w:t>)</w:t>
      </w:r>
    </w:p>
    <w:p w14:paraId="22CEA74B" w14:textId="77777777" w:rsidR="003659AC" w:rsidRDefault="003659AC" w:rsidP="00210E19">
      <w:pPr>
        <w:tabs>
          <w:tab w:val="left" w:pos="5040"/>
          <w:tab w:val="left" w:pos="5760"/>
        </w:tabs>
        <w:spacing w:after="0" w:line="240" w:lineRule="auto"/>
        <w:rPr>
          <w:rFonts w:cs="Arial"/>
        </w:rPr>
      </w:pPr>
      <w:r>
        <w:rPr>
          <w:rFonts w:cs="Arial"/>
        </w:rPr>
        <w:t>4901:1-40 of the Ohio Administrative Code.</w:t>
      </w:r>
      <w:r>
        <w:rPr>
          <w:rFonts w:cs="Arial"/>
        </w:rPr>
        <w:tab/>
        <w:t>)</w:t>
      </w:r>
    </w:p>
    <w:p w14:paraId="6CF4AD67" w14:textId="77777777" w:rsidR="003659AC" w:rsidRDefault="003659AC" w:rsidP="003659AC">
      <w:pPr>
        <w:tabs>
          <w:tab w:val="left" w:pos="5040"/>
          <w:tab w:val="left" w:pos="5580"/>
          <w:tab w:val="left" w:pos="5760"/>
        </w:tabs>
        <w:spacing w:line="240" w:lineRule="auto"/>
        <w:jc w:val="left"/>
        <w:rPr>
          <w:rFonts w:cs="Arial"/>
        </w:rPr>
      </w:pPr>
    </w:p>
    <w:p w14:paraId="232255AD" w14:textId="77777777" w:rsidR="003659AC" w:rsidRDefault="003659AC" w:rsidP="00210E19">
      <w:pPr>
        <w:tabs>
          <w:tab w:val="left" w:pos="4500"/>
          <w:tab w:val="left" w:pos="5220"/>
        </w:tabs>
        <w:spacing w:after="0" w:line="240" w:lineRule="auto"/>
        <w:jc w:val="left"/>
        <w:rPr>
          <w:rFonts w:cs="Arial"/>
        </w:rPr>
      </w:pPr>
    </w:p>
    <w:p w14:paraId="773DA1C4" w14:textId="77777777" w:rsidR="003659AC" w:rsidRDefault="003659AC" w:rsidP="00210E19">
      <w:pPr>
        <w:pBdr>
          <w:top w:val="single" w:sz="12" w:space="1" w:color="auto"/>
        </w:pBdr>
        <w:spacing w:after="0" w:line="240" w:lineRule="auto"/>
        <w:jc w:val="center"/>
        <w:rPr>
          <w:rFonts w:cs="Arial"/>
          <w:sz w:val="16"/>
          <w:szCs w:val="16"/>
        </w:rPr>
      </w:pPr>
    </w:p>
    <w:p w14:paraId="51BF034C" w14:textId="77777777" w:rsidR="00105420" w:rsidRDefault="003659AC" w:rsidP="00210E19">
      <w:pPr>
        <w:spacing w:after="0" w:line="240" w:lineRule="auto"/>
        <w:jc w:val="center"/>
        <w:rPr>
          <w:rFonts w:cs="Arial"/>
          <w:b/>
          <w:smallCaps/>
          <w:sz w:val="32"/>
          <w:szCs w:val="32"/>
        </w:rPr>
      </w:pPr>
      <w:r>
        <w:rPr>
          <w:rFonts w:cs="Arial"/>
          <w:b/>
          <w:smallCaps/>
          <w:sz w:val="32"/>
          <w:szCs w:val="32"/>
        </w:rPr>
        <w:t>Industrial Energy Users-Ohio’s</w:t>
      </w:r>
    </w:p>
    <w:p w14:paraId="5A85289F" w14:textId="77777777" w:rsidR="00105420" w:rsidRDefault="00105420" w:rsidP="00210E19">
      <w:pPr>
        <w:spacing w:after="0" w:line="240" w:lineRule="auto"/>
        <w:jc w:val="center"/>
        <w:rPr>
          <w:rFonts w:cs="Arial"/>
          <w:b/>
          <w:smallCaps/>
          <w:sz w:val="32"/>
          <w:szCs w:val="32"/>
        </w:rPr>
      </w:pPr>
      <w:r>
        <w:rPr>
          <w:rFonts w:cs="Arial"/>
          <w:b/>
          <w:smallCaps/>
          <w:sz w:val="32"/>
          <w:szCs w:val="32"/>
        </w:rPr>
        <w:t>Application for Rehearing and</w:t>
      </w:r>
    </w:p>
    <w:p w14:paraId="1273C6D4" w14:textId="4658DF8E" w:rsidR="003659AC" w:rsidRDefault="00105420" w:rsidP="00210E19">
      <w:pPr>
        <w:spacing w:after="0" w:line="240" w:lineRule="auto"/>
        <w:jc w:val="center"/>
        <w:rPr>
          <w:rFonts w:cs="Arial"/>
          <w:b/>
          <w:smallCaps/>
          <w:sz w:val="32"/>
          <w:szCs w:val="32"/>
        </w:rPr>
      </w:pPr>
      <w:r>
        <w:rPr>
          <w:rFonts w:cs="Arial"/>
          <w:b/>
          <w:smallCaps/>
          <w:sz w:val="32"/>
          <w:szCs w:val="32"/>
        </w:rPr>
        <w:t>Memorandum in Support</w:t>
      </w:r>
    </w:p>
    <w:p w14:paraId="7E9F78C5" w14:textId="77777777" w:rsidR="003659AC" w:rsidRDefault="003659AC" w:rsidP="00210E19">
      <w:pPr>
        <w:pBdr>
          <w:bottom w:val="single" w:sz="12" w:space="1" w:color="auto"/>
        </w:pBdr>
        <w:spacing w:after="0" w:line="240" w:lineRule="auto"/>
        <w:jc w:val="center"/>
        <w:rPr>
          <w:rFonts w:cs="Arial"/>
          <w:b/>
          <w:sz w:val="16"/>
          <w:szCs w:val="16"/>
        </w:rPr>
      </w:pPr>
    </w:p>
    <w:p w14:paraId="46E921E4" w14:textId="77777777" w:rsidR="003659AC" w:rsidRDefault="003659AC" w:rsidP="00210E19">
      <w:pPr>
        <w:spacing w:after="0" w:line="240" w:lineRule="auto"/>
        <w:jc w:val="center"/>
        <w:rPr>
          <w:rFonts w:cs="Arial"/>
          <w:b/>
        </w:rPr>
      </w:pPr>
    </w:p>
    <w:p w14:paraId="78C5F946" w14:textId="77777777" w:rsidR="003659AC" w:rsidRDefault="003659AC" w:rsidP="00210E19">
      <w:pPr>
        <w:spacing w:after="0" w:line="240" w:lineRule="auto"/>
        <w:jc w:val="center"/>
        <w:rPr>
          <w:rFonts w:cs="Arial"/>
          <w:b/>
        </w:rPr>
      </w:pPr>
    </w:p>
    <w:p w14:paraId="5DF8DD47" w14:textId="77777777" w:rsidR="003659AC" w:rsidRDefault="003659AC" w:rsidP="00210E19">
      <w:pPr>
        <w:spacing w:after="0" w:line="240" w:lineRule="auto"/>
        <w:jc w:val="center"/>
        <w:rPr>
          <w:rFonts w:cs="Arial"/>
          <w:b/>
        </w:rPr>
      </w:pPr>
    </w:p>
    <w:p w14:paraId="6DB612C1" w14:textId="2B28BCC2" w:rsidR="003659AC" w:rsidRDefault="003659AC" w:rsidP="00210E19">
      <w:pPr>
        <w:spacing w:after="0" w:line="240" w:lineRule="auto"/>
        <w:jc w:val="center"/>
        <w:rPr>
          <w:rFonts w:cs="Arial"/>
          <w:b/>
        </w:rPr>
      </w:pPr>
    </w:p>
    <w:p w14:paraId="54DE1EB0" w14:textId="77777777" w:rsidR="00105420" w:rsidRDefault="00105420" w:rsidP="00210E19">
      <w:pPr>
        <w:spacing w:after="0" w:line="240" w:lineRule="auto"/>
        <w:jc w:val="center"/>
        <w:rPr>
          <w:rFonts w:cs="Arial"/>
          <w:b/>
        </w:rPr>
      </w:pPr>
    </w:p>
    <w:p w14:paraId="7CFA6F32" w14:textId="77777777" w:rsidR="003659AC" w:rsidRDefault="003659AC" w:rsidP="00210E19">
      <w:pPr>
        <w:spacing w:after="0" w:line="240" w:lineRule="auto"/>
        <w:jc w:val="center"/>
        <w:rPr>
          <w:rFonts w:cs="Arial"/>
          <w:b/>
        </w:rPr>
      </w:pPr>
    </w:p>
    <w:p w14:paraId="2E88BF63" w14:textId="77777777" w:rsidR="003659AC" w:rsidRDefault="003659AC" w:rsidP="00210E19">
      <w:pPr>
        <w:spacing w:after="0" w:line="240" w:lineRule="auto"/>
        <w:jc w:val="center"/>
        <w:rPr>
          <w:rFonts w:cs="Arial"/>
          <w:b/>
        </w:rPr>
      </w:pPr>
    </w:p>
    <w:p w14:paraId="6F7F41F2" w14:textId="77777777" w:rsidR="00105420" w:rsidRDefault="00105420" w:rsidP="00210E19">
      <w:pPr>
        <w:widowControl w:val="0"/>
        <w:spacing w:after="0" w:line="240" w:lineRule="auto"/>
        <w:ind w:left="4320"/>
        <w:rPr>
          <w:rFonts w:eastAsia="Times New Roman" w:cs="Arial"/>
          <w:bCs/>
          <w:szCs w:val="20"/>
        </w:rPr>
      </w:pPr>
      <w:r>
        <w:rPr>
          <w:rFonts w:eastAsia="Times New Roman" w:cs="Arial"/>
          <w:b/>
          <w:bCs/>
          <w:szCs w:val="20"/>
        </w:rPr>
        <w:t>Frank P. Darr</w:t>
      </w:r>
      <w:r>
        <w:rPr>
          <w:rFonts w:eastAsia="Times New Roman" w:cs="Arial"/>
          <w:bCs/>
          <w:szCs w:val="20"/>
        </w:rPr>
        <w:t xml:space="preserve"> (Reg. No. 0025469)</w:t>
      </w:r>
    </w:p>
    <w:p w14:paraId="0011D642" w14:textId="77777777" w:rsidR="00105420" w:rsidRDefault="00105420" w:rsidP="00210E19">
      <w:pPr>
        <w:tabs>
          <w:tab w:val="right" w:pos="8640"/>
        </w:tabs>
        <w:spacing w:after="0" w:line="240" w:lineRule="auto"/>
        <w:ind w:left="4320"/>
        <w:rPr>
          <w:rFonts w:eastAsia="Times New Roman" w:cs="Arial"/>
        </w:rPr>
      </w:pPr>
      <w:r>
        <w:rPr>
          <w:rFonts w:eastAsia="Times New Roman" w:cs="Arial"/>
        </w:rPr>
        <w:t xml:space="preserve">   (Counsel of Record)</w:t>
      </w:r>
    </w:p>
    <w:p w14:paraId="47554079" w14:textId="77777777" w:rsidR="00105420" w:rsidRDefault="00105420" w:rsidP="00210E19">
      <w:pPr>
        <w:widowControl w:val="0"/>
        <w:spacing w:after="0" w:line="240" w:lineRule="auto"/>
        <w:ind w:left="4320"/>
        <w:rPr>
          <w:rFonts w:eastAsia="Times New Roman" w:cs="Arial"/>
          <w:bCs/>
          <w:szCs w:val="20"/>
        </w:rPr>
      </w:pPr>
      <w:r>
        <w:rPr>
          <w:rFonts w:eastAsia="Times New Roman" w:cs="Arial"/>
          <w:b/>
          <w:bCs/>
          <w:szCs w:val="20"/>
        </w:rPr>
        <w:t>Matthew R. Pritchard</w:t>
      </w:r>
      <w:r>
        <w:rPr>
          <w:rFonts w:eastAsia="Times New Roman" w:cs="Arial"/>
          <w:bCs/>
          <w:szCs w:val="20"/>
        </w:rPr>
        <w:t xml:space="preserve"> (Reg. No. 0088070)</w:t>
      </w:r>
    </w:p>
    <w:p w14:paraId="2C973907" w14:textId="77777777" w:rsidR="00105420" w:rsidRDefault="00105420" w:rsidP="00210E19">
      <w:pPr>
        <w:widowControl w:val="0"/>
        <w:spacing w:after="0" w:line="240" w:lineRule="auto"/>
        <w:ind w:left="4320"/>
        <w:rPr>
          <w:rFonts w:eastAsia="Times New Roman" w:cs="Arial"/>
          <w:bCs/>
          <w:smallCaps/>
        </w:rPr>
      </w:pPr>
      <w:r>
        <w:rPr>
          <w:rFonts w:eastAsia="Times New Roman" w:cs="Arial"/>
          <w:bCs/>
          <w:smallCaps/>
        </w:rPr>
        <w:t>McNees Wallace &amp; Nurick LLC</w:t>
      </w:r>
    </w:p>
    <w:p w14:paraId="40738534" w14:textId="77777777" w:rsidR="00105420" w:rsidRDefault="00105420" w:rsidP="00210E19">
      <w:pPr>
        <w:widowControl w:val="0"/>
        <w:spacing w:after="0" w:line="240" w:lineRule="auto"/>
        <w:ind w:left="432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14:paraId="2AC9F68E" w14:textId="77777777" w:rsidR="00105420" w:rsidRDefault="00105420" w:rsidP="00210E19">
      <w:pPr>
        <w:spacing w:after="0" w:line="240" w:lineRule="auto"/>
        <w:ind w:left="4320"/>
        <w:rPr>
          <w:rFonts w:eastAsia="Times New Roman" w:cs="Arial"/>
        </w:rPr>
      </w:pPr>
      <w:r>
        <w:rPr>
          <w:rFonts w:eastAsia="Times New Roman" w:cs="Arial"/>
        </w:rPr>
        <w:t>Columbus, OH  43215</w:t>
      </w:r>
    </w:p>
    <w:p w14:paraId="2104772F" w14:textId="77777777" w:rsidR="00105420" w:rsidRDefault="00105420" w:rsidP="00210E19">
      <w:pPr>
        <w:spacing w:after="0" w:line="240" w:lineRule="auto"/>
        <w:ind w:left="4320"/>
        <w:rPr>
          <w:rFonts w:eastAsia="Times New Roman" w:cs="Arial"/>
        </w:rPr>
      </w:pPr>
      <w:r>
        <w:rPr>
          <w:rFonts w:eastAsia="Times New Roman" w:cs="Arial"/>
        </w:rPr>
        <w:t>Telephone:  (614) 469-8000</w:t>
      </w:r>
    </w:p>
    <w:p w14:paraId="435D187F" w14:textId="77777777" w:rsidR="00105420" w:rsidRDefault="00105420" w:rsidP="00210E19">
      <w:pPr>
        <w:spacing w:after="0" w:line="240" w:lineRule="auto"/>
        <w:ind w:left="4320"/>
        <w:rPr>
          <w:rFonts w:eastAsia="Times New Roman" w:cs="Arial"/>
        </w:rPr>
      </w:pPr>
      <w:r>
        <w:rPr>
          <w:rFonts w:eastAsia="Times New Roman" w:cs="Arial"/>
        </w:rPr>
        <w:t>Telecopier:  (614) 469-4653</w:t>
      </w:r>
    </w:p>
    <w:p w14:paraId="6581927B" w14:textId="77777777" w:rsidR="00105420" w:rsidRDefault="00105420" w:rsidP="00210E19">
      <w:pPr>
        <w:spacing w:after="0" w:line="240" w:lineRule="auto"/>
        <w:ind w:left="4320"/>
        <w:rPr>
          <w:rFonts w:eastAsia="Times New Roman" w:cs="Arial"/>
        </w:rPr>
      </w:pPr>
      <w:r>
        <w:rPr>
          <w:rFonts w:eastAsia="Times New Roman" w:cs="Arial"/>
        </w:rPr>
        <w:t>fdarr@mcneeslaw.com</w:t>
      </w:r>
    </w:p>
    <w:p w14:paraId="36DD6A6D" w14:textId="77777777" w:rsidR="00105420" w:rsidRDefault="00105420" w:rsidP="00210E19">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Pr>
          <w:rFonts w:eastAsia="Calibri" w:cs="Arial"/>
          <w:color w:val="000000"/>
        </w:rPr>
        <w:t>(willing to accept service by e-mail)</w:t>
      </w:r>
    </w:p>
    <w:p w14:paraId="6748A718" w14:textId="77777777" w:rsidR="00105420" w:rsidRDefault="00105420" w:rsidP="00210E19">
      <w:pPr>
        <w:spacing w:after="0" w:line="240" w:lineRule="auto"/>
        <w:ind w:left="4320"/>
        <w:rPr>
          <w:rFonts w:eastAsia="Times New Roman" w:cs="Arial"/>
        </w:rPr>
      </w:pPr>
      <w:r>
        <w:rPr>
          <w:rFonts w:eastAsia="Times New Roman" w:cs="Arial"/>
        </w:rPr>
        <w:t>mpritchard@mcneeslaw.com</w:t>
      </w:r>
    </w:p>
    <w:p w14:paraId="693F3934" w14:textId="77777777" w:rsidR="00105420" w:rsidRDefault="00105420" w:rsidP="00210E19">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Pr>
          <w:rFonts w:eastAsia="Calibri" w:cs="Arial"/>
          <w:color w:val="000000"/>
        </w:rPr>
        <w:t>(willing to accept service by e-mail)</w:t>
      </w:r>
    </w:p>
    <w:p w14:paraId="398278E7" w14:textId="77777777" w:rsidR="00105420" w:rsidRDefault="00105420" w:rsidP="00210E19">
      <w:pPr>
        <w:tabs>
          <w:tab w:val="left" w:pos="4320"/>
          <w:tab w:val="right" w:pos="8640"/>
        </w:tabs>
        <w:spacing w:after="0" w:line="240" w:lineRule="auto"/>
        <w:rPr>
          <w:rFonts w:ascii="Times New Roman" w:eastAsia="Times New Roman" w:hAnsi="Times New Roman" w:cs="Times New Roman"/>
        </w:rPr>
      </w:pPr>
    </w:p>
    <w:p w14:paraId="5D64F6CE" w14:textId="5791C600" w:rsidR="00105420" w:rsidRDefault="00105420" w:rsidP="00210E19">
      <w:pPr>
        <w:tabs>
          <w:tab w:val="left" w:pos="4320"/>
        </w:tabs>
        <w:spacing w:after="0" w:line="240" w:lineRule="auto"/>
        <w:ind w:left="4320" w:hanging="4320"/>
        <w:rPr>
          <w:rFonts w:ascii="Arial Bold" w:eastAsia="Times New Roman" w:hAnsi="Arial Bold" w:cs="Arial"/>
          <w:b/>
          <w:smallCaps/>
        </w:rPr>
        <w:sectPr w:rsidR="00105420" w:rsidSect="00B51003">
          <w:footerReference w:type="default" r:id="rId8"/>
          <w:footerReference w:type="first" r:id="rId9"/>
          <w:pgSz w:w="12240" w:h="15840" w:code="1"/>
          <w:pgMar w:top="1440" w:right="1440" w:bottom="1440" w:left="1440" w:header="720" w:footer="720" w:gutter="0"/>
          <w:cols w:space="720"/>
          <w:titlePg/>
          <w:docGrid w:linePitch="360"/>
        </w:sectPr>
      </w:pPr>
      <w:r>
        <w:rPr>
          <w:rFonts w:ascii="Arial Bold" w:eastAsia="Times New Roman" w:hAnsi="Arial Bold" w:cs="Arial"/>
          <w:b/>
          <w:smallCaps/>
        </w:rPr>
        <w:t>May 10, 2019</w:t>
      </w:r>
      <w:r>
        <w:rPr>
          <w:rFonts w:ascii="Arial Bold" w:eastAsia="Times New Roman" w:hAnsi="Arial Bold" w:cs="Arial"/>
          <w:b/>
          <w:smallCaps/>
        </w:rPr>
        <w:tab/>
        <w:t>Counsel for Industrial Energy Users-Ohio</w:t>
      </w:r>
    </w:p>
    <w:sdt>
      <w:sdtPr>
        <w:rPr>
          <w:rFonts w:ascii="Arial" w:eastAsiaTheme="minorHAnsi" w:hAnsi="Arial" w:cs="Arial"/>
          <w:b/>
          <w:color w:val="000000" w:themeColor="text1"/>
          <w:sz w:val="24"/>
          <w:szCs w:val="24"/>
        </w:rPr>
        <w:id w:val="1743525754"/>
        <w:docPartObj>
          <w:docPartGallery w:val="Table of Contents"/>
          <w:docPartUnique/>
        </w:docPartObj>
      </w:sdtPr>
      <w:sdtEndPr>
        <w:rPr>
          <w:bCs/>
          <w:noProof/>
        </w:rPr>
      </w:sdtEndPr>
      <w:sdtContent>
        <w:p w14:paraId="51216A85" w14:textId="6CC83280" w:rsidR="00565B8F" w:rsidRPr="00210E19" w:rsidRDefault="00565B8F" w:rsidP="00210E19">
          <w:pPr>
            <w:pStyle w:val="TOCHeading"/>
            <w:tabs>
              <w:tab w:val="right" w:leader="dot" w:pos="9360"/>
            </w:tabs>
            <w:ind w:right="720"/>
            <w:jc w:val="center"/>
            <w:rPr>
              <w:rFonts w:ascii="Arial" w:hAnsi="Arial" w:cs="Arial"/>
              <w:b/>
              <w:smallCaps/>
              <w:color w:val="000000" w:themeColor="text1"/>
              <w:sz w:val="28"/>
              <w:szCs w:val="24"/>
              <w:u w:val="single"/>
            </w:rPr>
          </w:pPr>
          <w:r w:rsidRPr="00210E19">
            <w:rPr>
              <w:rFonts w:ascii="Arial" w:hAnsi="Arial" w:cs="Arial"/>
              <w:b/>
              <w:smallCaps/>
              <w:color w:val="000000" w:themeColor="text1"/>
              <w:sz w:val="28"/>
              <w:szCs w:val="24"/>
              <w:u w:val="single"/>
            </w:rPr>
            <w:t>Table of Contents</w:t>
          </w:r>
        </w:p>
        <w:p w14:paraId="57463E7A" w14:textId="61553E7C" w:rsidR="005E64C4" w:rsidRPr="00210E19" w:rsidRDefault="005E64C4" w:rsidP="005E64C4">
          <w:pPr>
            <w:rPr>
              <w:rFonts w:cs="Arial"/>
              <w:b/>
            </w:rPr>
          </w:pPr>
        </w:p>
        <w:p w14:paraId="1E4B08E5" w14:textId="0C89272E" w:rsidR="005E64C4" w:rsidRPr="00227831" w:rsidRDefault="005E64C4" w:rsidP="00210E19">
          <w:pPr>
            <w:tabs>
              <w:tab w:val="right" w:pos="9360"/>
            </w:tabs>
            <w:rPr>
              <w:rFonts w:cs="Arial"/>
              <w:b/>
              <w:u w:val="single"/>
            </w:rPr>
          </w:pPr>
          <w:r w:rsidRPr="00210E19">
            <w:rPr>
              <w:rFonts w:cs="Arial"/>
              <w:b/>
            </w:rPr>
            <w:tab/>
          </w:r>
          <w:r w:rsidRPr="00227831">
            <w:rPr>
              <w:rFonts w:cs="Arial"/>
              <w:b/>
              <w:u w:val="single"/>
            </w:rPr>
            <w:t>Page</w:t>
          </w:r>
        </w:p>
        <w:p w14:paraId="0BCB3059" w14:textId="3B08F613" w:rsidR="008A0C35" w:rsidRPr="008A0C35" w:rsidRDefault="00565B8F" w:rsidP="008A0C35">
          <w:pPr>
            <w:pStyle w:val="TOC1"/>
            <w:spacing w:after="240" w:line="240" w:lineRule="auto"/>
            <w:rPr>
              <w:rFonts w:asciiTheme="minorHAnsi" w:eastAsiaTheme="minorEastAsia" w:hAnsiTheme="minorHAnsi"/>
              <w:b/>
              <w:smallCaps/>
              <w:noProof/>
              <w:szCs w:val="24"/>
            </w:rPr>
          </w:pPr>
          <w:r w:rsidRPr="008A0C35">
            <w:rPr>
              <w:rFonts w:cs="Arial"/>
              <w:b/>
              <w:smallCaps/>
              <w:szCs w:val="24"/>
            </w:rPr>
            <w:fldChar w:fldCharType="begin"/>
          </w:r>
          <w:r w:rsidRPr="008A0C35">
            <w:rPr>
              <w:rFonts w:cs="Arial"/>
              <w:b/>
              <w:smallCaps/>
              <w:szCs w:val="24"/>
            </w:rPr>
            <w:instrText xml:space="preserve"> TOC \o "1-3" \h \z \u </w:instrText>
          </w:r>
          <w:r w:rsidRPr="008A0C35">
            <w:rPr>
              <w:rFonts w:cs="Arial"/>
              <w:b/>
              <w:smallCaps/>
              <w:szCs w:val="24"/>
            </w:rPr>
            <w:fldChar w:fldCharType="separate"/>
          </w:r>
          <w:hyperlink w:anchor="_Toc8372498" w:history="1">
            <w:r w:rsidR="008A0C35" w:rsidRPr="008A0C35">
              <w:rPr>
                <w:rStyle w:val="Hyperlink"/>
                <w:rFonts w:cs="Arial"/>
                <w:b/>
                <w:smallCaps/>
                <w:noProof/>
                <w:szCs w:val="24"/>
              </w:rPr>
              <w:t>I.</w:t>
            </w:r>
            <w:r w:rsidR="008A0C35" w:rsidRPr="008A0C35">
              <w:rPr>
                <w:rFonts w:asciiTheme="minorHAnsi" w:eastAsiaTheme="minorEastAsia" w:hAnsiTheme="minorHAnsi"/>
                <w:b/>
                <w:smallCaps/>
                <w:noProof/>
                <w:szCs w:val="24"/>
              </w:rPr>
              <w:tab/>
            </w:r>
            <w:r w:rsidR="008A0C35" w:rsidRPr="008A0C35">
              <w:rPr>
                <w:rStyle w:val="Hyperlink"/>
                <w:rFonts w:cs="Arial"/>
                <w:b/>
                <w:smallCaps/>
                <w:noProof/>
                <w:szCs w:val="24"/>
              </w:rPr>
              <w:t>Introduction</w:t>
            </w:r>
            <w:r w:rsidR="008A0C35" w:rsidRPr="00227831">
              <w:rPr>
                <w:smallCaps/>
                <w:noProof/>
                <w:webHidden/>
                <w:szCs w:val="24"/>
              </w:rPr>
              <w:tab/>
            </w:r>
            <w:r w:rsidR="008A0C35" w:rsidRPr="00227831">
              <w:rPr>
                <w:smallCaps/>
                <w:noProof/>
                <w:webHidden/>
                <w:szCs w:val="24"/>
              </w:rPr>
              <w:fldChar w:fldCharType="begin"/>
            </w:r>
            <w:r w:rsidR="008A0C35" w:rsidRPr="00227831">
              <w:rPr>
                <w:smallCaps/>
                <w:noProof/>
                <w:webHidden/>
                <w:szCs w:val="24"/>
              </w:rPr>
              <w:instrText xml:space="preserve"> PAGEREF _Toc8372498 \h </w:instrText>
            </w:r>
            <w:r w:rsidR="008A0C35" w:rsidRPr="00227831">
              <w:rPr>
                <w:smallCaps/>
                <w:noProof/>
                <w:webHidden/>
                <w:szCs w:val="24"/>
              </w:rPr>
            </w:r>
            <w:r w:rsidR="008A0C35" w:rsidRPr="00227831">
              <w:rPr>
                <w:smallCaps/>
                <w:noProof/>
                <w:webHidden/>
                <w:szCs w:val="24"/>
              </w:rPr>
              <w:fldChar w:fldCharType="separate"/>
            </w:r>
            <w:r w:rsidR="00345F33">
              <w:rPr>
                <w:smallCaps/>
                <w:noProof/>
                <w:webHidden/>
                <w:szCs w:val="24"/>
              </w:rPr>
              <w:t>3</w:t>
            </w:r>
            <w:r w:rsidR="008A0C35" w:rsidRPr="00227831">
              <w:rPr>
                <w:smallCaps/>
                <w:noProof/>
                <w:webHidden/>
                <w:szCs w:val="24"/>
              </w:rPr>
              <w:fldChar w:fldCharType="end"/>
            </w:r>
          </w:hyperlink>
        </w:p>
        <w:p w14:paraId="0D0A7012" w14:textId="5D22DD57" w:rsidR="008A0C35" w:rsidRPr="008A0C35" w:rsidRDefault="008A0C35" w:rsidP="008A0C35">
          <w:pPr>
            <w:pStyle w:val="TOC1"/>
            <w:spacing w:after="240" w:line="240" w:lineRule="auto"/>
            <w:rPr>
              <w:rFonts w:asciiTheme="minorHAnsi" w:eastAsiaTheme="minorEastAsia" w:hAnsiTheme="minorHAnsi"/>
              <w:b/>
              <w:smallCaps/>
              <w:noProof/>
              <w:szCs w:val="24"/>
            </w:rPr>
          </w:pPr>
          <w:hyperlink w:anchor="_Toc8372499" w:history="1">
            <w:r w:rsidRPr="008A0C35">
              <w:rPr>
                <w:rStyle w:val="Hyperlink"/>
                <w:rFonts w:cs="Arial"/>
                <w:b/>
                <w:smallCaps/>
                <w:noProof/>
                <w:szCs w:val="24"/>
              </w:rPr>
              <w:t>Ii.</w:t>
            </w:r>
            <w:r w:rsidRPr="008A0C35">
              <w:rPr>
                <w:rFonts w:asciiTheme="minorHAnsi" w:eastAsiaTheme="minorEastAsia" w:hAnsiTheme="minorHAnsi"/>
                <w:b/>
                <w:smallCaps/>
                <w:noProof/>
                <w:szCs w:val="24"/>
              </w:rPr>
              <w:tab/>
            </w:r>
            <w:r w:rsidRPr="008A0C35">
              <w:rPr>
                <w:rStyle w:val="Hyperlink"/>
                <w:rFonts w:cs="Arial"/>
                <w:b/>
                <w:smallCaps/>
                <w:noProof/>
                <w:szCs w:val="24"/>
              </w:rPr>
              <w:t>Current Commission Practice For Calculating Shared Savings Excludes Banked Savings</w:t>
            </w:r>
            <w:r w:rsidRPr="00227831">
              <w:rPr>
                <w:smallCaps/>
                <w:noProof/>
                <w:webHidden/>
                <w:szCs w:val="24"/>
              </w:rPr>
              <w:tab/>
            </w:r>
            <w:r w:rsidRPr="00227831">
              <w:rPr>
                <w:smallCaps/>
                <w:noProof/>
                <w:webHidden/>
                <w:szCs w:val="24"/>
              </w:rPr>
              <w:fldChar w:fldCharType="begin"/>
            </w:r>
            <w:r w:rsidRPr="00227831">
              <w:rPr>
                <w:smallCaps/>
                <w:noProof/>
                <w:webHidden/>
                <w:szCs w:val="24"/>
              </w:rPr>
              <w:instrText xml:space="preserve"> PAGEREF _Toc8372499 \h </w:instrText>
            </w:r>
            <w:r w:rsidRPr="00227831">
              <w:rPr>
                <w:smallCaps/>
                <w:noProof/>
                <w:webHidden/>
                <w:szCs w:val="24"/>
              </w:rPr>
            </w:r>
            <w:r w:rsidRPr="00227831">
              <w:rPr>
                <w:smallCaps/>
                <w:noProof/>
                <w:webHidden/>
                <w:szCs w:val="24"/>
              </w:rPr>
              <w:fldChar w:fldCharType="separate"/>
            </w:r>
            <w:r w:rsidR="00345F33">
              <w:rPr>
                <w:smallCaps/>
                <w:noProof/>
                <w:webHidden/>
                <w:szCs w:val="24"/>
              </w:rPr>
              <w:t>4</w:t>
            </w:r>
            <w:r w:rsidRPr="00227831">
              <w:rPr>
                <w:smallCaps/>
                <w:noProof/>
                <w:webHidden/>
                <w:szCs w:val="24"/>
              </w:rPr>
              <w:fldChar w:fldCharType="end"/>
            </w:r>
          </w:hyperlink>
        </w:p>
        <w:p w14:paraId="647A1CAE" w14:textId="0C7ABAAF" w:rsidR="008A0C35" w:rsidRPr="008A0C35" w:rsidRDefault="008A0C35" w:rsidP="008A0C35">
          <w:pPr>
            <w:pStyle w:val="TOC1"/>
            <w:spacing w:after="240" w:line="240" w:lineRule="auto"/>
            <w:rPr>
              <w:rFonts w:asciiTheme="minorHAnsi" w:eastAsiaTheme="minorEastAsia" w:hAnsiTheme="minorHAnsi"/>
              <w:b/>
              <w:smallCaps/>
              <w:noProof/>
              <w:szCs w:val="24"/>
            </w:rPr>
          </w:pPr>
          <w:hyperlink w:anchor="_Toc8372500" w:history="1">
            <w:r w:rsidRPr="008A0C35">
              <w:rPr>
                <w:rStyle w:val="Hyperlink"/>
                <w:rFonts w:cs="Arial"/>
                <w:b/>
                <w:smallCaps/>
                <w:noProof/>
                <w:szCs w:val="24"/>
              </w:rPr>
              <w:t>Iii.</w:t>
            </w:r>
            <w:r w:rsidRPr="008A0C35">
              <w:rPr>
                <w:rFonts w:asciiTheme="minorHAnsi" w:eastAsiaTheme="minorEastAsia" w:hAnsiTheme="minorHAnsi"/>
                <w:b/>
                <w:smallCaps/>
                <w:noProof/>
                <w:szCs w:val="24"/>
              </w:rPr>
              <w:tab/>
            </w:r>
            <w:r w:rsidRPr="008A0C35">
              <w:rPr>
                <w:rStyle w:val="Hyperlink"/>
                <w:rFonts w:cs="Arial"/>
                <w:b/>
                <w:smallCaps/>
                <w:noProof/>
                <w:szCs w:val="24"/>
              </w:rPr>
              <w:t>Allowing Banked Savings To Count Toward The Shared Savings Calculation Is A Deviation From Commission Precedent That Lacks A Substantively Lawful And Reasonable Explanation</w:t>
            </w:r>
            <w:r w:rsidRPr="00227831">
              <w:rPr>
                <w:smallCaps/>
                <w:noProof/>
                <w:webHidden/>
                <w:szCs w:val="24"/>
              </w:rPr>
              <w:tab/>
            </w:r>
            <w:r w:rsidRPr="00227831">
              <w:rPr>
                <w:smallCaps/>
                <w:noProof/>
                <w:webHidden/>
                <w:szCs w:val="24"/>
              </w:rPr>
              <w:fldChar w:fldCharType="begin"/>
            </w:r>
            <w:r w:rsidRPr="00227831">
              <w:rPr>
                <w:smallCaps/>
                <w:noProof/>
                <w:webHidden/>
                <w:szCs w:val="24"/>
              </w:rPr>
              <w:instrText xml:space="preserve"> PAGEREF _Toc8372500 \h </w:instrText>
            </w:r>
            <w:r w:rsidRPr="00227831">
              <w:rPr>
                <w:smallCaps/>
                <w:noProof/>
                <w:webHidden/>
                <w:szCs w:val="24"/>
              </w:rPr>
            </w:r>
            <w:r w:rsidRPr="00227831">
              <w:rPr>
                <w:smallCaps/>
                <w:noProof/>
                <w:webHidden/>
                <w:szCs w:val="24"/>
              </w:rPr>
              <w:fldChar w:fldCharType="separate"/>
            </w:r>
            <w:r w:rsidR="00345F33">
              <w:rPr>
                <w:smallCaps/>
                <w:noProof/>
                <w:webHidden/>
                <w:szCs w:val="24"/>
              </w:rPr>
              <w:t>8</w:t>
            </w:r>
            <w:r w:rsidRPr="00227831">
              <w:rPr>
                <w:smallCaps/>
                <w:noProof/>
                <w:webHidden/>
                <w:szCs w:val="24"/>
              </w:rPr>
              <w:fldChar w:fldCharType="end"/>
            </w:r>
          </w:hyperlink>
        </w:p>
        <w:p w14:paraId="3BAB3D9E" w14:textId="6D178701" w:rsidR="008A0C35" w:rsidRPr="008A0C35" w:rsidRDefault="008A0C35" w:rsidP="008A0C35">
          <w:pPr>
            <w:pStyle w:val="TOC1"/>
            <w:spacing w:after="240" w:line="240" w:lineRule="auto"/>
            <w:rPr>
              <w:rFonts w:asciiTheme="minorHAnsi" w:eastAsiaTheme="minorEastAsia" w:hAnsiTheme="minorHAnsi"/>
              <w:b/>
              <w:smallCaps/>
              <w:noProof/>
              <w:szCs w:val="24"/>
            </w:rPr>
          </w:pPr>
          <w:hyperlink w:anchor="_Toc8372501" w:history="1">
            <w:r w:rsidRPr="008A0C35">
              <w:rPr>
                <w:rStyle w:val="Hyperlink"/>
                <w:b/>
                <w:smallCaps/>
                <w:noProof/>
                <w:szCs w:val="24"/>
              </w:rPr>
              <w:t>Iv.</w:t>
            </w:r>
            <w:r w:rsidRPr="008A0C35">
              <w:rPr>
                <w:rFonts w:asciiTheme="minorHAnsi" w:eastAsiaTheme="minorEastAsia" w:hAnsiTheme="minorHAnsi"/>
                <w:b/>
                <w:smallCaps/>
                <w:noProof/>
                <w:szCs w:val="24"/>
              </w:rPr>
              <w:tab/>
            </w:r>
            <w:r w:rsidRPr="008A0C35">
              <w:rPr>
                <w:rStyle w:val="Hyperlink"/>
                <w:b/>
                <w:smallCaps/>
                <w:noProof/>
                <w:szCs w:val="24"/>
              </w:rPr>
              <w:t>A Deviation From Commission Policy Excluding Banked Savings From The Shared Savings Calculation Is Substantively Unreasonable Because It Will Produce Absurd Results</w:t>
            </w:r>
            <w:r w:rsidRPr="00227831">
              <w:rPr>
                <w:smallCaps/>
                <w:noProof/>
                <w:webHidden/>
                <w:szCs w:val="24"/>
              </w:rPr>
              <w:tab/>
            </w:r>
            <w:r w:rsidRPr="00227831">
              <w:rPr>
                <w:smallCaps/>
                <w:noProof/>
                <w:webHidden/>
                <w:szCs w:val="24"/>
              </w:rPr>
              <w:fldChar w:fldCharType="begin"/>
            </w:r>
            <w:r w:rsidRPr="00227831">
              <w:rPr>
                <w:smallCaps/>
                <w:noProof/>
                <w:webHidden/>
                <w:szCs w:val="24"/>
              </w:rPr>
              <w:instrText xml:space="preserve"> PAGEREF _Toc8372501 \h </w:instrText>
            </w:r>
            <w:r w:rsidRPr="00227831">
              <w:rPr>
                <w:smallCaps/>
                <w:noProof/>
                <w:webHidden/>
                <w:szCs w:val="24"/>
              </w:rPr>
            </w:r>
            <w:r w:rsidRPr="00227831">
              <w:rPr>
                <w:smallCaps/>
                <w:noProof/>
                <w:webHidden/>
                <w:szCs w:val="24"/>
              </w:rPr>
              <w:fldChar w:fldCharType="separate"/>
            </w:r>
            <w:r w:rsidR="00345F33">
              <w:rPr>
                <w:smallCaps/>
                <w:noProof/>
                <w:webHidden/>
                <w:szCs w:val="24"/>
              </w:rPr>
              <w:t>10</w:t>
            </w:r>
            <w:r w:rsidRPr="00227831">
              <w:rPr>
                <w:smallCaps/>
                <w:noProof/>
                <w:webHidden/>
                <w:szCs w:val="24"/>
              </w:rPr>
              <w:fldChar w:fldCharType="end"/>
            </w:r>
          </w:hyperlink>
        </w:p>
        <w:p w14:paraId="33679A49" w14:textId="1FC5CF77" w:rsidR="008A0C35" w:rsidRPr="008A0C35" w:rsidRDefault="008A0C35" w:rsidP="008A0C35">
          <w:pPr>
            <w:pStyle w:val="TOC1"/>
            <w:spacing w:after="240" w:line="240" w:lineRule="auto"/>
            <w:rPr>
              <w:rFonts w:asciiTheme="minorHAnsi" w:eastAsiaTheme="minorEastAsia" w:hAnsiTheme="minorHAnsi"/>
              <w:b/>
              <w:smallCaps/>
              <w:noProof/>
              <w:szCs w:val="24"/>
            </w:rPr>
          </w:pPr>
          <w:hyperlink w:anchor="_Toc8372502" w:history="1">
            <w:r w:rsidRPr="008A0C35">
              <w:rPr>
                <w:rStyle w:val="Hyperlink"/>
                <w:b/>
                <w:smallCaps/>
                <w:noProof/>
                <w:szCs w:val="24"/>
              </w:rPr>
              <w:t>V.</w:t>
            </w:r>
            <w:r w:rsidRPr="008A0C35">
              <w:rPr>
                <w:rFonts w:asciiTheme="minorHAnsi" w:eastAsiaTheme="minorEastAsia" w:hAnsiTheme="minorHAnsi"/>
                <w:b/>
                <w:smallCaps/>
                <w:noProof/>
                <w:szCs w:val="24"/>
              </w:rPr>
              <w:tab/>
            </w:r>
            <w:r w:rsidRPr="008A0C35">
              <w:rPr>
                <w:rStyle w:val="Hyperlink"/>
                <w:b/>
                <w:smallCaps/>
                <w:noProof/>
                <w:szCs w:val="24"/>
              </w:rPr>
              <w:t>Authorizing The Use Of Banked Savings To Count In Either Part Of The Shared Savings Calculation Could Violate R.C. 4928.66(A)(2)(</w:t>
            </w:r>
            <w:r w:rsidR="00227831" w:rsidRPr="00227831">
              <w:rPr>
                <w:rStyle w:val="Hyperlink"/>
                <w:rFonts w:ascii="Arial Bold" w:hAnsi="Arial Bold"/>
                <w:b/>
                <w:noProof/>
                <w:szCs w:val="24"/>
              </w:rPr>
              <w:t>d)(i)</w:t>
            </w:r>
            <w:r w:rsidRPr="008A0C35">
              <w:rPr>
                <w:rStyle w:val="Hyperlink"/>
                <w:b/>
                <w:smallCaps/>
                <w:noProof/>
                <w:szCs w:val="24"/>
              </w:rPr>
              <w:t>(V)</w:t>
            </w:r>
            <w:r w:rsidRPr="00227831">
              <w:rPr>
                <w:smallCaps/>
                <w:noProof/>
                <w:webHidden/>
                <w:szCs w:val="24"/>
              </w:rPr>
              <w:tab/>
            </w:r>
            <w:r w:rsidRPr="00227831">
              <w:rPr>
                <w:smallCaps/>
                <w:noProof/>
                <w:webHidden/>
                <w:szCs w:val="24"/>
              </w:rPr>
              <w:fldChar w:fldCharType="begin"/>
            </w:r>
            <w:r w:rsidRPr="00227831">
              <w:rPr>
                <w:smallCaps/>
                <w:noProof/>
                <w:webHidden/>
                <w:szCs w:val="24"/>
              </w:rPr>
              <w:instrText xml:space="preserve"> PAGEREF _Toc8372502 \h </w:instrText>
            </w:r>
            <w:r w:rsidRPr="00227831">
              <w:rPr>
                <w:smallCaps/>
                <w:noProof/>
                <w:webHidden/>
                <w:szCs w:val="24"/>
              </w:rPr>
            </w:r>
            <w:r w:rsidRPr="00227831">
              <w:rPr>
                <w:smallCaps/>
                <w:noProof/>
                <w:webHidden/>
                <w:szCs w:val="24"/>
              </w:rPr>
              <w:fldChar w:fldCharType="separate"/>
            </w:r>
            <w:r w:rsidR="00345F33">
              <w:rPr>
                <w:smallCaps/>
                <w:noProof/>
                <w:webHidden/>
                <w:szCs w:val="24"/>
              </w:rPr>
              <w:t>11</w:t>
            </w:r>
            <w:r w:rsidRPr="00227831">
              <w:rPr>
                <w:smallCaps/>
                <w:noProof/>
                <w:webHidden/>
                <w:szCs w:val="24"/>
              </w:rPr>
              <w:fldChar w:fldCharType="end"/>
            </w:r>
          </w:hyperlink>
        </w:p>
        <w:p w14:paraId="2896ABBA" w14:textId="6C9FE8C2" w:rsidR="008A0C35" w:rsidRPr="008A0C35" w:rsidRDefault="008A0C35" w:rsidP="008A0C35">
          <w:pPr>
            <w:pStyle w:val="TOC1"/>
            <w:spacing w:after="240" w:line="240" w:lineRule="auto"/>
            <w:rPr>
              <w:rFonts w:asciiTheme="minorHAnsi" w:eastAsiaTheme="minorEastAsia" w:hAnsiTheme="minorHAnsi"/>
              <w:b/>
              <w:smallCaps/>
              <w:noProof/>
              <w:szCs w:val="24"/>
            </w:rPr>
          </w:pPr>
          <w:hyperlink w:anchor="_Toc8372503" w:history="1">
            <w:r w:rsidRPr="008A0C35">
              <w:rPr>
                <w:rStyle w:val="Hyperlink"/>
                <w:b/>
                <w:smallCaps/>
                <w:noProof/>
                <w:szCs w:val="24"/>
              </w:rPr>
              <w:t>Vi.</w:t>
            </w:r>
            <w:r w:rsidRPr="008A0C35">
              <w:rPr>
                <w:rFonts w:asciiTheme="minorHAnsi" w:eastAsiaTheme="minorEastAsia" w:hAnsiTheme="minorHAnsi"/>
                <w:b/>
                <w:smallCaps/>
                <w:noProof/>
                <w:szCs w:val="24"/>
              </w:rPr>
              <w:tab/>
            </w:r>
            <w:r w:rsidRPr="008A0C35">
              <w:rPr>
                <w:rStyle w:val="Hyperlink"/>
                <w:b/>
                <w:smallCaps/>
                <w:noProof/>
                <w:szCs w:val="24"/>
              </w:rPr>
              <w:t>Conclusion</w:t>
            </w:r>
            <w:r w:rsidRPr="00227831">
              <w:rPr>
                <w:smallCaps/>
                <w:noProof/>
                <w:webHidden/>
                <w:szCs w:val="24"/>
              </w:rPr>
              <w:tab/>
            </w:r>
            <w:r w:rsidRPr="00227831">
              <w:rPr>
                <w:smallCaps/>
                <w:noProof/>
                <w:webHidden/>
                <w:szCs w:val="24"/>
              </w:rPr>
              <w:fldChar w:fldCharType="begin"/>
            </w:r>
            <w:r w:rsidRPr="00227831">
              <w:rPr>
                <w:smallCaps/>
                <w:noProof/>
                <w:webHidden/>
                <w:szCs w:val="24"/>
              </w:rPr>
              <w:instrText xml:space="preserve"> PAGEREF _Toc8372503 \h </w:instrText>
            </w:r>
            <w:r w:rsidRPr="00227831">
              <w:rPr>
                <w:smallCaps/>
                <w:noProof/>
                <w:webHidden/>
                <w:szCs w:val="24"/>
              </w:rPr>
            </w:r>
            <w:r w:rsidRPr="00227831">
              <w:rPr>
                <w:smallCaps/>
                <w:noProof/>
                <w:webHidden/>
                <w:szCs w:val="24"/>
              </w:rPr>
              <w:fldChar w:fldCharType="separate"/>
            </w:r>
            <w:r w:rsidR="00345F33">
              <w:rPr>
                <w:smallCaps/>
                <w:noProof/>
                <w:webHidden/>
                <w:szCs w:val="24"/>
              </w:rPr>
              <w:t>12</w:t>
            </w:r>
            <w:r w:rsidRPr="00227831">
              <w:rPr>
                <w:smallCaps/>
                <w:noProof/>
                <w:webHidden/>
                <w:szCs w:val="24"/>
              </w:rPr>
              <w:fldChar w:fldCharType="end"/>
            </w:r>
          </w:hyperlink>
        </w:p>
        <w:p w14:paraId="0A0054A6" w14:textId="2EC662DB" w:rsidR="00565B8F" w:rsidRPr="00210E19" w:rsidRDefault="00565B8F" w:rsidP="008A0C35">
          <w:pPr>
            <w:tabs>
              <w:tab w:val="right" w:leader="dot" w:pos="9360"/>
            </w:tabs>
            <w:spacing w:after="240" w:line="240" w:lineRule="auto"/>
            <w:ind w:right="720"/>
            <w:rPr>
              <w:rFonts w:cs="Arial"/>
              <w:b/>
              <w:color w:val="000000" w:themeColor="text1"/>
              <w:szCs w:val="24"/>
            </w:rPr>
          </w:pPr>
          <w:r w:rsidRPr="008A0C35">
            <w:rPr>
              <w:rFonts w:cs="Arial"/>
              <w:b/>
              <w:bCs/>
              <w:smallCaps/>
              <w:noProof/>
              <w:color w:val="000000" w:themeColor="text1"/>
              <w:szCs w:val="24"/>
            </w:rPr>
            <w:fldChar w:fldCharType="end"/>
          </w:r>
        </w:p>
      </w:sdtContent>
    </w:sdt>
    <w:p w14:paraId="5F9B0F26" w14:textId="77777777" w:rsidR="00565B8F" w:rsidRDefault="00565B8F" w:rsidP="00105420">
      <w:pPr>
        <w:spacing w:line="240" w:lineRule="auto"/>
        <w:jc w:val="center"/>
        <w:rPr>
          <w:rFonts w:cs="Arial"/>
          <w:b/>
          <w:smallCaps/>
          <w:sz w:val="28"/>
          <w:szCs w:val="28"/>
        </w:rPr>
        <w:sectPr w:rsidR="00565B8F" w:rsidSect="00210E19">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bookmarkStart w:id="1" w:name="_GoBack"/>
      <w:bookmarkEnd w:id="1"/>
    </w:p>
    <w:p w14:paraId="2E141A30" w14:textId="234D17E9" w:rsidR="00105420" w:rsidRPr="00D02120" w:rsidRDefault="00105420" w:rsidP="00210E19">
      <w:pPr>
        <w:spacing w:after="0" w:line="240" w:lineRule="auto"/>
        <w:jc w:val="center"/>
        <w:rPr>
          <w:rFonts w:cs="Arial"/>
          <w:b/>
          <w:smallCaps/>
          <w:sz w:val="28"/>
          <w:szCs w:val="28"/>
        </w:rPr>
      </w:pPr>
      <w:r w:rsidRPr="00D02120">
        <w:rPr>
          <w:rFonts w:cs="Arial"/>
          <w:b/>
          <w:smallCaps/>
          <w:sz w:val="28"/>
          <w:szCs w:val="28"/>
        </w:rPr>
        <w:lastRenderedPageBreak/>
        <w:t>Before</w:t>
      </w:r>
    </w:p>
    <w:p w14:paraId="543D6898" w14:textId="77777777" w:rsidR="00105420" w:rsidRPr="00D02120" w:rsidRDefault="00105420" w:rsidP="00210E19">
      <w:pPr>
        <w:spacing w:after="0" w:line="240" w:lineRule="auto"/>
        <w:jc w:val="center"/>
        <w:rPr>
          <w:rFonts w:cs="Arial"/>
          <w:b/>
          <w:smallCaps/>
          <w:sz w:val="28"/>
          <w:szCs w:val="28"/>
        </w:rPr>
      </w:pPr>
      <w:r w:rsidRPr="00D02120">
        <w:rPr>
          <w:rFonts w:cs="Arial"/>
          <w:b/>
          <w:smallCaps/>
          <w:sz w:val="28"/>
          <w:szCs w:val="28"/>
        </w:rPr>
        <w:t>The Public Utilities Commission of Ohio</w:t>
      </w:r>
    </w:p>
    <w:p w14:paraId="52E28228" w14:textId="77777777" w:rsidR="00105420" w:rsidRDefault="00105420" w:rsidP="00210E19">
      <w:pPr>
        <w:spacing w:after="0" w:line="240" w:lineRule="auto"/>
        <w:jc w:val="left"/>
        <w:rPr>
          <w:rFonts w:cs="Arial"/>
        </w:rPr>
      </w:pPr>
    </w:p>
    <w:p w14:paraId="56A82ACC" w14:textId="77777777" w:rsidR="00105420" w:rsidRDefault="00105420" w:rsidP="00210E19">
      <w:pPr>
        <w:tabs>
          <w:tab w:val="left" w:pos="5040"/>
          <w:tab w:val="left" w:pos="5760"/>
        </w:tabs>
        <w:spacing w:after="0" w:line="240" w:lineRule="auto"/>
        <w:rPr>
          <w:rFonts w:cs="Arial"/>
        </w:rPr>
      </w:pPr>
      <w:r>
        <w:rPr>
          <w:rFonts w:cs="Arial"/>
        </w:rPr>
        <w:t>In the Matter of the Amendment of Ohio</w:t>
      </w:r>
      <w:r>
        <w:rPr>
          <w:rFonts w:cs="Arial"/>
        </w:rPr>
        <w:tab/>
        <w:t>)</w:t>
      </w:r>
    </w:p>
    <w:p w14:paraId="0C7EAE07" w14:textId="77777777" w:rsidR="00105420" w:rsidRDefault="00105420" w:rsidP="00210E19">
      <w:pPr>
        <w:tabs>
          <w:tab w:val="left" w:pos="5040"/>
          <w:tab w:val="left" w:pos="5760"/>
        </w:tabs>
        <w:spacing w:after="0" w:line="240" w:lineRule="auto"/>
        <w:rPr>
          <w:rFonts w:cs="Arial"/>
        </w:rPr>
      </w:pPr>
      <w:r>
        <w:rPr>
          <w:rFonts w:cs="Arial"/>
        </w:rPr>
        <w:t>Administrative Code Chapter 4901:1-40,</w:t>
      </w:r>
      <w:r>
        <w:rPr>
          <w:rFonts w:cs="Arial"/>
        </w:rPr>
        <w:tab/>
        <w:t>)</w:t>
      </w:r>
      <w:r>
        <w:rPr>
          <w:rFonts w:cs="Arial"/>
        </w:rPr>
        <w:tab/>
        <w:t>Case No. 12-2156-EL-ORD</w:t>
      </w:r>
    </w:p>
    <w:p w14:paraId="72E6F4D1" w14:textId="77777777" w:rsidR="00105420" w:rsidRDefault="00105420" w:rsidP="00210E19">
      <w:pPr>
        <w:tabs>
          <w:tab w:val="left" w:pos="5040"/>
          <w:tab w:val="left" w:pos="5760"/>
        </w:tabs>
        <w:spacing w:after="0" w:line="240" w:lineRule="auto"/>
        <w:rPr>
          <w:rFonts w:cs="Arial"/>
        </w:rPr>
      </w:pPr>
      <w:r>
        <w:rPr>
          <w:rFonts w:cs="Arial"/>
        </w:rPr>
        <w:t>Regarding the Alternative Energy Portfolio</w:t>
      </w:r>
      <w:r>
        <w:rPr>
          <w:rFonts w:cs="Arial"/>
        </w:rPr>
        <w:tab/>
        <w:t>)</w:t>
      </w:r>
    </w:p>
    <w:p w14:paraId="214AF18F" w14:textId="77777777" w:rsidR="00105420" w:rsidRDefault="00105420" w:rsidP="00210E19">
      <w:pPr>
        <w:tabs>
          <w:tab w:val="left" w:pos="5040"/>
          <w:tab w:val="left" w:pos="5760"/>
        </w:tabs>
        <w:spacing w:after="0" w:line="240" w:lineRule="auto"/>
        <w:rPr>
          <w:rFonts w:cs="Arial"/>
        </w:rPr>
      </w:pPr>
      <w:r>
        <w:rPr>
          <w:rFonts w:cs="Arial"/>
        </w:rPr>
        <w:t>Standard, to Implement Am. Sub. S.B. 315.</w:t>
      </w:r>
      <w:r>
        <w:rPr>
          <w:rFonts w:cs="Arial"/>
        </w:rPr>
        <w:tab/>
        <w:t>)</w:t>
      </w:r>
    </w:p>
    <w:p w14:paraId="5321C9B3" w14:textId="77777777" w:rsidR="00105420" w:rsidRDefault="00105420" w:rsidP="00210E19">
      <w:pPr>
        <w:tabs>
          <w:tab w:val="left" w:pos="5040"/>
          <w:tab w:val="left" w:pos="5760"/>
        </w:tabs>
        <w:spacing w:after="0" w:line="240" w:lineRule="auto"/>
        <w:rPr>
          <w:rFonts w:cs="Arial"/>
        </w:rPr>
      </w:pPr>
    </w:p>
    <w:p w14:paraId="5243AE32" w14:textId="77777777" w:rsidR="00105420" w:rsidRDefault="00105420" w:rsidP="00210E19">
      <w:pPr>
        <w:tabs>
          <w:tab w:val="left" w:pos="5040"/>
          <w:tab w:val="left" w:pos="5760"/>
        </w:tabs>
        <w:spacing w:after="0" w:line="240" w:lineRule="auto"/>
        <w:rPr>
          <w:rFonts w:cs="Arial"/>
        </w:rPr>
      </w:pPr>
      <w:r>
        <w:rPr>
          <w:rFonts w:cs="Arial"/>
        </w:rPr>
        <w:t>In the Matter of the Commission’s Review</w:t>
      </w:r>
      <w:r>
        <w:rPr>
          <w:rFonts w:cs="Arial"/>
        </w:rPr>
        <w:tab/>
        <w:t>)</w:t>
      </w:r>
    </w:p>
    <w:p w14:paraId="097E89A9" w14:textId="77777777" w:rsidR="00105420" w:rsidRDefault="00105420" w:rsidP="00210E19">
      <w:pPr>
        <w:tabs>
          <w:tab w:val="left" w:pos="5040"/>
          <w:tab w:val="left" w:pos="5760"/>
        </w:tabs>
        <w:spacing w:after="0" w:line="240" w:lineRule="auto"/>
        <w:rPr>
          <w:rFonts w:cs="Arial"/>
        </w:rPr>
      </w:pPr>
      <w:r>
        <w:rPr>
          <w:rFonts w:cs="Arial"/>
        </w:rPr>
        <w:t>of its Rules for Energy Efficiency Programs</w:t>
      </w:r>
      <w:r>
        <w:rPr>
          <w:rFonts w:cs="Arial"/>
        </w:rPr>
        <w:tab/>
        <w:t>)</w:t>
      </w:r>
      <w:r>
        <w:rPr>
          <w:rFonts w:cs="Arial"/>
        </w:rPr>
        <w:tab/>
        <w:t>Case No. 13-651-EL-ORD</w:t>
      </w:r>
    </w:p>
    <w:p w14:paraId="5673D589" w14:textId="77777777" w:rsidR="00105420" w:rsidRDefault="00105420" w:rsidP="00210E19">
      <w:pPr>
        <w:tabs>
          <w:tab w:val="left" w:pos="5040"/>
          <w:tab w:val="left" w:pos="5760"/>
        </w:tabs>
        <w:spacing w:after="0" w:line="240" w:lineRule="auto"/>
        <w:rPr>
          <w:rFonts w:cs="Arial"/>
        </w:rPr>
      </w:pPr>
      <w:r>
        <w:rPr>
          <w:rFonts w:cs="Arial"/>
        </w:rPr>
        <w:t>Contained in Chapter 4901:1-39 of the Ohio</w:t>
      </w:r>
      <w:r>
        <w:rPr>
          <w:rFonts w:cs="Arial"/>
        </w:rPr>
        <w:tab/>
        <w:t>)</w:t>
      </w:r>
    </w:p>
    <w:p w14:paraId="34D3CB00" w14:textId="77777777" w:rsidR="00105420" w:rsidRDefault="00105420" w:rsidP="00210E19">
      <w:pPr>
        <w:tabs>
          <w:tab w:val="left" w:pos="5040"/>
          <w:tab w:val="left" w:pos="5760"/>
        </w:tabs>
        <w:spacing w:after="0" w:line="240" w:lineRule="auto"/>
        <w:rPr>
          <w:rFonts w:cs="Arial"/>
        </w:rPr>
      </w:pPr>
      <w:r>
        <w:rPr>
          <w:rFonts w:cs="Arial"/>
        </w:rPr>
        <w:t>Administrative Code.</w:t>
      </w:r>
      <w:r>
        <w:rPr>
          <w:rFonts w:cs="Arial"/>
        </w:rPr>
        <w:tab/>
        <w:t>)</w:t>
      </w:r>
    </w:p>
    <w:p w14:paraId="3C1F9DDC" w14:textId="77777777" w:rsidR="00105420" w:rsidRDefault="00105420" w:rsidP="00210E19">
      <w:pPr>
        <w:tabs>
          <w:tab w:val="left" w:pos="5040"/>
          <w:tab w:val="left" w:pos="5760"/>
        </w:tabs>
        <w:spacing w:after="0" w:line="240" w:lineRule="auto"/>
        <w:rPr>
          <w:rFonts w:cs="Arial"/>
        </w:rPr>
      </w:pPr>
    </w:p>
    <w:p w14:paraId="23F7D91D" w14:textId="77777777" w:rsidR="00105420" w:rsidRDefault="00105420" w:rsidP="00210E19">
      <w:pPr>
        <w:tabs>
          <w:tab w:val="left" w:pos="5040"/>
          <w:tab w:val="left" w:pos="5760"/>
        </w:tabs>
        <w:spacing w:after="0" w:line="240" w:lineRule="auto"/>
        <w:rPr>
          <w:rFonts w:cs="Arial"/>
        </w:rPr>
      </w:pPr>
      <w:r>
        <w:rPr>
          <w:rFonts w:cs="Arial"/>
        </w:rPr>
        <w:t>In the Matter of the Commission’s Review</w:t>
      </w:r>
      <w:r>
        <w:rPr>
          <w:rFonts w:cs="Arial"/>
        </w:rPr>
        <w:tab/>
        <w:t>)</w:t>
      </w:r>
    </w:p>
    <w:p w14:paraId="7650FF5B" w14:textId="77777777" w:rsidR="00105420" w:rsidRDefault="00105420" w:rsidP="00210E19">
      <w:pPr>
        <w:tabs>
          <w:tab w:val="left" w:pos="5040"/>
          <w:tab w:val="left" w:pos="5760"/>
        </w:tabs>
        <w:spacing w:after="0" w:line="240" w:lineRule="auto"/>
        <w:rPr>
          <w:rFonts w:cs="Arial"/>
        </w:rPr>
      </w:pPr>
      <w:r>
        <w:rPr>
          <w:rFonts w:cs="Arial"/>
        </w:rPr>
        <w:t>of its Rules for the Alternative Energy</w:t>
      </w:r>
      <w:r>
        <w:rPr>
          <w:rFonts w:cs="Arial"/>
        </w:rPr>
        <w:tab/>
        <w:t>)</w:t>
      </w:r>
      <w:r>
        <w:rPr>
          <w:rFonts w:cs="Arial"/>
        </w:rPr>
        <w:tab/>
        <w:t>Case No. 13-652-EL-ORD</w:t>
      </w:r>
    </w:p>
    <w:p w14:paraId="1C612D63" w14:textId="77777777" w:rsidR="00105420" w:rsidRDefault="00105420" w:rsidP="00210E19">
      <w:pPr>
        <w:tabs>
          <w:tab w:val="left" w:pos="5040"/>
          <w:tab w:val="left" w:pos="5760"/>
        </w:tabs>
        <w:spacing w:after="0" w:line="240" w:lineRule="auto"/>
        <w:rPr>
          <w:rFonts w:cs="Arial"/>
        </w:rPr>
      </w:pPr>
      <w:r>
        <w:rPr>
          <w:rFonts w:cs="Arial"/>
        </w:rPr>
        <w:t xml:space="preserve">Portfolio Standard Contained in Chapter </w:t>
      </w:r>
      <w:r>
        <w:rPr>
          <w:rFonts w:cs="Arial"/>
        </w:rPr>
        <w:tab/>
        <w:t>)</w:t>
      </w:r>
    </w:p>
    <w:p w14:paraId="5716F506" w14:textId="77777777" w:rsidR="00105420" w:rsidRDefault="00105420" w:rsidP="00210E19">
      <w:pPr>
        <w:tabs>
          <w:tab w:val="left" w:pos="5040"/>
          <w:tab w:val="left" w:pos="5760"/>
        </w:tabs>
        <w:spacing w:after="0" w:line="240" w:lineRule="auto"/>
        <w:rPr>
          <w:rFonts w:cs="Arial"/>
        </w:rPr>
      </w:pPr>
      <w:r>
        <w:rPr>
          <w:rFonts w:cs="Arial"/>
        </w:rPr>
        <w:t>4901:1-40 of the Ohio Administrative Code.</w:t>
      </w:r>
      <w:r>
        <w:rPr>
          <w:rFonts w:cs="Arial"/>
        </w:rPr>
        <w:tab/>
        <w:t>)</w:t>
      </w:r>
    </w:p>
    <w:p w14:paraId="26C2BAA7" w14:textId="77777777" w:rsidR="00105420" w:rsidRDefault="00105420" w:rsidP="00210E19">
      <w:pPr>
        <w:tabs>
          <w:tab w:val="left" w:pos="5040"/>
          <w:tab w:val="left" w:pos="5580"/>
          <w:tab w:val="left" w:pos="5760"/>
        </w:tabs>
        <w:spacing w:after="0" w:line="240" w:lineRule="auto"/>
        <w:jc w:val="left"/>
        <w:rPr>
          <w:rFonts w:cs="Arial"/>
        </w:rPr>
      </w:pPr>
    </w:p>
    <w:p w14:paraId="177F597C" w14:textId="77777777" w:rsidR="00105420" w:rsidRDefault="00105420" w:rsidP="00105420">
      <w:pPr>
        <w:tabs>
          <w:tab w:val="left" w:pos="4500"/>
          <w:tab w:val="left" w:pos="5220"/>
        </w:tabs>
        <w:spacing w:line="240" w:lineRule="auto"/>
        <w:jc w:val="left"/>
        <w:rPr>
          <w:rFonts w:cs="Arial"/>
        </w:rPr>
      </w:pPr>
    </w:p>
    <w:p w14:paraId="0B98A219" w14:textId="77777777" w:rsidR="00105420" w:rsidRDefault="00105420" w:rsidP="00210E19">
      <w:pPr>
        <w:pBdr>
          <w:top w:val="single" w:sz="12" w:space="1" w:color="auto"/>
        </w:pBdr>
        <w:spacing w:after="0" w:line="240" w:lineRule="auto"/>
        <w:jc w:val="center"/>
        <w:rPr>
          <w:rFonts w:cs="Arial"/>
          <w:sz w:val="16"/>
          <w:szCs w:val="16"/>
        </w:rPr>
      </w:pPr>
    </w:p>
    <w:p w14:paraId="798F4776" w14:textId="77777777" w:rsidR="00105420" w:rsidRPr="00D02120" w:rsidRDefault="00105420" w:rsidP="00210E19">
      <w:pPr>
        <w:spacing w:after="0" w:line="240" w:lineRule="auto"/>
        <w:jc w:val="center"/>
        <w:rPr>
          <w:rFonts w:cs="Arial"/>
          <w:b/>
          <w:smallCaps/>
          <w:sz w:val="28"/>
          <w:szCs w:val="28"/>
        </w:rPr>
      </w:pPr>
      <w:r w:rsidRPr="00D02120">
        <w:rPr>
          <w:rFonts w:cs="Arial"/>
          <w:b/>
          <w:smallCaps/>
          <w:sz w:val="28"/>
          <w:szCs w:val="28"/>
        </w:rPr>
        <w:t>Industrial Energy Users-Ohio’s</w:t>
      </w:r>
    </w:p>
    <w:p w14:paraId="08B5646B" w14:textId="0F0F5673" w:rsidR="00105420" w:rsidRPr="00D02120" w:rsidRDefault="00105420" w:rsidP="00210E19">
      <w:pPr>
        <w:spacing w:after="0" w:line="240" w:lineRule="auto"/>
        <w:jc w:val="center"/>
        <w:rPr>
          <w:rFonts w:cs="Arial"/>
          <w:b/>
          <w:smallCaps/>
          <w:sz w:val="28"/>
          <w:szCs w:val="28"/>
        </w:rPr>
      </w:pPr>
      <w:r w:rsidRPr="00D02120">
        <w:rPr>
          <w:rFonts w:cs="Arial"/>
          <w:b/>
          <w:smallCaps/>
          <w:sz w:val="28"/>
          <w:szCs w:val="28"/>
        </w:rPr>
        <w:t>Application for Rehearing</w:t>
      </w:r>
    </w:p>
    <w:p w14:paraId="1766E459" w14:textId="77777777" w:rsidR="00105420" w:rsidRDefault="00105420" w:rsidP="00105420">
      <w:pPr>
        <w:pBdr>
          <w:bottom w:val="single" w:sz="12" w:space="1" w:color="auto"/>
        </w:pBdr>
        <w:spacing w:line="240" w:lineRule="auto"/>
        <w:jc w:val="center"/>
        <w:rPr>
          <w:rFonts w:cs="Arial"/>
          <w:b/>
          <w:sz w:val="16"/>
          <w:szCs w:val="16"/>
        </w:rPr>
      </w:pPr>
    </w:p>
    <w:p w14:paraId="5C4C48D0" w14:textId="77777777" w:rsidR="004A7B8A" w:rsidRDefault="004A7B8A" w:rsidP="00D60E0C">
      <w:pPr>
        <w:jc w:val="right"/>
      </w:pPr>
    </w:p>
    <w:p w14:paraId="2E3B0E1C" w14:textId="12CDDBF6" w:rsidR="008A1531" w:rsidRDefault="00FA5B1A" w:rsidP="00210E19">
      <w:pPr>
        <w:pStyle w:val="RegularParagraph"/>
      </w:pPr>
      <w:r>
        <w:t xml:space="preserve">Industrial Energy Users-Ohio (“IEU-Ohio”) submits this Application for Rehearing </w:t>
      </w:r>
      <w:r w:rsidR="004A7B8A">
        <w:t xml:space="preserve">of the Second Entry on Rehearing </w:t>
      </w:r>
      <w:r>
        <w:t>of the Public Utilities Commission of Ohio</w:t>
      </w:r>
      <w:r w:rsidR="004A7B8A">
        <w:t xml:space="preserve"> </w:t>
      </w:r>
      <w:r>
        <w:t xml:space="preserve">(“Commission”).  </w:t>
      </w:r>
      <w:r w:rsidR="004A7B8A">
        <w:t>While t</w:t>
      </w:r>
      <w:r>
        <w:t>he Commission appropriately determined “that banked savings may not be used to calculate shared savings</w:t>
      </w:r>
      <w:r w:rsidR="004A7B8A">
        <w:t>,</w:t>
      </w:r>
      <w:r>
        <w:t>”</w:t>
      </w:r>
      <w:r>
        <w:rPr>
          <w:rStyle w:val="FootnoteReference"/>
        </w:rPr>
        <w:footnoteReference w:id="1"/>
      </w:r>
      <w:r>
        <w:t xml:space="preserve"> </w:t>
      </w:r>
      <w:r w:rsidR="004A7B8A">
        <w:t xml:space="preserve">it also </w:t>
      </w:r>
      <w:r w:rsidR="002A5E99">
        <w:t xml:space="preserve">amended proposed </w:t>
      </w:r>
      <w:r w:rsidR="00D02120">
        <w:t>R</w:t>
      </w:r>
      <w:r w:rsidR="002A5E99">
        <w:t>ule 4901:1</w:t>
      </w:r>
      <w:r w:rsidR="00D02120">
        <w:noBreakHyphen/>
      </w:r>
      <w:r w:rsidR="002A5E99">
        <w:t>39-05(A)(1)(c), Ohio Administrative Code (“O.A.C.”),</w:t>
      </w:r>
      <w:r w:rsidR="008F60EA">
        <w:t xml:space="preserve"> </w:t>
      </w:r>
      <w:r w:rsidR="002A5E99">
        <w:t xml:space="preserve">to </w:t>
      </w:r>
      <w:r w:rsidR="008F60EA">
        <w:t>“allow banked savings to trigger shared savings.”</w:t>
      </w:r>
      <w:r w:rsidR="008F60EA">
        <w:rPr>
          <w:rStyle w:val="FootnoteReference"/>
        </w:rPr>
        <w:footnoteReference w:id="2"/>
      </w:r>
      <w:r w:rsidR="008F60EA">
        <w:t xml:space="preserve">  </w:t>
      </w:r>
    </w:p>
    <w:p w14:paraId="4C06A585" w14:textId="0ACDA0D1" w:rsidR="008A1531" w:rsidRDefault="004A7B8A" w:rsidP="00210E19">
      <w:pPr>
        <w:pStyle w:val="RegularParagraph"/>
      </w:pPr>
      <w:r>
        <w:t>Because the</w:t>
      </w:r>
      <w:r w:rsidR="008A1531">
        <w:t xml:space="preserve"> </w:t>
      </w:r>
      <w:r>
        <w:t xml:space="preserve">amended rule would authorize an electric distribution utility </w:t>
      </w:r>
      <w:r w:rsidR="00D02120">
        <w:t xml:space="preserve">(“EDU”) </w:t>
      </w:r>
      <w:r>
        <w:t>to use</w:t>
      </w:r>
      <w:r w:rsidR="008A1531">
        <w:t xml:space="preserve"> banked savings to calculate shared savings</w:t>
      </w:r>
      <w:r w:rsidR="00372A43">
        <w:t xml:space="preserve"> and such action would be </w:t>
      </w:r>
      <w:r w:rsidR="00372A43">
        <w:lastRenderedPageBreak/>
        <w:t>unreasonable and unlawful</w:t>
      </w:r>
      <w:r w:rsidR="008A1531">
        <w:t xml:space="preserve">, IEU-Ohio </w:t>
      </w:r>
      <w:r>
        <w:t>seeks an order granting rehearing to address</w:t>
      </w:r>
      <w:r w:rsidR="008A1531">
        <w:t xml:space="preserve"> </w:t>
      </w:r>
      <w:r w:rsidR="00D02120">
        <w:t xml:space="preserve">the </w:t>
      </w:r>
      <w:r w:rsidR="008A1531">
        <w:t>following assignment of error.</w:t>
      </w:r>
    </w:p>
    <w:p w14:paraId="141FEFE7" w14:textId="7E7C2310" w:rsidR="008A1531" w:rsidRDefault="008A1531" w:rsidP="008A1531">
      <w:pPr>
        <w:pStyle w:val="ListParagraph"/>
        <w:spacing w:line="240" w:lineRule="auto"/>
        <w:ind w:right="720"/>
      </w:pPr>
      <w:r>
        <w:t>The Second Entry on Rehearing</w:t>
      </w:r>
      <w:r w:rsidR="00D02120">
        <w:t>’s</w:t>
      </w:r>
      <w:r>
        <w:t xml:space="preserve"> </w:t>
      </w:r>
      <w:r w:rsidR="00372A43">
        <w:t xml:space="preserve">authorization of the use of banked savings to trigger shared savings is unlawful and unreasonable because </w:t>
      </w:r>
      <w:r w:rsidR="00D02120">
        <w:t xml:space="preserve">it </w:t>
      </w:r>
      <w:r w:rsidR="00372A43">
        <w:t xml:space="preserve">alters Commission </w:t>
      </w:r>
      <w:r w:rsidR="00CA302E">
        <w:t xml:space="preserve">policy </w:t>
      </w:r>
      <w:r w:rsidR="00372A43">
        <w:t>without providing a reasoned and lawful basis for the change in policy</w:t>
      </w:r>
      <w:r w:rsidR="00520AFF">
        <w:t>, would produce unreasonable charges,</w:t>
      </w:r>
      <w:r w:rsidR="00372A43">
        <w:t xml:space="preserve"> and permits the recovery of shared savings in violation of statutory limitations on shared savings.</w:t>
      </w:r>
    </w:p>
    <w:p w14:paraId="3568D73D" w14:textId="77777777" w:rsidR="007323B2" w:rsidRDefault="007323B2" w:rsidP="007323B2">
      <w:pPr>
        <w:pStyle w:val="RegularParagraph"/>
        <w:spacing w:after="0" w:line="240" w:lineRule="auto"/>
      </w:pPr>
    </w:p>
    <w:p w14:paraId="4C22C825" w14:textId="15067FFD" w:rsidR="008A1531" w:rsidRDefault="008A1531" w:rsidP="00210E19">
      <w:pPr>
        <w:pStyle w:val="RegularParagraph"/>
      </w:pPr>
      <w:r>
        <w:t xml:space="preserve">To </w:t>
      </w:r>
      <w:r w:rsidR="00372A43">
        <w:t xml:space="preserve">correct the error in the Second Entry on Rehearing, </w:t>
      </w:r>
      <w:r>
        <w:t xml:space="preserve">the Commission should grant rehearing and clarify that that banked savings could be used </w:t>
      </w:r>
      <w:r w:rsidR="00FA4714">
        <w:t xml:space="preserve">only </w:t>
      </w:r>
      <w:r>
        <w:t>to demonstrate compliance with the annual benchmark.</w:t>
      </w:r>
    </w:p>
    <w:p w14:paraId="4055AB53" w14:textId="77777777" w:rsidR="00105420" w:rsidRDefault="00105420" w:rsidP="00210E19">
      <w:pPr>
        <w:tabs>
          <w:tab w:val="left" w:pos="4320"/>
          <w:tab w:val="right" w:pos="8640"/>
        </w:tabs>
        <w:spacing w:after="0" w:line="240" w:lineRule="auto"/>
        <w:ind w:left="4320"/>
        <w:rPr>
          <w:rFonts w:eastAsia="Times New Roman" w:cs="Arial"/>
        </w:rPr>
      </w:pPr>
      <w:r>
        <w:rPr>
          <w:rFonts w:eastAsia="Times New Roman" w:cs="Arial"/>
        </w:rPr>
        <w:t>Respectfully submitted,</w:t>
      </w:r>
    </w:p>
    <w:p w14:paraId="319A69D1" w14:textId="77777777" w:rsidR="00105420" w:rsidRDefault="00105420" w:rsidP="00210E19">
      <w:pPr>
        <w:tabs>
          <w:tab w:val="left" w:pos="4320"/>
          <w:tab w:val="right" w:pos="8640"/>
        </w:tabs>
        <w:spacing w:after="0" w:line="240" w:lineRule="auto"/>
        <w:ind w:left="4320"/>
        <w:rPr>
          <w:rFonts w:eastAsia="Times New Roman" w:cs="Arial"/>
        </w:rPr>
      </w:pPr>
    </w:p>
    <w:p w14:paraId="0BDA4887" w14:textId="77777777" w:rsidR="00105420" w:rsidRDefault="00105420" w:rsidP="00210E19">
      <w:pPr>
        <w:tabs>
          <w:tab w:val="left" w:pos="4320"/>
          <w:tab w:val="right" w:pos="8640"/>
        </w:tabs>
        <w:spacing w:after="0" w:line="240" w:lineRule="auto"/>
        <w:rPr>
          <w:rFonts w:eastAsia="Times New Roman" w:cs="Arial"/>
        </w:rPr>
      </w:pPr>
    </w:p>
    <w:p w14:paraId="501D0F1A" w14:textId="77777777" w:rsidR="00105420" w:rsidRDefault="00105420" w:rsidP="00210E19">
      <w:pPr>
        <w:tabs>
          <w:tab w:val="left" w:pos="4320"/>
          <w:tab w:val="right" w:pos="8640"/>
        </w:tabs>
        <w:spacing w:after="0" w:line="240" w:lineRule="auto"/>
        <w:ind w:left="4320"/>
        <w:rPr>
          <w:rFonts w:eastAsia="Times New Roman" w:cs="Arial"/>
          <w:i/>
        </w:rPr>
      </w:pPr>
      <w:r>
        <w:rPr>
          <w:rFonts w:eastAsia="Times New Roman" w:cs="Arial"/>
          <w:i/>
          <w:u w:val="single"/>
        </w:rPr>
        <w:t>/s/ Frank P. Darr</w:t>
      </w:r>
      <w:r>
        <w:rPr>
          <w:rFonts w:eastAsia="Times New Roman" w:cs="Arial"/>
          <w:i/>
          <w:u w:val="single"/>
        </w:rPr>
        <w:tab/>
      </w:r>
    </w:p>
    <w:p w14:paraId="05D92ACC"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
          <w:bCs/>
          <w:szCs w:val="20"/>
        </w:rPr>
        <w:t>Frank P. Darr</w:t>
      </w:r>
      <w:r>
        <w:rPr>
          <w:rFonts w:eastAsia="Times New Roman" w:cs="Arial"/>
          <w:bCs/>
          <w:szCs w:val="20"/>
        </w:rPr>
        <w:t xml:space="preserve"> (Reg. No. 0025469)</w:t>
      </w:r>
    </w:p>
    <w:p w14:paraId="774B791F"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Cs/>
          <w:szCs w:val="20"/>
        </w:rPr>
        <w:t xml:space="preserve">   (Counsel of Record)</w:t>
      </w:r>
    </w:p>
    <w:p w14:paraId="25729020"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
          <w:bCs/>
          <w:szCs w:val="20"/>
        </w:rPr>
        <w:t>Matthew R. Pritchard</w:t>
      </w:r>
      <w:r>
        <w:rPr>
          <w:rFonts w:eastAsia="Times New Roman" w:cs="Arial"/>
          <w:bCs/>
          <w:szCs w:val="20"/>
        </w:rPr>
        <w:t xml:space="preserve"> (Reg. No. 0088070)</w:t>
      </w:r>
    </w:p>
    <w:p w14:paraId="370FEAD3" w14:textId="77777777" w:rsidR="00105420" w:rsidRDefault="00105420" w:rsidP="00210E19">
      <w:pPr>
        <w:widowControl w:val="0"/>
        <w:tabs>
          <w:tab w:val="left" w:pos="4320"/>
        </w:tabs>
        <w:spacing w:after="0" w:line="240" w:lineRule="auto"/>
        <w:ind w:left="4320"/>
        <w:rPr>
          <w:rFonts w:eastAsia="Times New Roman" w:cs="Arial"/>
          <w:bCs/>
          <w:smallCaps/>
        </w:rPr>
      </w:pPr>
      <w:r>
        <w:rPr>
          <w:rFonts w:eastAsia="Times New Roman" w:cs="Arial"/>
          <w:bCs/>
          <w:smallCaps/>
        </w:rPr>
        <w:t>McNees Wallace &amp; Nurick LLC</w:t>
      </w:r>
    </w:p>
    <w:p w14:paraId="78B07A43"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14:paraId="254F65D6"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Columbus, OH  43215</w:t>
      </w:r>
    </w:p>
    <w:p w14:paraId="72028234"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Telephone:  (614) 469-8000</w:t>
      </w:r>
    </w:p>
    <w:p w14:paraId="6549FF52"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Telecopier:  (614) 469-4653</w:t>
      </w:r>
    </w:p>
    <w:p w14:paraId="62D4E57F"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fdarr@mcneeslaw.com</w:t>
      </w:r>
    </w:p>
    <w:p w14:paraId="1C752AE1"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mpritchard@mcneeslaw.com</w:t>
      </w:r>
    </w:p>
    <w:p w14:paraId="55FAC93C" w14:textId="77777777" w:rsidR="00105420" w:rsidRDefault="00105420" w:rsidP="00210E19">
      <w:pPr>
        <w:tabs>
          <w:tab w:val="left" w:pos="4320"/>
          <w:tab w:val="right" w:pos="8640"/>
        </w:tabs>
        <w:spacing w:after="0" w:line="240" w:lineRule="auto"/>
        <w:rPr>
          <w:rFonts w:ascii="Times New Roman" w:eastAsia="Times New Roman" w:hAnsi="Times New Roman" w:cs="Times New Roman"/>
        </w:rPr>
      </w:pPr>
    </w:p>
    <w:p w14:paraId="1106F84A" w14:textId="77777777" w:rsidR="00105420" w:rsidRDefault="00105420" w:rsidP="00210E19">
      <w:pPr>
        <w:tabs>
          <w:tab w:val="left" w:pos="4320"/>
        </w:tabs>
        <w:spacing w:after="0" w:line="240" w:lineRule="auto"/>
        <w:rPr>
          <w:rFonts w:ascii="Arial Bold" w:eastAsia="Times New Roman" w:hAnsi="Arial Bold" w:cs="Arial"/>
          <w:b/>
          <w:smallCaps/>
        </w:rPr>
      </w:pPr>
      <w:r>
        <w:rPr>
          <w:rFonts w:eastAsia="Times New Roman" w:cs="Arial"/>
          <w:b/>
          <w:smallCaps/>
        </w:rPr>
        <w:tab/>
      </w:r>
      <w:r>
        <w:rPr>
          <w:rFonts w:ascii="Arial Bold" w:eastAsia="Times New Roman" w:hAnsi="Arial Bold" w:cs="Arial"/>
          <w:b/>
          <w:smallCaps/>
        </w:rPr>
        <w:t>Counsel for Industrial Energy Users-Ohio</w:t>
      </w:r>
    </w:p>
    <w:p w14:paraId="2735A869" w14:textId="2C552306" w:rsidR="002A5E99" w:rsidRDefault="002A5E99" w:rsidP="00C2112F">
      <w:pPr>
        <w:ind w:firstLine="720"/>
      </w:pPr>
      <w:r>
        <w:br w:type="page"/>
      </w:r>
    </w:p>
    <w:p w14:paraId="6D583875" w14:textId="77777777" w:rsidR="00105420" w:rsidRPr="00AE664D" w:rsidRDefault="00105420" w:rsidP="00210E19">
      <w:pPr>
        <w:spacing w:after="0" w:line="240" w:lineRule="auto"/>
        <w:jc w:val="center"/>
        <w:rPr>
          <w:rFonts w:cs="Arial"/>
          <w:b/>
          <w:smallCaps/>
          <w:sz w:val="28"/>
          <w:szCs w:val="28"/>
        </w:rPr>
      </w:pPr>
      <w:r w:rsidRPr="00AE664D">
        <w:rPr>
          <w:rFonts w:cs="Arial"/>
          <w:b/>
          <w:smallCaps/>
          <w:sz w:val="28"/>
          <w:szCs w:val="28"/>
        </w:rPr>
        <w:lastRenderedPageBreak/>
        <w:t>Before</w:t>
      </w:r>
    </w:p>
    <w:p w14:paraId="6C7AD29E" w14:textId="77777777" w:rsidR="00105420" w:rsidRPr="00AE664D" w:rsidRDefault="00105420" w:rsidP="00210E19">
      <w:pPr>
        <w:spacing w:after="0" w:line="240" w:lineRule="auto"/>
        <w:jc w:val="center"/>
        <w:rPr>
          <w:rFonts w:cs="Arial"/>
          <w:b/>
          <w:smallCaps/>
          <w:sz w:val="28"/>
          <w:szCs w:val="28"/>
        </w:rPr>
      </w:pPr>
      <w:r w:rsidRPr="00AE664D">
        <w:rPr>
          <w:rFonts w:cs="Arial"/>
          <w:b/>
          <w:smallCaps/>
          <w:sz w:val="28"/>
          <w:szCs w:val="28"/>
        </w:rPr>
        <w:t>The Public Utilities Commission of Ohio</w:t>
      </w:r>
    </w:p>
    <w:p w14:paraId="3EEEE9D0" w14:textId="77777777" w:rsidR="00105420" w:rsidRDefault="00105420" w:rsidP="00210E19">
      <w:pPr>
        <w:spacing w:after="0" w:line="240" w:lineRule="auto"/>
        <w:jc w:val="left"/>
        <w:rPr>
          <w:rFonts w:cs="Arial"/>
        </w:rPr>
      </w:pPr>
    </w:p>
    <w:p w14:paraId="6E8CB87C" w14:textId="77777777" w:rsidR="00105420" w:rsidRDefault="00105420" w:rsidP="00210E19">
      <w:pPr>
        <w:tabs>
          <w:tab w:val="left" w:pos="5040"/>
          <w:tab w:val="left" w:pos="5760"/>
        </w:tabs>
        <w:spacing w:after="0" w:line="240" w:lineRule="auto"/>
        <w:rPr>
          <w:rFonts w:cs="Arial"/>
        </w:rPr>
      </w:pPr>
      <w:r>
        <w:rPr>
          <w:rFonts w:cs="Arial"/>
        </w:rPr>
        <w:t>In the Matter of the Amendment of Ohio</w:t>
      </w:r>
      <w:r>
        <w:rPr>
          <w:rFonts w:cs="Arial"/>
        </w:rPr>
        <w:tab/>
        <w:t>)</w:t>
      </w:r>
    </w:p>
    <w:p w14:paraId="278E6AC7" w14:textId="77777777" w:rsidR="00105420" w:rsidRDefault="00105420" w:rsidP="00210E19">
      <w:pPr>
        <w:tabs>
          <w:tab w:val="left" w:pos="5040"/>
          <w:tab w:val="left" w:pos="5760"/>
        </w:tabs>
        <w:spacing w:after="0" w:line="240" w:lineRule="auto"/>
        <w:rPr>
          <w:rFonts w:cs="Arial"/>
        </w:rPr>
      </w:pPr>
      <w:r>
        <w:rPr>
          <w:rFonts w:cs="Arial"/>
        </w:rPr>
        <w:t>Administrative Code Chapter 4901:1-40,</w:t>
      </w:r>
      <w:r>
        <w:rPr>
          <w:rFonts w:cs="Arial"/>
        </w:rPr>
        <w:tab/>
        <w:t>)</w:t>
      </w:r>
      <w:r>
        <w:rPr>
          <w:rFonts w:cs="Arial"/>
        </w:rPr>
        <w:tab/>
        <w:t>Case No. 12-2156-EL-ORD</w:t>
      </w:r>
    </w:p>
    <w:p w14:paraId="1DA32658" w14:textId="77777777" w:rsidR="00105420" w:rsidRDefault="00105420" w:rsidP="00210E19">
      <w:pPr>
        <w:tabs>
          <w:tab w:val="left" w:pos="5040"/>
          <w:tab w:val="left" w:pos="5760"/>
        </w:tabs>
        <w:spacing w:after="0" w:line="240" w:lineRule="auto"/>
        <w:rPr>
          <w:rFonts w:cs="Arial"/>
        </w:rPr>
      </w:pPr>
      <w:r>
        <w:rPr>
          <w:rFonts w:cs="Arial"/>
        </w:rPr>
        <w:t>Regarding the Alternative Energy Portfolio</w:t>
      </w:r>
      <w:r>
        <w:rPr>
          <w:rFonts w:cs="Arial"/>
        </w:rPr>
        <w:tab/>
        <w:t>)</w:t>
      </w:r>
    </w:p>
    <w:p w14:paraId="1702AD7A" w14:textId="77777777" w:rsidR="00105420" w:rsidRDefault="00105420" w:rsidP="00210E19">
      <w:pPr>
        <w:tabs>
          <w:tab w:val="left" w:pos="5040"/>
          <w:tab w:val="left" w:pos="5760"/>
        </w:tabs>
        <w:spacing w:after="0" w:line="240" w:lineRule="auto"/>
        <w:rPr>
          <w:rFonts w:cs="Arial"/>
        </w:rPr>
      </w:pPr>
      <w:r>
        <w:rPr>
          <w:rFonts w:cs="Arial"/>
        </w:rPr>
        <w:t>Standard, to Implement Am. Sub. S.B. 315.</w:t>
      </w:r>
      <w:r>
        <w:rPr>
          <w:rFonts w:cs="Arial"/>
        </w:rPr>
        <w:tab/>
        <w:t>)</w:t>
      </w:r>
    </w:p>
    <w:p w14:paraId="5CC5DAF0" w14:textId="77777777" w:rsidR="00105420" w:rsidRDefault="00105420" w:rsidP="00210E19">
      <w:pPr>
        <w:tabs>
          <w:tab w:val="left" w:pos="5040"/>
          <w:tab w:val="left" w:pos="5760"/>
        </w:tabs>
        <w:spacing w:after="0" w:line="240" w:lineRule="auto"/>
        <w:rPr>
          <w:rFonts w:cs="Arial"/>
        </w:rPr>
      </w:pPr>
    </w:p>
    <w:p w14:paraId="2D6D1D2E" w14:textId="77777777" w:rsidR="00105420" w:rsidRDefault="00105420" w:rsidP="00210E19">
      <w:pPr>
        <w:tabs>
          <w:tab w:val="left" w:pos="5040"/>
          <w:tab w:val="left" w:pos="5760"/>
        </w:tabs>
        <w:spacing w:after="0" w:line="240" w:lineRule="auto"/>
        <w:rPr>
          <w:rFonts w:cs="Arial"/>
        </w:rPr>
      </w:pPr>
      <w:r>
        <w:rPr>
          <w:rFonts w:cs="Arial"/>
        </w:rPr>
        <w:t>In the Matter of the Commission’s Review</w:t>
      </w:r>
      <w:r>
        <w:rPr>
          <w:rFonts w:cs="Arial"/>
        </w:rPr>
        <w:tab/>
        <w:t>)</w:t>
      </w:r>
    </w:p>
    <w:p w14:paraId="4E052814" w14:textId="77777777" w:rsidR="00105420" w:rsidRDefault="00105420" w:rsidP="00210E19">
      <w:pPr>
        <w:tabs>
          <w:tab w:val="left" w:pos="5040"/>
          <w:tab w:val="left" w:pos="5760"/>
        </w:tabs>
        <w:spacing w:after="0" w:line="240" w:lineRule="auto"/>
        <w:rPr>
          <w:rFonts w:cs="Arial"/>
        </w:rPr>
      </w:pPr>
      <w:r>
        <w:rPr>
          <w:rFonts w:cs="Arial"/>
        </w:rPr>
        <w:t>of its Rules for Energy Efficiency Programs</w:t>
      </w:r>
      <w:r>
        <w:rPr>
          <w:rFonts w:cs="Arial"/>
        </w:rPr>
        <w:tab/>
        <w:t>)</w:t>
      </w:r>
      <w:r>
        <w:rPr>
          <w:rFonts w:cs="Arial"/>
        </w:rPr>
        <w:tab/>
        <w:t>Case No. 13-651-EL-ORD</w:t>
      </w:r>
    </w:p>
    <w:p w14:paraId="36DF7436" w14:textId="77777777" w:rsidR="00105420" w:rsidRDefault="00105420" w:rsidP="00210E19">
      <w:pPr>
        <w:tabs>
          <w:tab w:val="left" w:pos="5040"/>
          <w:tab w:val="left" w:pos="5760"/>
        </w:tabs>
        <w:spacing w:after="0" w:line="240" w:lineRule="auto"/>
        <w:rPr>
          <w:rFonts w:cs="Arial"/>
        </w:rPr>
      </w:pPr>
      <w:r>
        <w:rPr>
          <w:rFonts w:cs="Arial"/>
        </w:rPr>
        <w:t>Contained in Chapter 4901:1-39 of the Ohio</w:t>
      </w:r>
      <w:r>
        <w:rPr>
          <w:rFonts w:cs="Arial"/>
        </w:rPr>
        <w:tab/>
        <w:t>)</w:t>
      </w:r>
    </w:p>
    <w:p w14:paraId="357A1981" w14:textId="77777777" w:rsidR="00105420" w:rsidRDefault="00105420" w:rsidP="00210E19">
      <w:pPr>
        <w:tabs>
          <w:tab w:val="left" w:pos="5040"/>
          <w:tab w:val="left" w:pos="5760"/>
        </w:tabs>
        <w:spacing w:after="0" w:line="240" w:lineRule="auto"/>
        <w:rPr>
          <w:rFonts w:cs="Arial"/>
        </w:rPr>
      </w:pPr>
      <w:r>
        <w:rPr>
          <w:rFonts w:cs="Arial"/>
        </w:rPr>
        <w:t>Administrative Code.</w:t>
      </w:r>
      <w:r>
        <w:rPr>
          <w:rFonts w:cs="Arial"/>
        </w:rPr>
        <w:tab/>
        <w:t>)</w:t>
      </w:r>
    </w:p>
    <w:p w14:paraId="28313432" w14:textId="77777777" w:rsidR="00105420" w:rsidRDefault="00105420" w:rsidP="00210E19">
      <w:pPr>
        <w:tabs>
          <w:tab w:val="left" w:pos="5040"/>
          <w:tab w:val="left" w:pos="5760"/>
        </w:tabs>
        <w:spacing w:after="0" w:line="240" w:lineRule="auto"/>
        <w:rPr>
          <w:rFonts w:cs="Arial"/>
        </w:rPr>
      </w:pPr>
    </w:p>
    <w:p w14:paraId="02AC1CD6" w14:textId="77777777" w:rsidR="00105420" w:rsidRDefault="00105420" w:rsidP="00210E19">
      <w:pPr>
        <w:tabs>
          <w:tab w:val="left" w:pos="5040"/>
          <w:tab w:val="left" w:pos="5760"/>
        </w:tabs>
        <w:spacing w:after="0" w:line="240" w:lineRule="auto"/>
        <w:rPr>
          <w:rFonts w:cs="Arial"/>
        </w:rPr>
      </w:pPr>
      <w:r>
        <w:rPr>
          <w:rFonts w:cs="Arial"/>
        </w:rPr>
        <w:t>In the Matter of the Commission’s Review</w:t>
      </w:r>
      <w:r>
        <w:rPr>
          <w:rFonts w:cs="Arial"/>
        </w:rPr>
        <w:tab/>
        <w:t>)</w:t>
      </w:r>
    </w:p>
    <w:p w14:paraId="1FDAF9D6" w14:textId="77777777" w:rsidR="00105420" w:rsidRDefault="00105420" w:rsidP="00210E19">
      <w:pPr>
        <w:tabs>
          <w:tab w:val="left" w:pos="5040"/>
          <w:tab w:val="left" w:pos="5760"/>
        </w:tabs>
        <w:spacing w:after="0" w:line="240" w:lineRule="auto"/>
        <w:rPr>
          <w:rFonts w:cs="Arial"/>
        </w:rPr>
      </w:pPr>
      <w:r>
        <w:rPr>
          <w:rFonts w:cs="Arial"/>
        </w:rPr>
        <w:t>of its Rules for the Alternative Energy</w:t>
      </w:r>
      <w:r>
        <w:rPr>
          <w:rFonts w:cs="Arial"/>
        </w:rPr>
        <w:tab/>
        <w:t>)</w:t>
      </w:r>
      <w:r>
        <w:rPr>
          <w:rFonts w:cs="Arial"/>
        </w:rPr>
        <w:tab/>
        <w:t>Case No. 13-652-EL-ORD</w:t>
      </w:r>
    </w:p>
    <w:p w14:paraId="2EAF5426" w14:textId="77777777" w:rsidR="00105420" w:rsidRDefault="00105420" w:rsidP="00210E19">
      <w:pPr>
        <w:tabs>
          <w:tab w:val="left" w:pos="5040"/>
          <w:tab w:val="left" w:pos="5760"/>
        </w:tabs>
        <w:spacing w:after="0" w:line="240" w:lineRule="auto"/>
        <w:rPr>
          <w:rFonts w:cs="Arial"/>
        </w:rPr>
      </w:pPr>
      <w:r>
        <w:rPr>
          <w:rFonts w:cs="Arial"/>
        </w:rPr>
        <w:t xml:space="preserve">Portfolio Standard Contained in Chapter </w:t>
      </w:r>
      <w:r>
        <w:rPr>
          <w:rFonts w:cs="Arial"/>
        </w:rPr>
        <w:tab/>
        <w:t>)</w:t>
      </w:r>
    </w:p>
    <w:p w14:paraId="173BF246" w14:textId="77777777" w:rsidR="00105420" w:rsidRDefault="00105420" w:rsidP="00210E19">
      <w:pPr>
        <w:tabs>
          <w:tab w:val="left" w:pos="5040"/>
          <w:tab w:val="left" w:pos="5760"/>
        </w:tabs>
        <w:spacing w:after="0" w:line="240" w:lineRule="auto"/>
        <w:rPr>
          <w:rFonts w:cs="Arial"/>
        </w:rPr>
      </w:pPr>
      <w:r>
        <w:rPr>
          <w:rFonts w:cs="Arial"/>
        </w:rPr>
        <w:t>4901:1-40 of the Ohio Administrative Code.</w:t>
      </w:r>
      <w:r>
        <w:rPr>
          <w:rFonts w:cs="Arial"/>
        </w:rPr>
        <w:tab/>
        <w:t>)</w:t>
      </w:r>
    </w:p>
    <w:p w14:paraId="71CA314E" w14:textId="77777777" w:rsidR="00105420" w:rsidRDefault="00105420" w:rsidP="00210E19">
      <w:pPr>
        <w:tabs>
          <w:tab w:val="left" w:pos="5040"/>
          <w:tab w:val="left" w:pos="5580"/>
          <w:tab w:val="left" w:pos="5760"/>
        </w:tabs>
        <w:spacing w:after="0" w:line="240" w:lineRule="auto"/>
        <w:jc w:val="left"/>
        <w:rPr>
          <w:rFonts w:cs="Arial"/>
        </w:rPr>
      </w:pPr>
    </w:p>
    <w:p w14:paraId="74D28148" w14:textId="77777777" w:rsidR="00105420" w:rsidRDefault="00105420" w:rsidP="00210E19">
      <w:pPr>
        <w:tabs>
          <w:tab w:val="left" w:pos="4500"/>
          <w:tab w:val="left" w:pos="5220"/>
        </w:tabs>
        <w:spacing w:after="0" w:line="240" w:lineRule="auto"/>
        <w:jc w:val="left"/>
        <w:rPr>
          <w:rFonts w:cs="Arial"/>
        </w:rPr>
      </w:pPr>
    </w:p>
    <w:p w14:paraId="4AB6A26A" w14:textId="77777777" w:rsidR="00105420" w:rsidRDefault="00105420" w:rsidP="00210E19">
      <w:pPr>
        <w:pBdr>
          <w:top w:val="single" w:sz="12" w:space="1" w:color="auto"/>
        </w:pBdr>
        <w:spacing w:after="0" w:line="240" w:lineRule="auto"/>
        <w:jc w:val="center"/>
        <w:rPr>
          <w:rFonts w:cs="Arial"/>
          <w:sz w:val="16"/>
          <w:szCs w:val="16"/>
        </w:rPr>
      </w:pPr>
    </w:p>
    <w:p w14:paraId="144C7333" w14:textId="0A953F76" w:rsidR="00105420" w:rsidRPr="00AE664D" w:rsidRDefault="00105420" w:rsidP="00210E19">
      <w:pPr>
        <w:spacing w:after="0" w:line="240" w:lineRule="auto"/>
        <w:jc w:val="center"/>
        <w:rPr>
          <w:rFonts w:cs="Arial"/>
          <w:b/>
          <w:smallCaps/>
          <w:sz w:val="28"/>
          <w:szCs w:val="28"/>
        </w:rPr>
      </w:pPr>
      <w:r>
        <w:rPr>
          <w:rFonts w:cs="Arial"/>
          <w:b/>
          <w:smallCaps/>
          <w:sz w:val="28"/>
          <w:szCs w:val="28"/>
        </w:rPr>
        <w:t>Memorandum in Support</w:t>
      </w:r>
    </w:p>
    <w:p w14:paraId="53EC1CE7" w14:textId="77777777" w:rsidR="00105420" w:rsidRDefault="00105420" w:rsidP="00210E19">
      <w:pPr>
        <w:pBdr>
          <w:bottom w:val="single" w:sz="12" w:space="1" w:color="auto"/>
        </w:pBdr>
        <w:spacing w:after="0" w:line="240" w:lineRule="auto"/>
        <w:jc w:val="center"/>
        <w:rPr>
          <w:rFonts w:cs="Arial"/>
          <w:b/>
          <w:sz w:val="16"/>
          <w:szCs w:val="16"/>
        </w:rPr>
      </w:pPr>
    </w:p>
    <w:p w14:paraId="67DAEF95" w14:textId="77777777" w:rsidR="00D02120" w:rsidRDefault="00D02120" w:rsidP="00210E19">
      <w:pPr>
        <w:pStyle w:val="ListParagraph"/>
        <w:ind w:left="360"/>
        <w:rPr>
          <w:b/>
          <w:caps/>
        </w:rPr>
      </w:pPr>
    </w:p>
    <w:p w14:paraId="6FC1EAE4" w14:textId="726D5821" w:rsidR="004069EA" w:rsidRPr="00FC475C" w:rsidRDefault="00C2112F" w:rsidP="00210E19">
      <w:pPr>
        <w:pStyle w:val="Heading1"/>
        <w:rPr>
          <w:rFonts w:cs="Arial"/>
        </w:rPr>
      </w:pPr>
      <w:bookmarkStart w:id="2" w:name="_Toc8372498"/>
      <w:r w:rsidRPr="00FC475C">
        <w:rPr>
          <w:rFonts w:cs="Arial"/>
        </w:rPr>
        <w:t>Introduction</w:t>
      </w:r>
      <w:bookmarkEnd w:id="2"/>
    </w:p>
    <w:p w14:paraId="31C73FFD" w14:textId="52B195A7" w:rsidR="00983DAA" w:rsidRPr="00D02120" w:rsidRDefault="00C2112F" w:rsidP="00210E19">
      <w:pPr>
        <w:pStyle w:val="RegularParagraph"/>
      </w:pPr>
      <w:r w:rsidRPr="00D02120">
        <w:t>The Commission’s Second Entry on Rehearing has introduced two concepts</w:t>
      </w:r>
      <w:r w:rsidR="00AE197A" w:rsidRPr="00D02120">
        <w:t xml:space="preserve"> to the determination of shared savings</w:t>
      </w:r>
      <w:r w:rsidRPr="00D02120">
        <w:t xml:space="preserve"> that are mutually exclusive.  </w:t>
      </w:r>
      <w:r w:rsidR="00FA4714">
        <w:t>Consistent with its prior policy,</w:t>
      </w:r>
      <w:r w:rsidR="00FA4714" w:rsidRPr="00D02120">
        <w:t xml:space="preserve"> </w:t>
      </w:r>
      <w:r w:rsidR="00FA4714">
        <w:t>t</w:t>
      </w:r>
      <w:r w:rsidRPr="00D02120">
        <w:t>he Commission has correctly</w:t>
      </w:r>
      <w:r w:rsidR="00396DFB" w:rsidRPr="00D02120">
        <w:t xml:space="preserve"> </w:t>
      </w:r>
      <w:r w:rsidR="00FA4714">
        <w:t xml:space="preserve">concluded </w:t>
      </w:r>
      <w:r w:rsidRPr="00D02120">
        <w:t>that banked savings should be excluded from the shared savings calculation</w:t>
      </w:r>
      <w:r w:rsidR="00396DFB">
        <w:t>, b</w:t>
      </w:r>
      <w:r w:rsidRPr="00D02120">
        <w:t xml:space="preserve">ut the Commission </w:t>
      </w:r>
      <w:r w:rsidR="00396DFB">
        <w:t>also has provided</w:t>
      </w:r>
      <w:r w:rsidRPr="00D02120">
        <w:t xml:space="preserve"> that banked savings can be relied upon to trigger shared savings.</w:t>
      </w:r>
      <w:r w:rsidR="00F679FD">
        <w:rPr>
          <w:rStyle w:val="FootnoteReference"/>
        </w:rPr>
        <w:footnoteReference w:id="3"/>
      </w:r>
      <w:r w:rsidRPr="00D02120">
        <w:t xml:space="preserve">  </w:t>
      </w:r>
      <w:r w:rsidR="00AE197A" w:rsidRPr="00D02120">
        <w:t>In the Second Entry on Rehearing, t</w:t>
      </w:r>
      <w:r w:rsidRPr="00D02120">
        <w:t xml:space="preserve">he Commission </w:t>
      </w:r>
      <w:r w:rsidR="00396DFB">
        <w:t xml:space="preserve">does not </w:t>
      </w:r>
      <w:r w:rsidR="00AE197A" w:rsidRPr="00D02120">
        <w:t>explain</w:t>
      </w:r>
      <w:r w:rsidRPr="00D02120">
        <w:t xml:space="preserve"> how </w:t>
      </w:r>
      <w:r w:rsidR="00AE197A" w:rsidRPr="00D02120">
        <w:t>an EDU</w:t>
      </w:r>
      <w:r w:rsidR="00396DFB">
        <w:t xml:space="preserve"> can</w:t>
      </w:r>
      <w:r w:rsidR="00AE197A" w:rsidRPr="00D02120">
        <w:t xml:space="preserve"> use banked savings </w:t>
      </w:r>
      <w:r w:rsidR="00396DFB">
        <w:t>to</w:t>
      </w:r>
      <w:r w:rsidR="00396DFB" w:rsidRPr="00D02120">
        <w:t xml:space="preserve"> </w:t>
      </w:r>
      <w:r w:rsidRPr="00D02120">
        <w:t xml:space="preserve">“trigger” shared savings while simultaneously excluding banked savings from the shared savings calculation.  </w:t>
      </w:r>
    </w:p>
    <w:p w14:paraId="7E97BFF2" w14:textId="47E071FE" w:rsidR="004069EA" w:rsidRDefault="00AE197A" w:rsidP="00210E19">
      <w:pPr>
        <w:pStyle w:val="RegularParagraph"/>
      </w:pPr>
      <w:r>
        <w:lastRenderedPageBreak/>
        <w:t>“</w:t>
      </w:r>
      <w:r w:rsidR="00C2112F">
        <w:t>Trigge</w:t>
      </w:r>
      <w:r w:rsidR="00983DAA">
        <w:t>ring shared savings</w:t>
      </w:r>
      <w:r>
        <w:t>”</w:t>
      </w:r>
      <w:r w:rsidR="00983DAA">
        <w:t xml:space="preserve"> appears to mean one of two things.  First, </w:t>
      </w:r>
      <w:r w:rsidR="00020DD5">
        <w:t>“</w:t>
      </w:r>
      <w:r w:rsidR="00983DAA">
        <w:t>triggering</w:t>
      </w:r>
      <w:r w:rsidR="00020DD5">
        <w:t>”</w:t>
      </w:r>
      <w:r w:rsidR="00983DAA">
        <w:t xml:space="preserve"> could mean that the ability to collect shared savings first requires that the EDU satisfy compliance with the annual benchmark, which could in turn be met with banked savings.  Second, </w:t>
      </w:r>
      <w:r w:rsidR="00020DD5">
        <w:t>“</w:t>
      </w:r>
      <w:r w:rsidR="00983DAA">
        <w:t>triggering</w:t>
      </w:r>
      <w:r w:rsidR="00020DD5">
        <w:t>”</w:t>
      </w:r>
      <w:r w:rsidR="00983DAA">
        <w:t xml:space="preserve"> could mean that banked savings could be included in the annual calculation of the </w:t>
      </w:r>
      <w:r w:rsidR="00020DD5">
        <w:t>shared savings percentage</w:t>
      </w:r>
      <w:r w:rsidR="00983DAA">
        <w:t xml:space="preserve">, which would confine the reference to shared savings calculation to the calculation of </w:t>
      </w:r>
      <w:r w:rsidR="00020DD5">
        <w:t>annual net benefits</w:t>
      </w:r>
      <w:r w:rsidR="00983DAA">
        <w:t xml:space="preserve">.  </w:t>
      </w:r>
      <w:r w:rsidR="00D75201">
        <w:t xml:space="preserve">In either case, the use of banked savings </w:t>
      </w:r>
      <w:r w:rsidR="008E6799">
        <w:t xml:space="preserve">as a </w:t>
      </w:r>
      <w:r w:rsidR="00D75201">
        <w:t>“trigger” is unreasonable and  unlawful.</w:t>
      </w:r>
    </w:p>
    <w:p w14:paraId="1EAB9177" w14:textId="6E03E5D2" w:rsidR="00091C19" w:rsidRPr="00FC475C" w:rsidRDefault="00F14F77" w:rsidP="00210E19">
      <w:pPr>
        <w:pStyle w:val="Heading1"/>
        <w:rPr>
          <w:rFonts w:cs="Arial"/>
        </w:rPr>
      </w:pPr>
      <w:bookmarkStart w:id="3" w:name="_Toc8372499"/>
      <w:r w:rsidRPr="00FC475C">
        <w:rPr>
          <w:rFonts w:cs="Arial"/>
        </w:rPr>
        <w:t>current commission practice for calc</w:t>
      </w:r>
      <w:r w:rsidR="00020DD5">
        <w:rPr>
          <w:rFonts w:cs="Arial"/>
        </w:rPr>
        <w:t>u</w:t>
      </w:r>
      <w:r w:rsidRPr="00FC475C">
        <w:rPr>
          <w:rFonts w:cs="Arial"/>
        </w:rPr>
        <w:t xml:space="preserve">lating </w:t>
      </w:r>
      <w:r w:rsidR="003053A6" w:rsidRPr="00FC475C">
        <w:rPr>
          <w:rFonts w:cs="Arial"/>
        </w:rPr>
        <w:t xml:space="preserve">shared savings </w:t>
      </w:r>
      <w:r w:rsidRPr="00FC475C">
        <w:rPr>
          <w:rFonts w:cs="Arial"/>
        </w:rPr>
        <w:t>excludes banked savings</w:t>
      </w:r>
      <w:bookmarkEnd w:id="3"/>
    </w:p>
    <w:p w14:paraId="6CE61EC4" w14:textId="19F6905B" w:rsidR="0011221C" w:rsidRDefault="002214D7" w:rsidP="00210E19">
      <w:pPr>
        <w:pStyle w:val="RegularParagraph"/>
      </w:pPr>
      <w:r>
        <w:t>The Commission’s calculation of shared savings is not based on any statutory provision; instead it is a result of past practice, largely developed in settlements</w:t>
      </w:r>
      <w:r w:rsidR="007E0C9A">
        <w:t>.</w:t>
      </w:r>
      <w:r w:rsidR="007E0C9A">
        <w:rPr>
          <w:rStyle w:val="FootnoteReference"/>
        </w:rPr>
        <w:footnoteReference w:id="4"/>
      </w:r>
      <w:r w:rsidR="007E0C9A">
        <w:t xml:space="preserve">  </w:t>
      </w:r>
      <w:r w:rsidR="00C8631C">
        <w:t xml:space="preserve">The first step is a determination of the percentage that the </w:t>
      </w:r>
      <w:r w:rsidR="007E0C9A">
        <w:t>EDU</w:t>
      </w:r>
      <w:r w:rsidR="00C8631C">
        <w:t xml:space="preserve"> exceeded the annual </w:t>
      </w:r>
      <w:r w:rsidR="00020DD5">
        <w:t>energy efficiency and peak demand reduction (“</w:t>
      </w:r>
      <w:r w:rsidR="00AB7ABB">
        <w:t>EE/PDR</w:t>
      </w:r>
      <w:r w:rsidR="00020DD5">
        <w:t>”)</w:t>
      </w:r>
      <w:r w:rsidR="00AB7ABB">
        <w:t xml:space="preserve"> </w:t>
      </w:r>
      <w:r w:rsidR="00C8631C">
        <w:t>benchmark with EE/PDR savings generated in the same year.</w:t>
      </w:r>
      <w:r w:rsidR="000D4FFC">
        <w:rPr>
          <w:rStyle w:val="FootnoteReference"/>
        </w:rPr>
        <w:footnoteReference w:id="5"/>
      </w:r>
      <w:r w:rsidR="00C8631C">
        <w:t xml:space="preserve">  </w:t>
      </w:r>
      <w:r w:rsidR="007E0C9A">
        <w:t xml:space="preserve">Those </w:t>
      </w:r>
      <w:r w:rsidR="003053A6">
        <w:t xml:space="preserve">annual </w:t>
      </w:r>
      <w:r w:rsidR="007E0C9A">
        <w:t>savings (left side of the table</w:t>
      </w:r>
      <w:r w:rsidR="00037698">
        <w:t xml:space="preserve"> below</w:t>
      </w:r>
      <w:r w:rsidR="007E0C9A">
        <w:t xml:space="preserve">) determine the </w:t>
      </w:r>
      <w:r w:rsidR="00020DD5">
        <w:t xml:space="preserve">shared savings percentage </w:t>
      </w:r>
      <w:r w:rsidR="007E0C9A">
        <w:t>(right side of table</w:t>
      </w:r>
      <w:r w:rsidR="00037698">
        <w:t>)</w:t>
      </w:r>
      <w:r w:rsidR="007E0C9A">
        <w:t>.</w:t>
      </w:r>
      <w:r w:rsidR="00037698">
        <w:t xml:space="preserve">  This table to calculate the </w:t>
      </w:r>
      <w:r w:rsidR="00020DD5">
        <w:t xml:space="preserve">shared savings percentage </w:t>
      </w:r>
      <w:r w:rsidR="00C62AC1">
        <w:t>has been</w:t>
      </w:r>
      <w:r w:rsidR="00037698">
        <w:t xml:space="preserve"> utilized by all the EDUs</w:t>
      </w:r>
      <w:r w:rsidR="00C62AC1">
        <w:t>, with a few minor differences</w:t>
      </w:r>
      <w:r w:rsidR="00037698">
        <w:t>.</w:t>
      </w:r>
      <w:r w:rsidR="007E0C9A">
        <w:rPr>
          <w:rStyle w:val="FootnoteReference"/>
        </w:rPr>
        <w:footnoteReference w:id="6"/>
      </w:r>
    </w:p>
    <w:p w14:paraId="5337385E" w14:textId="77777777" w:rsidR="00C8631C" w:rsidRDefault="00C8631C" w:rsidP="002A5E99">
      <w:pPr>
        <w:ind w:firstLine="720"/>
      </w:pPr>
      <w:r>
        <w:rPr>
          <w:noProof/>
        </w:rPr>
        <w:lastRenderedPageBreak/>
        <w:drawing>
          <wp:inline distT="0" distB="0" distL="0" distR="0" wp14:anchorId="5A95B56B" wp14:editId="3C5DA2F6">
            <wp:extent cx="4811186" cy="19424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0042" cy="1946040"/>
                    </a:xfrm>
                    <a:prstGeom prst="rect">
                      <a:avLst/>
                    </a:prstGeom>
                  </pic:spPr>
                </pic:pic>
              </a:graphicData>
            </a:graphic>
          </wp:inline>
        </w:drawing>
      </w:r>
    </w:p>
    <w:p w14:paraId="087A4F09" w14:textId="7DC3D37C" w:rsidR="00CF3D93" w:rsidRPr="00CF3D93" w:rsidRDefault="002214D7" w:rsidP="00210E19">
      <w:pPr>
        <w:pStyle w:val="RegularParagraph"/>
      </w:pPr>
      <w:r>
        <w:t xml:space="preserve">Not all savings qualify for inclusion in the shared savings calculation.  </w:t>
      </w:r>
      <w:r w:rsidR="000E694A">
        <w:t>S</w:t>
      </w:r>
      <w:r w:rsidR="00CF3D93">
        <w:t xml:space="preserve">ome savings </w:t>
      </w:r>
      <w:r w:rsidR="000E694A">
        <w:t>(</w:t>
      </w:r>
      <w:r w:rsidR="000E694A">
        <w:rPr>
          <w:i/>
        </w:rPr>
        <w:t>i.e.</w:t>
      </w:r>
      <w:r>
        <w:rPr>
          <w:i/>
        </w:rPr>
        <w:t>,</w:t>
      </w:r>
      <w:r w:rsidR="000E694A">
        <w:t xml:space="preserve"> transmission and distribution infrastructure projects that reduce line losses and savings generated from programs funded by the Universal Service Fund Riders) are prohibited by statute from counting towards shared savings.</w:t>
      </w:r>
      <w:r w:rsidR="000E694A">
        <w:rPr>
          <w:rStyle w:val="FootnoteReference"/>
        </w:rPr>
        <w:footnoteReference w:id="7"/>
      </w:r>
      <w:r w:rsidR="000E694A">
        <w:t xml:space="preserve">  The Commission also exclude</w:t>
      </w:r>
      <w:r>
        <w:t>s</w:t>
      </w:r>
      <w:r w:rsidR="000E694A">
        <w:t xml:space="preserve"> savings from mercantile self-direct projects and community action projects from being eligible towards counting</w:t>
      </w:r>
      <w:r w:rsidR="006B6CCB">
        <w:t xml:space="preserve"> for shared savings</w:t>
      </w:r>
      <w:r w:rsidR="000E694A">
        <w:t>.</w:t>
      </w:r>
      <w:r w:rsidR="000E694A">
        <w:rPr>
          <w:rStyle w:val="FootnoteReference"/>
        </w:rPr>
        <w:footnoteReference w:id="8"/>
      </w:r>
      <w:r w:rsidR="000E694A">
        <w:t xml:space="preserve">  </w:t>
      </w:r>
    </w:p>
    <w:p w14:paraId="5736BA6D" w14:textId="645FE446" w:rsidR="0011221C" w:rsidRDefault="007E0C9A" w:rsidP="00210E19">
      <w:pPr>
        <w:pStyle w:val="RegularParagraph"/>
      </w:pPr>
      <w:r>
        <w:lastRenderedPageBreak/>
        <w:t xml:space="preserve">The second step in the calculation is a determination of the </w:t>
      </w:r>
      <w:r w:rsidR="00AB7ABB">
        <w:t xml:space="preserve">annual </w:t>
      </w:r>
      <w:r w:rsidR="00B50B26">
        <w:t>n</w:t>
      </w:r>
      <w:r>
        <w:t xml:space="preserve">et </w:t>
      </w:r>
      <w:r w:rsidR="00B50B26">
        <w:t>b</w:t>
      </w:r>
      <w:r>
        <w:t>enefits generated by the portfolio programs impl</w:t>
      </w:r>
      <w:r w:rsidR="00AB7ABB">
        <w:t>emen</w:t>
      </w:r>
      <w:r>
        <w:t xml:space="preserve">ted that same year.  Net </w:t>
      </w:r>
      <w:r w:rsidR="00B50B26">
        <w:t>b</w:t>
      </w:r>
      <w:r>
        <w:t>enefits</w:t>
      </w:r>
      <w:r w:rsidR="00037698">
        <w:t>, for purposes of shared savings,</w:t>
      </w:r>
      <w:r>
        <w:t xml:space="preserve"> are determined using the Utility Cost Test</w:t>
      </w:r>
      <w:r w:rsidR="00D24AF4">
        <w:t xml:space="preserve"> (“UCT”)</w:t>
      </w:r>
      <w:r w:rsidR="00037698">
        <w:t>.</w:t>
      </w:r>
      <w:r w:rsidR="00887241">
        <w:rPr>
          <w:rStyle w:val="FootnoteReference"/>
        </w:rPr>
        <w:footnoteReference w:id="9"/>
      </w:r>
      <w:r w:rsidR="00037698">
        <w:t xml:space="preserve">  </w:t>
      </w:r>
      <w:r w:rsidR="0029329F">
        <w:t xml:space="preserve">The </w:t>
      </w:r>
      <w:r w:rsidR="00B50B26">
        <w:t>n</w:t>
      </w:r>
      <w:r w:rsidR="0029329F">
        <w:t xml:space="preserve">et </w:t>
      </w:r>
      <w:r w:rsidR="00B50B26">
        <w:t>b</w:t>
      </w:r>
      <w:r w:rsidR="0029329F">
        <w:t>enefits are calculated based on all eligible programs implemented that year</w:t>
      </w:r>
      <w:r w:rsidR="000505FD">
        <w:t xml:space="preserve"> (</w:t>
      </w:r>
      <w:r w:rsidR="00B50B26">
        <w:t xml:space="preserve">subject to some </w:t>
      </w:r>
      <w:r w:rsidR="000505FD">
        <w:t>exclusions)</w:t>
      </w:r>
      <w:r w:rsidR="0029329F">
        <w:t>.</w:t>
      </w:r>
      <w:r w:rsidR="0026532E">
        <w:rPr>
          <w:rStyle w:val="FootnoteReference"/>
        </w:rPr>
        <w:footnoteReference w:id="10"/>
      </w:r>
      <w:r w:rsidR="0029329F">
        <w:t xml:space="preserve">  </w:t>
      </w:r>
      <w:r w:rsidR="00D24AF4">
        <w:t xml:space="preserve">The </w:t>
      </w:r>
      <w:r w:rsidR="00B50B26">
        <w:t>n</w:t>
      </w:r>
      <w:r w:rsidR="00D24AF4">
        <w:t xml:space="preserve">et </w:t>
      </w:r>
      <w:r w:rsidR="00B50B26">
        <w:t>b</w:t>
      </w:r>
      <w:r w:rsidR="00D24AF4">
        <w:t>enefits, or gross shared savings, are stated in terms of dollars.</w:t>
      </w:r>
    </w:p>
    <w:p w14:paraId="699ABD3D" w14:textId="3B1D9CDE" w:rsidR="00D24AF4" w:rsidRDefault="00D24AF4" w:rsidP="00210E19">
      <w:pPr>
        <w:pStyle w:val="RegularParagraph"/>
      </w:pPr>
      <w:r>
        <w:t>The product of the</w:t>
      </w:r>
      <w:r w:rsidR="00037698">
        <w:t xml:space="preserve"> annual</w:t>
      </w:r>
      <w:r>
        <w:t xml:space="preserve"> </w:t>
      </w:r>
      <w:r w:rsidR="00B50B26">
        <w:t>s</w:t>
      </w:r>
      <w:r>
        <w:t xml:space="preserve">hared </w:t>
      </w:r>
      <w:r w:rsidR="00B50B26">
        <w:t>s</w:t>
      </w:r>
      <w:r>
        <w:t xml:space="preserve">avings </w:t>
      </w:r>
      <w:r w:rsidR="00B50B26">
        <w:t>p</w:t>
      </w:r>
      <w:r>
        <w:t xml:space="preserve">ercentage </w:t>
      </w:r>
      <w:r w:rsidR="00EA0232">
        <w:t>and</w:t>
      </w:r>
      <w:r>
        <w:t xml:space="preserve"> the annual </w:t>
      </w:r>
      <w:r w:rsidR="00B50B26">
        <w:t>n</w:t>
      </w:r>
      <w:r>
        <w:t xml:space="preserve">et </w:t>
      </w:r>
      <w:r w:rsidR="00B50B26">
        <w:t>b</w:t>
      </w:r>
      <w:r>
        <w:t xml:space="preserve">enefits determines the </w:t>
      </w:r>
      <w:r w:rsidR="000505FD">
        <w:t xml:space="preserve">total dollar </w:t>
      </w:r>
      <w:r>
        <w:t xml:space="preserve">amount of shared savings.  </w:t>
      </w:r>
      <w:r w:rsidR="00020DD5">
        <w:t>T</w:t>
      </w:r>
      <w:r w:rsidR="00F14F77">
        <w:t>he product is then grossed up for taxes and charged to customers through a nonbypassable rider.</w:t>
      </w:r>
    </w:p>
    <w:p w14:paraId="1ADF90A9" w14:textId="595AEE5F" w:rsidR="00F14F77" w:rsidRDefault="00F14F77" w:rsidP="00210E19">
      <w:pPr>
        <w:pStyle w:val="RegularParagraph"/>
      </w:pPr>
      <w:r>
        <w:t xml:space="preserve">The Commission has already considered and rejected a proposal </w:t>
      </w:r>
      <w:r w:rsidR="008E6799">
        <w:t xml:space="preserve">by Duke </w:t>
      </w:r>
      <w:r w:rsidR="00E91281">
        <w:t>Energy Ohio</w:t>
      </w:r>
      <w:r w:rsidR="00F679FD">
        <w:t>, Inc.</w:t>
      </w:r>
      <w:r w:rsidR="00E91281">
        <w:t xml:space="preserve"> (“Duke”) </w:t>
      </w:r>
      <w:r>
        <w:t xml:space="preserve">to allow banked savings to be relied upon for purposes of calculating the </w:t>
      </w:r>
      <w:r w:rsidR="00FF0C89">
        <w:t>s</w:t>
      </w:r>
      <w:r>
        <w:t xml:space="preserve">hared </w:t>
      </w:r>
      <w:r w:rsidR="00FF0C89">
        <w:t>s</w:t>
      </w:r>
      <w:r>
        <w:t xml:space="preserve">avings </w:t>
      </w:r>
      <w:r w:rsidR="00FF0C89">
        <w:t>p</w:t>
      </w:r>
      <w:r>
        <w:t>ercentage.</w:t>
      </w:r>
      <w:r>
        <w:rPr>
          <w:rStyle w:val="FootnoteReference"/>
        </w:rPr>
        <w:footnoteReference w:id="11"/>
      </w:r>
      <w:r>
        <w:t xml:space="preserve">  </w:t>
      </w:r>
      <w:r w:rsidR="006E30F6">
        <w:t xml:space="preserve">In </w:t>
      </w:r>
      <w:r w:rsidR="00FC475C">
        <w:t xml:space="preserve">an </w:t>
      </w:r>
      <w:r w:rsidR="006E30F6">
        <w:t>application filed in 2014</w:t>
      </w:r>
      <w:r>
        <w:t xml:space="preserve">, Duke argued that it should be permitted to rely on banked savings to calculate its </w:t>
      </w:r>
      <w:r w:rsidR="00FF0C89">
        <w:t>s</w:t>
      </w:r>
      <w:r>
        <w:t xml:space="preserve">hared </w:t>
      </w:r>
      <w:r w:rsidR="00FF0C89">
        <w:t>s</w:t>
      </w:r>
      <w:r>
        <w:t xml:space="preserve">avings </w:t>
      </w:r>
      <w:r w:rsidR="00FF0C89">
        <w:t>p</w:t>
      </w:r>
      <w:r>
        <w:t>ercentage.</w:t>
      </w:r>
      <w:r>
        <w:rPr>
          <w:rStyle w:val="FootnoteReference"/>
        </w:rPr>
        <w:footnoteReference w:id="12"/>
      </w:r>
      <w:r>
        <w:t xml:space="preserve">  If Duke had generated annual savings less than the annual benchmark, </w:t>
      </w:r>
      <w:r>
        <w:lastRenderedPageBreak/>
        <w:t xml:space="preserve">Duke </w:t>
      </w:r>
      <w:r w:rsidR="00E91281">
        <w:t xml:space="preserve">argued that it should be permitted to </w:t>
      </w:r>
      <w:r>
        <w:t xml:space="preserve">rely on the banked savings to move its </w:t>
      </w:r>
      <w:r w:rsidR="00FF0C89">
        <w:t>s</w:t>
      </w:r>
      <w:r>
        <w:t xml:space="preserve">hared </w:t>
      </w:r>
      <w:r w:rsidR="00FF0C89">
        <w:t>s</w:t>
      </w:r>
      <w:r>
        <w:t xml:space="preserve">avings </w:t>
      </w:r>
      <w:r w:rsidR="00FF0C89">
        <w:t>p</w:t>
      </w:r>
      <w:r>
        <w:t xml:space="preserve">ercentage from zero up to the maximum </w:t>
      </w:r>
      <w:r w:rsidR="00FF0C89">
        <w:t>s</w:t>
      </w:r>
      <w:r>
        <w:t xml:space="preserve">hared </w:t>
      </w:r>
      <w:r w:rsidR="00FF0C89">
        <w:t>s</w:t>
      </w:r>
      <w:r>
        <w:t xml:space="preserve">avings </w:t>
      </w:r>
      <w:r w:rsidR="00FF0C89">
        <w:t>p</w:t>
      </w:r>
      <w:r>
        <w:t>ercentage depending on the level of banked savings Duke wanted to count in a given year.</w:t>
      </w:r>
      <w:r>
        <w:rPr>
          <w:rStyle w:val="FootnoteReference"/>
        </w:rPr>
        <w:footnoteReference w:id="13"/>
      </w:r>
      <w:r w:rsidR="006E30F6">
        <w:t xml:space="preserve">  </w:t>
      </w:r>
      <w:r>
        <w:t>The Commission determined that Duke’s proposal was “improper.”</w:t>
      </w:r>
      <w:r>
        <w:rPr>
          <w:rStyle w:val="FootnoteReference"/>
        </w:rPr>
        <w:footnoteReference w:id="14"/>
      </w:r>
      <w:r>
        <w:t xml:space="preserve">  In reaching this determination</w:t>
      </w:r>
      <w:r w:rsidR="006E30F6">
        <w:t>,</w:t>
      </w:r>
      <w:r>
        <w:t xml:space="preserve"> the Commission found that </w:t>
      </w:r>
      <w:r w:rsidR="006E30F6">
        <w:t>its policy to use shared savings as an incentive would be violated if Duke were permitted to secure shared savings based on the application of banked savings</w:t>
      </w:r>
      <w:r>
        <w:t>:</w:t>
      </w:r>
    </w:p>
    <w:p w14:paraId="0DBD5C45" w14:textId="79AF9446" w:rsidR="00F14F77" w:rsidRPr="001922FC" w:rsidRDefault="00FC475C" w:rsidP="00F14F77">
      <w:pPr>
        <w:spacing w:line="240" w:lineRule="auto"/>
        <w:ind w:left="720" w:right="720"/>
      </w:pPr>
      <w:r>
        <w:t>[</w:t>
      </w:r>
      <w:r w:rsidR="00F14F77">
        <w:t>T</w:t>
      </w:r>
      <w:r>
        <w:t>]</w:t>
      </w:r>
      <w:r w:rsidR="00F14F77">
        <w:t>he tiered incentive structure is designed to motivate and reward the utility for exceeding energy efficiency standards on an annual basis.  As the mandated benchmark rises every year, Duke must continue to find ways to encourage energy efficiency.  If it has a large bank of accrued savings to rely on, the motivation to push energy efficiency programs in following years diminishes.</w:t>
      </w:r>
      <w:r w:rsidR="00F14F77">
        <w:rPr>
          <w:rStyle w:val="FootnoteReference"/>
        </w:rPr>
        <w:footnoteReference w:id="15"/>
      </w:r>
      <w:r w:rsidR="00F14F77">
        <w:t xml:space="preserve">  </w:t>
      </w:r>
    </w:p>
    <w:p w14:paraId="17CF2D18" w14:textId="143BCA97" w:rsidR="00F14F77" w:rsidRDefault="00F14F77" w:rsidP="00210E19">
      <w:pPr>
        <w:pStyle w:val="RegularParagraph"/>
        <w:ind w:firstLine="0"/>
      </w:pPr>
      <w:r>
        <w:t>For shared savings to “serve as a true incentive,” the Commission concluded that “banked saving cannot be used to determine the annual shared savings achievement level.”</w:t>
      </w:r>
      <w:r>
        <w:rPr>
          <w:rStyle w:val="FootnoteReference"/>
        </w:rPr>
        <w:footnoteReference w:id="16"/>
      </w:r>
      <w:r>
        <w:t xml:space="preserve">  </w:t>
      </w:r>
    </w:p>
    <w:p w14:paraId="2C27F308" w14:textId="1453B496" w:rsidR="00D518B8" w:rsidRDefault="00631DF2" w:rsidP="00210E19">
      <w:pPr>
        <w:pStyle w:val="RegularParagraph"/>
      </w:pPr>
      <w:r>
        <w:t>B</w:t>
      </w:r>
      <w:r w:rsidR="006E30F6">
        <w:t xml:space="preserve">ecause the Commission has sought to use shared savings as an incentive, </w:t>
      </w:r>
      <w:r>
        <w:t>it has</w:t>
      </w:r>
      <w:r w:rsidR="00D518B8">
        <w:t xml:space="preserve"> not </w:t>
      </w:r>
      <w:r>
        <w:t xml:space="preserve">authorized the use of banked savings to </w:t>
      </w:r>
      <w:r w:rsidR="00D518B8">
        <w:t xml:space="preserve">“trigger” the shared savings calculation.  </w:t>
      </w:r>
      <w:r>
        <w:t>In fact, t</w:t>
      </w:r>
      <w:r w:rsidR="00D518B8">
        <w:t xml:space="preserve">he phrase “triggering shared savings” does not appear in </w:t>
      </w:r>
      <w:r>
        <w:t xml:space="preserve">prior </w:t>
      </w:r>
      <w:r w:rsidR="00D518B8">
        <w:t xml:space="preserve">Commission rules or orders.  </w:t>
      </w:r>
      <w:r>
        <w:t xml:space="preserve">Under the sound policy outlined in the </w:t>
      </w:r>
      <w:r w:rsidRPr="00210E19">
        <w:rPr>
          <w:i/>
        </w:rPr>
        <w:t>Duke</w:t>
      </w:r>
      <w:r>
        <w:t xml:space="preserve"> decision, the Commission has required a</w:t>
      </w:r>
      <w:r w:rsidR="00D518B8">
        <w:t>n EDU</w:t>
      </w:r>
      <w:r>
        <w:t xml:space="preserve"> to demonstrate that it</w:t>
      </w:r>
      <w:r w:rsidR="00D518B8">
        <w:t xml:space="preserve"> generates enough annual savings to meet and exceed the annual benchmark</w:t>
      </w:r>
      <w:r>
        <w:t xml:space="preserve"> before it is authorized to recover shared savings</w:t>
      </w:r>
      <w:r w:rsidR="00D518B8">
        <w:t xml:space="preserve">.  </w:t>
      </w:r>
    </w:p>
    <w:p w14:paraId="3A96139F" w14:textId="14C359F9" w:rsidR="00C62AC1" w:rsidRPr="00FC475C" w:rsidRDefault="00C62AC1" w:rsidP="00210E19">
      <w:pPr>
        <w:pStyle w:val="Heading1"/>
        <w:rPr>
          <w:rFonts w:cs="Arial"/>
        </w:rPr>
      </w:pPr>
      <w:bookmarkStart w:id="4" w:name="_Toc8372500"/>
      <w:r w:rsidRPr="00FC475C">
        <w:rPr>
          <w:rFonts w:cs="Arial"/>
        </w:rPr>
        <w:lastRenderedPageBreak/>
        <w:t xml:space="preserve">Allowing banked savings to count </w:t>
      </w:r>
      <w:r w:rsidR="00631DF2" w:rsidRPr="00FC475C">
        <w:rPr>
          <w:rFonts w:cs="Arial"/>
        </w:rPr>
        <w:t>toward</w:t>
      </w:r>
      <w:r w:rsidRPr="00FC475C">
        <w:rPr>
          <w:rFonts w:cs="Arial"/>
        </w:rPr>
        <w:t xml:space="preserve"> the shared savings calculation is a deviation from Commission precedent </w:t>
      </w:r>
      <w:r w:rsidR="00FF0C89">
        <w:rPr>
          <w:rFonts w:cs="Arial"/>
        </w:rPr>
        <w:t>that</w:t>
      </w:r>
      <w:r w:rsidR="00FF0C89" w:rsidRPr="00FC475C">
        <w:rPr>
          <w:rFonts w:cs="Arial"/>
        </w:rPr>
        <w:t xml:space="preserve"> </w:t>
      </w:r>
      <w:r w:rsidRPr="00FC475C">
        <w:rPr>
          <w:rFonts w:cs="Arial"/>
        </w:rPr>
        <w:t>lacks a substantively lawful and reasonable explanation</w:t>
      </w:r>
      <w:bookmarkEnd w:id="4"/>
      <w:r w:rsidRPr="00FC475C">
        <w:rPr>
          <w:rFonts w:cs="Arial"/>
        </w:rPr>
        <w:t xml:space="preserve"> </w:t>
      </w:r>
    </w:p>
    <w:p w14:paraId="6C69692F" w14:textId="65EE8201" w:rsidR="00C62AC1" w:rsidRDefault="00416FA5" w:rsidP="00210E19">
      <w:pPr>
        <w:pStyle w:val="RegularParagraph"/>
      </w:pPr>
      <w:r>
        <w:t xml:space="preserve">The Commission must “respect its own precedents in its decisions to assure the predictability which is essential in all areas of </w:t>
      </w:r>
      <w:r w:rsidR="00FC475C">
        <w:t xml:space="preserve">the </w:t>
      </w:r>
      <w:r>
        <w:t>law, including administrative law.”</w:t>
      </w:r>
      <w:r>
        <w:rPr>
          <w:rStyle w:val="FootnoteReference"/>
        </w:rPr>
        <w:footnoteReference w:id="17"/>
      </w:r>
      <w:r>
        <w:t xml:space="preserve">  If the Commission decides to “revisit a particular decision </w:t>
      </w:r>
      <w:r w:rsidR="00FC475C">
        <w:t>…</w:t>
      </w:r>
      <w:r>
        <w:t xml:space="preserve"> [and] change course, it must explain why” and “[t]he new course also must be substantively </w:t>
      </w:r>
      <w:r w:rsidR="00FC475C">
        <w:t xml:space="preserve">reasonable and </w:t>
      </w:r>
      <w:r>
        <w:t>lawful.”</w:t>
      </w:r>
      <w:r>
        <w:rPr>
          <w:rStyle w:val="FootnoteReference"/>
        </w:rPr>
        <w:footnoteReference w:id="18"/>
      </w:r>
      <w:r>
        <w:t xml:space="preserve">  </w:t>
      </w:r>
      <w:r w:rsidR="00F96CAC">
        <w:t>B</w:t>
      </w:r>
      <w:r w:rsidR="00F35A2C">
        <w:t xml:space="preserve">ecause </w:t>
      </w:r>
      <w:r>
        <w:t xml:space="preserve">the Second Entry on Rehearing allows banked savings to count in </w:t>
      </w:r>
      <w:r w:rsidR="00F96CAC">
        <w:t>some manner toward the calculation</w:t>
      </w:r>
      <w:r>
        <w:t xml:space="preserve"> </w:t>
      </w:r>
      <w:r w:rsidR="00FC475C">
        <w:t xml:space="preserve">of </w:t>
      </w:r>
      <w:r>
        <w:t>the shared savings</w:t>
      </w:r>
      <w:r w:rsidR="00F96CAC">
        <w:t xml:space="preserve"> and the Commission has not explained a reasonable basis for this change of course, </w:t>
      </w:r>
      <w:r>
        <w:t xml:space="preserve">the Commission </w:t>
      </w:r>
      <w:r w:rsidR="00F96CAC">
        <w:t>erred.</w:t>
      </w:r>
    </w:p>
    <w:p w14:paraId="28E95077" w14:textId="09FE4705" w:rsidR="0026632F" w:rsidRDefault="00F96CAC" w:rsidP="00210E19">
      <w:pPr>
        <w:pStyle w:val="RegularParagraph"/>
      </w:pPr>
      <w:r>
        <w:t>In the Second Entry on Rehearing, t</w:t>
      </w:r>
      <w:r w:rsidR="00416FA5">
        <w:t>he Commission</w:t>
      </w:r>
      <w:r w:rsidR="0026632F">
        <w:t xml:space="preserve"> addressed banked savings “triggering” shared savings in several </w:t>
      </w:r>
      <w:r w:rsidR="00E91281">
        <w:t>paragraphs</w:t>
      </w:r>
      <w:r w:rsidR="0026632F">
        <w:t>, none of which provide</w:t>
      </w:r>
      <w:r>
        <w:t>s</w:t>
      </w:r>
      <w:r w:rsidR="0026632F">
        <w:t xml:space="preserve"> </w:t>
      </w:r>
      <w:r>
        <w:t xml:space="preserve">a </w:t>
      </w:r>
      <w:r w:rsidR="0026632F">
        <w:t xml:space="preserve">rationale for the </w:t>
      </w:r>
      <w:r w:rsidR="00CB4FA7">
        <w:t>potential deviation from precedent</w:t>
      </w:r>
      <w:r w:rsidR="0026632F">
        <w:t xml:space="preserve">.  </w:t>
      </w:r>
      <w:r>
        <w:t xml:space="preserve">In </w:t>
      </w:r>
      <w:r w:rsidR="006D67AF">
        <w:t xml:space="preserve">the first, a </w:t>
      </w:r>
      <w:r>
        <w:t>response to an assignment of error in which environmental groups challenged the Commission’s decision to adopt what appears to be the exclusion of banked savings from the shared savings calculation</w:t>
      </w:r>
      <w:r w:rsidR="008D19BF">
        <w:t xml:space="preserve">, </w:t>
      </w:r>
      <w:r w:rsidR="0026632F">
        <w:t xml:space="preserve">the Commission states:  </w:t>
      </w:r>
    </w:p>
    <w:p w14:paraId="781FC20B" w14:textId="63F3CC4F" w:rsidR="00416FA5" w:rsidRDefault="0026632F" w:rsidP="0026632F">
      <w:pPr>
        <w:spacing w:line="240" w:lineRule="auto"/>
        <w:ind w:left="720" w:right="720"/>
      </w:pPr>
      <w:r>
        <w:t xml:space="preserve">The Commission denies rehearing on this assignment of error because the definition of "shared savings" does not specifically exclude the option of triggering shared savings through previously banked savings. </w:t>
      </w:r>
      <w:r w:rsidR="008D19BF">
        <w:t xml:space="preserve"> </w:t>
      </w:r>
      <w:r>
        <w:t>Furthermore, as explained in Paragraphs 43-44, the Commission clarifies its position on whether banked savings can trigger shared savings.</w:t>
      </w:r>
      <w:r w:rsidR="008D19BF">
        <w:rPr>
          <w:rStyle w:val="FootnoteReference"/>
        </w:rPr>
        <w:footnoteReference w:id="19"/>
      </w:r>
    </w:p>
    <w:p w14:paraId="1E222A29" w14:textId="7AF73872" w:rsidR="008D19BF" w:rsidRDefault="008D19BF" w:rsidP="00210E19">
      <w:pPr>
        <w:pStyle w:val="RegularParagraph"/>
        <w:ind w:firstLine="0"/>
      </w:pPr>
      <w:r>
        <w:lastRenderedPageBreak/>
        <w:t xml:space="preserve">The Commission offers no explanation in that denial as to why it is clarifying its position on the use of banked savings other than to point to </w:t>
      </w:r>
      <w:r w:rsidR="00FC475C">
        <w:t>p</w:t>
      </w:r>
      <w:r>
        <w:t>aragraphs 43 and 44 of the Entry.</w:t>
      </w:r>
    </w:p>
    <w:p w14:paraId="1F4E6DAD" w14:textId="589697A3" w:rsidR="0026632F" w:rsidRDefault="008D19BF" w:rsidP="00210E19">
      <w:pPr>
        <w:pStyle w:val="RegularParagraph"/>
      </w:pPr>
      <w:r>
        <w:t xml:space="preserve">The Commission does not offer any further explanation for the change in course in paragraph 43 or 44.  </w:t>
      </w:r>
      <w:r w:rsidR="0026632F">
        <w:t>In paragraph 43</w:t>
      </w:r>
      <w:r w:rsidR="00FC475C">
        <w:t>,</w:t>
      </w:r>
      <w:r w:rsidR="0026632F">
        <w:t xml:space="preserve"> the Commission states:</w:t>
      </w:r>
    </w:p>
    <w:p w14:paraId="5FD63DA3" w14:textId="35A05CAC" w:rsidR="0026632F" w:rsidRDefault="0026632F" w:rsidP="002D58D3">
      <w:pPr>
        <w:spacing w:line="240" w:lineRule="auto"/>
        <w:ind w:left="720" w:right="720"/>
      </w:pPr>
      <w:r>
        <w:t>Based on AEP Ohio/DP&amp;L and Duke's assignments of error, and in part, the Conservation Groups' assignment of error, we have amended proposed Ohio Adm.Code 4901:1-39-05(A)(l)(C) to allow banked savings to trigger shared savings. We have also clarified in the definition of shared savings in Ohio Adm.Code 4901:1-39-01(Y) that banked savings may not be used to calculate shared savings. We recognize that the EDUs have made an effort to bank savings when compliance costs were low. We also recognize that it is a benefit to customers for utilities to rely on banked savings as customers have already paid for those savings. Furthermore, as noted by the Conservation Groups, relying on banked savings allows EDUs to control costs when statutory benchmarks will increase in the future, pursuant to R.C. 4928.66(A)(1)(a). Consequently, the Commission grants rehearing on the assignments of error posed by AEP Ohio/DP&amp;L and Duke, and in part,</w:t>
      </w:r>
      <w:r w:rsidR="00E30497">
        <w:t xml:space="preserve"> </w:t>
      </w:r>
      <w:r>
        <w:t>the Conservation Groups.</w:t>
      </w:r>
    </w:p>
    <w:p w14:paraId="485C3EF7" w14:textId="568784E9" w:rsidR="008D19BF" w:rsidRDefault="008D19BF" w:rsidP="008D19BF">
      <w:pPr>
        <w:ind w:right="720"/>
      </w:pPr>
      <w:r>
        <w:t>Paragraph 44 states:</w:t>
      </w:r>
    </w:p>
    <w:p w14:paraId="2802D243" w14:textId="793D5F01" w:rsidR="008D19BF" w:rsidRDefault="008D19BF" w:rsidP="00D02120">
      <w:pPr>
        <w:spacing w:line="240" w:lineRule="auto"/>
        <w:ind w:left="720" w:right="720"/>
      </w:pPr>
      <w:r>
        <w:t>To the exten</w:t>
      </w:r>
      <w:r w:rsidR="00F21FE3">
        <w:t>t</w:t>
      </w:r>
      <w:r>
        <w:t xml:space="preserve"> tha</w:t>
      </w:r>
      <w:r w:rsidR="00F21FE3">
        <w:t>t</w:t>
      </w:r>
      <w:r>
        <w:t xml:space="preserve"> the Conservation Groups request us to clarify that any shared shavings mechanism must rely only </w:t>
      </w:r>
      <w:r w:rsidR="00FC475C">
        <w:t xml:space="preserve">on </w:t>
      </w:r>
      <w:r>
        <w:t>verified, real-world savings resulting from a utility’s energy efficiency programs, the Commission declines to grant rehearing on this assignment of error.  U</w:t>
      </w:r>
      <w:r w:rsidR="00F21FE3">
        <w:t>tilities may utilize any statutorily approved energy savings in reach</w:t>
      </w:r>
      <w:r w:rsidR="00FC475C">
        <w:t>ing</w:t>
      </w:r>
      <w:r w:rsidR="00F21FE3">
        <w:t xml:space="preserve"> their EE/PDR benchmark, thereby triggering shared savings.</w:t>
      </w:r>
    </w:p>
    <w:p w14:paraId="1046C152" w14:textId="77777777" w:rsidR="002D58D3" w:rsidRDefault="002D58D3" w:rsidP="002D58D3">
      <w:pPr>
        <w:pStyle w:val="RegularParagraph"/>
        <w:spacing w:after="0" w:line="240" w:lineRule="auto"/>
      </w:pPr>
    </w:p>
    <w:p w14:paraId="65625FBD" w14:textId="36F5D706" w:rsidR="0026632F" w:rsidRDefault="00E11E6B" w:rsidP="00210E19">
      <w:pPr>
        <w:pStyle w:val="RegularParagraph"/>
      </w:pPr>
      <w:r>
        <w:t xml:space="preserve">In sum, </w:t>
      </w:r>
      <w:r w:rsidR="00FC475C">
        <w:t>p</w:t>
      </w:r>
      <w:r w:rsidR="00F21FE3">
        <w:t xml:space="preserve">aragraph 43 explains why the Commission permits the use of banked savings </w:t>
      </w:r>
      <w:r>
        <w:t>toward meeting</w:t>
      </w:r>
      <w:r w:rsidR="00F21FE3">
        <w:t xml:space="preserve"> benchmarks as a means of reducing program costs</w:t>
      </w:r>
      <w:r>
        <w:t>.  It further lays out, consistent with current practice,</w:t>
      </w:r>
      <w:r w:rsidR="00F21FE3">
        <w:t xml:space="preserve"> that banked savings are excluded from the shared savings calculation</w:t>
      </w:r>
      <w:r>
        <w:t xml:space="preserve">.  Paragraph 44 then states that banked savings can trigger shared savings.  While </w:t>
      </w:r>
      <w:r w:rsidR="006D67AF">
        <w:t>p</w:t>
      </w:r>
      <w:r>
        <w:t xml:space="preserve">aragraph 44 seems to be fully at odds with </w:t>
      </w:r>
      <w:r w:rsidR="00FC475C">
        <w:t>p</w:t>
      </w:r>
      <w:r>
        <w:t>aragraph 43, n</w:t>
      </w:r>
      <w:r w:rsidR="00C67078">
        <w:t>either paragraph</w:t>
      </w:r>
      <w:r w:rsidR="00F21FE3">
        <w:t xml:space="preserve"> </w:t>
      </w:r>
      <w:r w:rsidR="00C67078">
        <w:t xml:space="preserve">provides any rationale for allowing banked savings to </w:t>
      </w:r>
      <w:r w:rsidR="00F21FE3">
        <w:t xml:space="preserve">“trigger” </w:t>
      </w:r>
      <w:r w:rsidR="00C67078">
        <w:t xml:space="preserve">shared savings </w:t>
      </w:r>
      <w:r w:rsidR="009D6FED">
        <w:t>(and fundamentally, the decision lacks any definition of what is even meant by triggering)</w:t>
      </w:r>
      <w:r w:rsidR="00C67078">
        <w:t xml:space="preserve">.  </w:t>
      </w:r>
      <w:r w:rsidR="00C67078">
        <w:lastRenderedPageBreak/>
        <w:t xml:space="preserve">On its face, and to the extent “triggering” shared savings is intended to affect either part of the shared savings calculation, the Commission has failed to </w:t>
      </w:r>
      <w:r>
        <w:t>explain this change of course</w:t>
      </w:r>
      <w:r w:rsidR="00C67078">
        <w:t>.</w:t>
      </w:r>
      <w:r w:rsidR="00FD125D">
        <w:t xml:space="preserve">  </w:t>
      </w:r>
      <w:r>
        <w:t>Accordingly, the decision to allow banked savings to “trigger” shared savings is unlawful and unreasonable</w:t>
      </w:r>
      <w:r w:rsidR="00FD125D">
        <w:t xml:space="preserve">.  </w:t>
      </w:r>
    </w:p>
    <w:p w14:paraId="4DED8428" w14:textId="78B579BE" w:rsidR="009C17F0" w:rsidRPr="009C17F0" w:rsidRDefault="009C17F0" w:rsidP="00210E19">
      <w:pPr>
        <w:pStyle w:val="Heading1"/>
      </w:pPr>
      <w:bookmarkStart w:id="5" w:name="_Toc8372501"/>
      <w:r w:rsidRPr="009C17F0">
        <w:t xml:space="preserve">A deviation from </w:t>
      </w:r>
      <w:r w:rsidR="00002FDA">
        <w:t xml:space="preserve">Commission Policy </w:t>
      </w:r>
      <w:r w:rsidRPr="009C17F0">
        <w:t>excluding banked savings from the shared savings calculation is substantively unreasonable</w:t>
      </w:r>
      <w:r w:rsidR="004F0C70">
        <w:t xml:space="preserve"> because it will produce absurd results</w:t>
      </w:r>
      <w:bookmarkEnd w:id="5"/>
    </w:p>
    <w:p w14:paraId="6A6CE313" w14:textId="0A93CCE8" w:rsidR="00B51003" w:rsidRDefault="009C17F0" w:rsidP="00210E19">
      <w:pPr>
        <w:pStyle w:val="RegularParagraph"/>
      </w:pPr>
      <w:r>
        <w:t xml:space="preserve">If </w:t>
      </w:r>
      <w:r w:rsidR="004F0C70">
        <w:t xml:space="preserve">the Commission intended that </w:t>
      </w:r>
      <w:r>
        <w:t>“triggering” shared savings allow</w:t>
      </w:r>
      <w:r w:rsidR="004F0C70">
        <w:t>s an EDU’s</w:t>
      </w:r>
      <w:r>
        <w:t xml:space="preserve"> banked savings to count </w:t>
      </w:r>
      <w:r w:rsidR="00FC475C">
        <w:t xml:space="preserve">towards the net benefits </w:t>
      </w:r>
      <w:r w:rsidR="00CB4FA7">
        <w:t>side</w:t>
      </w:r>
      <w:r>
        <w:t xml:space="preserve"> of the shared savings calculation</w:t>
      </w:r>
      <w:r w:rsidR="004F0C70">
        <w:t>,</w:t>
      </w:r>
      <w:r>
        <w:t xml:space="preserve"> it </w:t>
      </w:r>
      <w:r w:rsidR="004F0C70">
        <w:t xml:space="preserve">will </w:t>
      </w:r>
      <w:r>
        <w:t xml:space="preserve">produce an absurd result.  </w:t>
      </w:r>
      <w:r w:rsidR="004F0C70">
        <w:t xml:space="preserve">In </w:t>
      </w:r>
      <w:r>
        <w:t>2017</w:t>
      </w:r>
      <w:r w:rsidR="004F0C70">
        <w:t xml:space="preserve">, for example, </w:t>
      </w:r>
      <w:r>
        <w:t xml:space="preserve">AEP-Ohio reported annual </w:t>
      </w:r>
      <w:r w:rsidR="003F5B5C">
        <w:t>n</w:t>
      </w:r>
      <w:r>
        <w:t xml:space="preserve">et </w:t>
      </w:r>
      <w:r w:rsidR="003F5B5C">
        <w:t>b</w:t>
      </w:r>
      <w:r>
        <w:t>enefits of $219.7 million from programs implemented in 2017 alone.</w:t>
      </w:r>
      <w:r>
        <w:rPr>
          <w:rStyle w:val="FootnoteReference"/>
        </w:rPr>
        <w:footnoteReference w:id="20"/>
      </w:r>
      <w:r>
        <w:t xml:space="preserve">  At the maximum 13% </w:t>
      </w:r>
      <w:r w:rsidR="003F5B5C">
        <w:t>s</w:t>
      </w:r>
      <w:r>
        <w:t xml:space="preserve">hared </w:t>
      </w:r>
      <w:r w:rsidR="003F5B5C">
        <w:t>s</w:t>
      </w:r>
      <w:r>
        <w:t xml:space="preserve">avings </w:t>
      </w:r>
      <w:r w:rsidR="003F5B5C">
        <w:t>p</w:t>
      </w:r>
      <w:r>
        <w:t xml:space="preserve">ercentage, AEP-Ohio </w:t>
      </w:r>
      <w:r w:rsidR="004F0C70">
        <w:t xml:space="preserve">could have </w:t>
      </w:r>
      <w:r>
        <w:t>collect</w:t>
      </w:r>
      <w:r w:rsidR="004F0C70">
        <w:t>ed</w:t>
      </w:r>
      <w:r>
        <w:t xml:space="preserve"> $28.8 million (which would have been grossed-up and collected from customers but</w:t>
      </w:r>
      <w:r w:rsidR="004F0C70">
        <w:t xml:space="preserve"> </w:t>
      </w:r>
      <w:r>
        <w:t xml:space="preserve">for a $20 million after-tax cap on AEP-Ohio’s shared savings). </w:t>
      </w:r>
    </w:p>
    <w:p w14:paraId="2AFEF307" w14:textId="7F756027" w:rsidR="009C17F0" w:rsidRDefault="006D67AF" w:rsidP="00210E19">
      <w:pPr>
        <w:pStyle w:val="RegularParagraph"/>
      </w:pPr>
      <w:r>
        <w:t xml:space="preserve">While </w:t>
      </w:r>
      <w:r w:rsidR="00B51003">
        <w:t xml:space="preserve"> banked savings</w:t>
      </w:r>
      <w:r>
        <w:t xml:space="preserve"> currently</w:t>
      </w:r>
      <w:r w:rsidR="00B51003">
        <w:t xml:space="preserve"> cannot be counted toward shared savings</w:t>
      </w:r>
      <w:r>
        <w:t>, i</w:t>
      </w:r>
      <w:r w:rsidR="009C17F0">
        <w:t xml:space="preserve">t is no secret that the EDUs have vastly over-complied with the EE/PDR benchmarks and have substantial banked savings </w:t>
      </w:r>
      <w:r>
        <w:t>balances</w:t>
      </w:r>
      <w:r w:rsidR="009C17F0">
        <w:t>.</w:t>
      </w:r>
      <w:r w:rsidR="009C17F0">
        <w:rPr>
          <w:rStyle w:val="FootnoteReference"/>
        </w:rPr>
        <w:footnoteReference w:id="21"/>
      </w:r>
      <w:r w:rsidR="009C17F0">
        <w:t xml:space="preserve">  If “triggering</w:t>
      </w:r>
      <w:r w:rsidR="00B51003">
        <w:t xml:space="preserve"> </w:t>
      </w:r>
      <w:r w:rsidR="009C17F0">
        <w:t>shared savings</w:t>
      </w:r>
      <w:r w:rsidR="00B51003">
        <w:t>”</w:t>
      </w:r>
      <w:r w:rsidR="009C17F0">
        <w:t xml:space="preserve"> </w:t>
      </w:r>
      <w:r w:rsidR="00B51003">
        <w:t xml:space="preserve">means </w:t>
      </w:r>
      <w:r w:rsidR="009C17F0">
        <w:t xml:space="preserve">that banked </w:t>
      </w:r>
      <w:r w:rsidR="009C17F0">
        <w:lastRenderedPageBreak/>
        <w:t xml:space="preserve">savings count in the </w:t>
      </w:r>
      <w:r w:rsidR="00F8055A">
        <w:t>n</w:t>
      </w:r>
      <w:r w:rsidR="009C17F0">
        <w:t xml:space="preserve">et </w:t>
      </w:r>
      <w:r w:rsidR="00F8055A">
        <w:t>b</w:t>
      </w:r>
      <w:r w:rsidR="009C17F0" w:rsidRPr="00CC65E6">
        <w:t>enefits</w:t>
      </w:r>
      <w:r w:rsidR="009C17F0">
        <w:t xml:space="preserve"> portion of the calculation, the amount of </w:t>
      </w:r>
      <w:r w:rsidR="003F5B5C">
        <w:t xml:space="preserve">banked </w:t>
      </w:r>
      <w:r w:rsidR="009C17F0">
        <w:t xml:space="preserve">savings that could be </w:t>
      </w:r>
      <w:r w:rsidR="00B51003">
        <w:t xml:space="preserve">applied toward shared savings and </w:t>
      </w:r>
      <w:r w:rsidR="009C17F0">
        <w:t xml:space="preserve">collected from customers </w:t>
      </w:r>
      <w:r w:rsidR="00D07D7C">
        <w:t xml:space="preserve">in a given year </w:t>
      </w:r>
      <w:r w:rsidR="009C17F0">
        <w:t xml:space="preserve">could be astronomical.  </w:t>
      </w:r>
    </w:p>
    <w:p w14:paraId="3090A4E1" w14:textId="400AD06F" w:rsidR="009C17F0" w:rsidRDefault="00F8055A" w:rsidP="00210E19">
      <w:pPr>
        <w:pStyle w:val="RegularParagraph"/>
      </w:pPr>
      <w:r>
        <w:t>As noted above</w:t>
      </w:r>
      <w:r w:rsidR="00976456">
        <w:t>, the current practice of imposing revenue caps offer</w:t>
      </w:r>
      <w:r>
        <w:t>s</w:t>
      </w:r>
      <w:r w:rsidR="00976456">
        <w:t xml:space="preserve"> some rate protection</w:t>
      </w:r>
      <w:r w:rsidR="003F5B5C">
        <w:t xml:space="preserve"> from this potential absurdity from being realized</w:t>
      </w:r>
      <w:r w:rsidR="00976456">
        <w:t>.</w:t>
      </w:r>
      <w:r w:rsidR="009C17F0">
        <w:rPr>
          <w:rStyle w:val="FootnoteReference"/>
        </w:rPr>
        <w:footnoteReference w:id="22"/>
      </w:r>
      <w:r w:rsidR="009C17F0">
        <w:t xml:space="preserve">  </w:t>
      </w:r>
      <w:r w:rsidR="00976456">
        <w:t>Under the proposed rules, however,</w:t>
      </w:r>
      <w:r w:rsidR="009C17F0">
        <w:t xml:space="preserve"> the Commission appears to be eliminating the ability of parties to negotiate portfolio plans and thereby establish shared savings caps</w:t>
      </w:r>
      <w:r w:rsidR="00976456">
        <w:t>.  As a result,</w:t>
      </w:r>
      <w:r w:rsidR="009C17F0">
        <w:t xml:space="preserve"> uncapped shared savings where banked savings could be counted in the </w:t>
      </w:r>
      <w:r>
        <w:t>n</w:t>
      </w:r>
      <w:r w:rsidR="009C17F0">
        <w:t xml:space="preserve">et </w:t>
      </w:r>
      <w:r>
        <w:t>b</w:t>
      </w:r>
      <w:r w:rsidR="009C17F0">
        <w:t xml:space="preserve">enefits portion of the calculation could easily produce absurd, unjust, and unreasonable results.  </w:t>
      </w:r>
    </w:p>
    <w:p w14:paraId="621D6852" w14:textId="4CDEEF63" w:rsidR="00C62AC1" w:rsidRDefault="009839C1" w:rsidP="00210E19">
      <w:pPr>
        <w:pStyle w:val="Heading1"/>
      </w:pPr>
      <w:bookmarkStart w:id="6" w:name="_Toc8372502"/>
      <w:r>
        <w:t>authorizing the use of</w:t>
      </w:r>
      <w:r w:rsidR="00C62AC1">
        <w:t xml:space="preserve"> banked savings to count in either part of the shared savings calculation could violate R.C. 4928.66(A)(2)(</w:t>
      </w:r>
      <w:r w:rsidR="00F679FD">
        <w:rPr>
          <w:caps w:val="0"/>
        </w:rPr>
        <w:t>d</w:t>
      </w:r>
      <w:r w:rsidR="00C62AC1">
        <w:t>)(</w:t>
      </w:r>
      <w:r w:rsidR="00F679FD">
        <w:rPr>
          <w:caps w:val="0"/>
        </w:rPr>
        <w:t>i</w:t>
      </w:r>
      <w:r w:rsidR="00C62AC1">
        <w:t>)(V)</w:t>
      </w:r>
      <w:bookmarkEnd w:id="6"/>
    </w:p>
    <w:p w14:paraId="0D39083C" w14:textId="1290A771" w:rsidR="00D518B8" w:rsidRPr="00D518B8" w:rsidRDefault="00D518B8" w:rsidP="00210E19">
      <w:pPr>
        <w:pStyle w:val="RegularParagraph"/>
      </w:pPr>
      <w:r>
        <w:t xml:space="preserve">To the extent the Commission intends to allow banked savings to be included in either part of the shared savings calculation, this </w:t>
      </w:r>
      <w:r w:rsidR="009839C1">
        <w:t xml:space="preserve">authorization </w:t>
      </w:r>
      <w:r>
        <w:t xml:space="preserve">could </w:t>
      </w:r>
      <w:r w:rsidR="009839C1">
        <w:t xml:space="preserve">result in a violation of </w:t>
      </w:r>
      <w:bookmarkStart w:id="7" w:name="_Hlk8297286"/>
      <w:r>
        <w:t>R.C. 4928.66(A)(</w:t>
      </w:r>
      <w:r w:rsidR="00F75C2E">
        <w:t>2</w:t>
      </w:r>
      <w:r>
        <w:t>)(d)(i)(V).</w:t>
      </w:r>
      <w:bookmarkEnd w:id="7"/>
      <w:r>
        <w:t xml:space="preserve">  </w:t>
      </w:r>
      <w:r w:rsidR="009839C1">
        <w:t>That provision prohibits the use of savings derived from utility transmission and distribution investments in the calculation of shared savings.  However</w:t>
      </w:r>
      <w:r w:rsidR="00FB0156">
        <w:t xml:space="preserve">, </w:t>
      </w:r>
      <w:r w:rsidR="009839C1">
        <w:t xml:space="preserve">Commission rules do not establish </w:t>
      </w:r>
      <w:r w:rsidR="00FB0156">
        <w:t xml:space="preserve">any tracking of the specific programs that generated the banked savings.  </w:t>
      </w:r>
      <w:r w:rsidR="009839C1">
        <w:t xml:space="preserve">Because these transmission and distribution savings can </w:t>
      </w:r>
      <w:r w:rsidR="009839C1">
        <w:lastRenderedPageBreak/>
        <w:t>be banked but are not tracked</w:t>
      </w:r>
      <w:r w:rsidR="00FB0156">
        <w:t xml:space="preserve">, </w:t>
      </w:r>
      <w:r w:rsidR="00A237E2">
        <w:t xml:space="preserve">banked savings </w:t>
      </w:r>
      <w:r w:rsidR="009839C1">
        <w:t xml:space="preserve">could be included in the calculation of shared savings in violation of </w:t>
      </w:r>
      <w:r w:rsidR="009839C1" w:rsidRPr="00D02120">
        <w:t xml:space="preserve">R.C. 4928.66(A)(2)(d)(i)(V). </w:t>
      </w:r>
      <w:r w:rsidR="009839C1">
        <w:rPr>
          <w:b/>
        </w:rPr>
        <w:t xml:space="preserve"> </w:t>
      </w:r>
    </w:p>
    <w:p w14:paraId="30370053" w14:textId="2421C3A8" w:rsidR="00C62AC1" w:rsidRPr="00E76E45" w:rsidRDefault="00E76E45" w:rsidP="00210E19">
      <w:pPr>
        <w:pStyle w:val="Heading1"/>
      </w:pPr>
      <w:bookmarkStart w:id="8" w:name="_Toc8372503"/>
      <w:r w:rsidRPr="00E76E45">
        <w:t>CONCLUSION</w:t>
      </w:r>
      <w:bookmarkEnd w:id="8"/>
    </w:p>
    <w:p w14:paraId="6B0A7763" w14:textId="41865D9D" w:rsidR="00FB0156" w:rsidRDefault="00FB0156" w:rsidP="00210E19">
      <w:pPr>
        <w:pStyle w:val="RegularParagraph"/>
      </w:pPr>
      <w:r>
        <w:t>The Commission should grant rehearing and clarify that when it said it would “allow banked savings to trigger shared savings</w:t>
      </w:r>
      <w:r w:rsidR="00F75C2E">
        <w:t>,</w:t>
      </w:r>
      <w:r>
        <w:t>” it only meant that banked savings could be used to demonstrate compliance with the annual benchmark.</w:t>
      </w:r>
      <w:r w:rsidR="00E76E45">
        <w:t xml:space="preserve">  </w:t>
      </w:r>
      <w:r w:rsidR="003F5B5C">
        <w:t>In any case,</w:t>
      </w:r>
      <w:r w:rsidR="00F8055A">
        <w:t xml:space="preserve"> the Commission’s </w:t>
      </w:r>
      <w:r w:rsidR="00F4717A">
        <w:t>decision to amend its rules to permit banked savings to “trigger” shared savings is unlawful and unreasonable because it deviates from current policy without explanation</w:t>
      </w:r>
      <w:r w:rsidR="000F740D">
        <w:t xml:space="preserve"> and produces unreasonable and unlawful outcomes</w:t>
      </w:r>
      <w:r w:rsidR="00F4717A">
        <w:t xml:space="preserve">.  </w:t>
      </w:r>
      <w:r w:rsidR="00816F32">
        <w:t>Accordingly, the Commission should grant rehearing and revise its rules to prohibit the use of banked savings to “trigger shared savings.”</w:t>
      </w:r>
    </w:p>
    <w:p w14:paraId="4FA773EC" w14:textId="77777777" w:rsidR="00105420" w:rsidRDefault="00105420" w:rsidP="00210E19">
      <w:pPr>
        <w:spacing w:after="0"/>
        <w:ind w:left="3600" w:firstLine="720"/>
        <w:rPr>
          <w:rFonts w:eastAsia="Times New Roman" w:cs="Arial"/>
        </w:rPr>
      </w:pPr>
      <w:r>
        <w:rPr>
          <w:rFonts w:eastAsia="Times New Roman" w:cs="Arial"/>
        </w:rPr>
        <w:t>Respectfully submitted,</w:t>
      </w:r>
    </w:p>
    <w:p w14:paraId="6616F548" w14:textId="77777777" w:rsidR="00105420" w:rsidRDefault="00105420" w:rsidP="00210E19">
      <w:pPr>
        <w:tabs>
          <w:tab w:val="left" w:pos="4320"/>
          <w:tab w:val="right" w:pos="8640"/>
        </w:tabs>
        <w:spacing w:after="0" w:line="240" w:lineRule="auto"/>
        <w:ind w:left="4320"/>
        <w:rPr>
          <w:rFonts w:eastAsia="Times New Roman" w:cs="Arial"/>
        </w:rPr>
      </w:pPr>
    </w:p>
    <w:p w14:paraId="19CCAF1D" w14:textId="77777777" w:rsidR="00105420" w:rsidRDefault="00105420" w:rsidP="00210E19">
      <w:pPr>
        <w:tabs>
          <w:tab w:val="left" w:pos="4320"/>
          <w:tab w:val="right" w:pos="8640"/>
        </w:tabs>
        <w:spacing w:after="0" w:line="240" w:lineRule="auto"/>
        <w:rPr>
          <w:rFonts w:eastAsia="Times New Roman" w:cs="Arial"/>
        </w:rPr>
      </w:pPr>
    </w:p>
    <w:p w14:paraId="5C66AAD9" w14:textId="77777777" w:rsidR="00105420" w:rsidRDefault="00105420" w:rsidP="00210E19">
      <w:pPr>
        <w:tabs>
          <w:tab w:val="left" w:pos="4320"/>
          <w:tab w:val="right" w:pos="8640"/>
        </w:tabs>
        <w:spacing w:after="0" w:line="240" w:lineRule="auto"/>
        <w:ind w:left="4320"/>
        <w:rPr>
          <w:rFonts w:eastAsia="Times New Roman" w:cs="Arial"/>
          <w:i/>
        </w:rPr>
      </w:pPr>
      <w:r>
        <w:rPr>
          <w:rFonts w:eastAsia="Times New Roman" w:cs="Arial"/>
          <w:i/>
          <w:u w:val="single"/>
        </w:rPr>
        <w:t>/s/ Frank P. Darr</w:t>
      </w:r>
      <w:r>
        <w:rPr>
          <w:rFonts w:eastAsia="Times New Roman" w:cs="Arial"/>
          <w:i/>
          <w:u w:val="single"/>
        </w:rPr>
        <w:tab/>
      </w:r>
    </w:p>
    <w:p w14:paraId="69B53353"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
          <w:bCs/>
          <w:szCs w:val="20"/>
        </w:rPr>
        <w:t>Frank P. Darr</w:t>
      </w:r>
      <w:r>
        <w:rPr>
          <w:rFonts w:eastAsia="Times New Roman" w:cs="Arial"/>
          <w:bCs/>
          <w:szCs w:val="20"/>
        </w:rPr>
        <w:t xml:space="preserve"> (Reg. No. 0025469)</w:t>
      </w:r>
    </w:p>
    <w:p w14:paraId="677EF7F4"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Cs/>
          <w:szCs w:val="20"/>
        </w:rPr>
        <w:t xml:space="preserve">   (Counsel of Record)</w:t>
      </w:r>
    </w:p>
    <w:p w14:paraId="0CFB2EB3"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
          <w:bCs/>
          <w:szCs w:val="20"/>
        </w:rPr>
        <w:t>Matthew R. Pritchard</w:t>
      </w:r>
      <w:r>
        <w:rPr>
          <w:rFonts w:eastAsia="Times New Roman" w:cs="Arial"/>
          <w:bCs/>
          <w:szCs w:val="20"/>
        </w:rPr>
        <w:t xml:space="preserve"> (Reg. No. 0088070)</w:t>
      </w:r>
    </w:p>
    <w:p w14:paraId="1B3B4173" w14:textId="77777777" w:rsidR="00105420" w:rsidRDefault="00105420" w:rsidP="00210E19">
      <w:pPr>
        <w:widowControl w:val="0"/>
        <w:tabs>
          <w:tab w:val="left" w:pos="4320"/>
        </w:tabs>
        <w:spacing w:after="0" w:line="240" w:lineRule="auto"/>
        <w:ind w:left="4320"/>
        <w:rPr>
          <w:rFonts w:eastAsia="Times New Roman" w:cs="Arial"/>
          <w:bCs/>
          <w:smallCaps/>
        </w:rPr>
      </w:pPr>
      <w:r>
        <w:rPr>
          <w:rFonts w:eastAsia="Times New Roman" w:cs="Arial"/>
          <w:bCs/>
          <w:smallCaps/>
        </w:rPr>
        <w:t>McNees Wallace &amp; Nurick LLC</w:t>
      </w:r>
    </w:p>
    <w:p w14:paraId="4B4AAA00" w14:textId="77777777" w:rsidR="00105420" w:rsidRDefault="00105420" w:rsidP="00210E19">
      <w:pPr>
        <w:widowControl w:val="0"/>
        <w:tabs>
          <w:tab w:val="left" w:pos="4320"/>
        </w:tabs>
        <w:spacing w:after="0" w:line="240" w:lineRule="auto"/>
        <w:ind w:left="432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14:paraId="0A6897F2"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Columbus, OH  43215</w:t>
      </w:r>
    </w:p>
    <w:p w14:paraId="6999DF80"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Telephone:  (614) 469-8000</w:t>
      </w:r>
    </w:p>
    <w:p w14:paraId="4F20215E"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Telecopier:  (614) 469-4653</w:t>
      </w:r>
    </w:p>
    <w:p w14:paraId="1EACF442"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fdarr@mcneeslaw.com</w:t>
      </w:r>
    </w:p>
    <w:p w14:paraId="6C234B09" w14:textId="77777777" w:rsidR="00105420" w:rsidRDefault="00105420" w:rsidP="00210E19">
      <w:pPr>
        <w:tabs>
          <w:tab w:val="left" w:pos="4320"/>
        </w:tabs>
        <w:spacing w:after="0" w:line="240" w:lineRule="auto"/>
        <w:ind w:left="4320"/>
        <w:rPr>
          <w:rFonts w:eastAsia="Times New Roman" w:cs="Arial"/>
        </w:rPr>
      </w:pPr>
      <w:r>
        <w:rPr>
          <w:rFonts w:eastAsia="Times New Roman" w:cs="Arial"/>
        </w:rPr>
        <w:t>mpritchard@mcneeslaw.com</w:t>
      </w:r>
    </w:p>
    <w:p w14:paraId="210287EA" w14:textId="77777777" w:rsidR="00105420" w:rsidRDefault="00105420" w:rsidP="00210E19">
      <w:pPr>
        <w:tabs>
          <w:tab w:val="left" w:pos="4320"/>
          <w:tab w:val="right" w:pos="8640"/>
        </w:tabs>
        <w:spacing w:after="0" w:line="240" w:lineRule="auto"/>
        <w:rPr>
          <w:rFonts w:ascii="Times New Roman" w:eastAsia="Times New Roman" w:hAnsi="Times New Roman" w:cs="Times New Roman"/>
        </w:rPr>
      </w:pPr>
    </w:p>
    <w:p w14:paraId="7924E85B" w14:textId="77777777" w:rsidR="00105420" w:rsidRDefault="00105420" w:rsidP="00210E19">
      <w:pPr>
        <w:tabs>
          <w:tab w:val="left" w:pos="4320"/>
        </w:tabs>
        <w:spacing w:after="0" w:line="240" w:lineRule="auto"/>
        <w:rPr>
          <w:rFonts w:ascii="Arial Bold" w:eastAsia="Times New Roman" w:hAnsi="Arial Bold" w:cs="Arial"/>
          <w:b/>
          <w:smallCaps/>
        </w:rPr>
      </w:pPr>
      <w:r>
        <w:rPr>
          <w:rFonts w:eastAsia="Times New Roman" w:cs="Arial"/>
          <w:b/>
          <w:smallCaps/>
        </w:rPr>
        <w:tab/>
      </w:r>
      <w:r>
        <w:rPr>
          <w:rFonts w:ascii="Arial Bold" w:eastAsia="Times New Roman" w:hAnsi="Arial Bold" w:cs="Arial"/>
          <w:b/>
          <w:smallCaps/>
        </w:rPr>
        <w:t>Counsel for Industrial Energy Users-Ohio</w:t>
      </w:r>
    </w:p>
    <w:p w14:paraId="17F2EEC9" w14:textId="77777777" w:rsidR="00105420" w:rsidRDefault="00105420" w:rsidP="00D02120">
      <w:pPr>
        <w:tabs>
          <w:tab w:val="left" w:pos="4320"/>
        </w:tabs>
        <w:spacing w:line="240" w:lineRule="auto"/>
        <w:rPr>
          <w:rFonts w:cs="Arial"/>
          <w:b/>
          <w:smallCaps/>
          <w:sz w:val="28"/>
          <w:u w:val="single"/>
        </w:rPr>
      </w:pPr>
    </w:p>
    <w:p w14:paraId="5DBF5515" w14:textId="77777777" w:rsidR="00105420" w:rsidRDefault="00105420" w:rsidP="00D02120">
      <w:pPr>
        <w:tabs>
          <w:tab w:val="left" w:pos="4320"/>
        </w:tabs>
        <w:spacing w:line="240" w:lineRule="auto"/>
        <w:rPr>
          <w:rFonts w:cs="Arial"/>
          <w:b/>
          <w:smallCaps/>
          <w:sz w:val="28"/>
          <w:u w:val="single"/>
        </w:rPr>
      </w:pPr>
    </w:p>
    <w:p w14:paraId="102FEC16" w14:textId="77777777" w:rsidR="00105420" w:rsidRDefault="00105420" w:rsidP="00D02120">
      <w:pPr>
        <w:tabs>
          <w:tab w:val="left" w:pos="4320"/>
        </w:tabs>
        <w:spacing w:line="240" w:lineRule="auto"/>
        <w:rPr>
          <w:rFonts w:cs="Arial"/>
          <w:b/>
          <w:smallCaps/>
          <w:sz w:val="28"/>
          <w:u w:val="single"/>
        </w:rPr>
      </w:pPr>
    </w:p>
    <w:p w14:paraId="4E700682" w14:textId="77777777" w:rsidR="00105420" w:rsidRDefault="00105420" w:rsidP="00105420">
      <w:pPr>
        <w:tabs>
          <w:tab w:val="left" w:pos="4320"/>
        </w:tabs>
        <w:spacing w:line="240" w:lineRule="auto"/>
        <w:jc w:val="center"/>
        <w:rPr>
          <w:rFonts w:cs="Arial"/>
          <w:b/>
          <w:smallCaps/>
          <w:sz w:val="28"/>
          <w:u w:val="single"/>
        </w:rPr>
        <w:sectPr w:rsidR="00105420" w:rsidSect="00D02120">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1980B939" w14:textId="111E31FA" w:rsidR="00105420" w:rsidRDefault="00105420" w:rsidP="00D02120">
      <w:pPr>
        <w:tabs>
          <w:tab w:val="left" w:pos="4320"/>
        </w:tabs>
        <w:spacing w:line="240" w:lineRule="auto"/>
        <w:jc w:val="center"/>
        <w:rPr>
          <w:rFonts w:cs="Arial"/>
          <w:b/>
          <w:smallCaps/>
          <w:sz w:val="28"/>
          <w:u w:val="single"/>
        </w:rPr>
      </w:pPr>
      <w:r>
        <w:rPr>
          <w:rFonts w:cs="Arial"/>
          <w:b/>
          <w:smallCaps/>
          <w:sz w:val="28"/>
          <w:u w:val="single"/>
        </w:rPr>
        <w:lastRenderedPageBreak/>
        <w:t>Certificate of Service</w:t>
      </w:r>
    </w:p>
    <w:p w14:paraId="7A4E8024" w14:textId="77777777" w:rsidR="00105420" w:rsidRDefault="00105420" w:rsidP="00D02120">
      <w:pPr>
        <w:spacing w:line="240" w:lineRule="auto"/>
        <w:rPr>
          <w:rFonts w:cs="Arial"/>
        </w:rPr>
      </w:pPr>
    </w:p>
    <w:p w14:paraId="3096ED60" w14:textId="5EADBC30" w:rsidR="00105420" w:rsidRDefault="00105420" w:rsidP="00210E19">
      <w:pPr>
        <w:pStyle w:val="BodyText"/>
        <w:spacing w:line="480" w:lineRule="auto"/>
        <w:ind w:firstLine="720"/>
      </w:pPr>
      <w:r>
        <w:t>In accordance with Rule 4901-1-05, Ohio Administrative Code, the Commission’s e-filing system will electronically serve notice of the filing of this document</w:t>
      </w:r>
      <w:r w:rsidR="003343C5">
        <w:t xml:space="preserve">, filed with the Commission on May 10, 2019, </w:t>
      </w:r>
      <w:r>
        <w:t xml:space="preserve">upon the interested parties.  </w:t>
      </w:r>
    </w:p>
    <w:p w14:paraId="291D3EF0" w14:textId="77777777" w:rsidR="00105420" w:rsidRDefault="00105420" w:rsidP="00210E19">
      <w:pPr>
        <w:tabs>
          <w:tab w:val="center" w:pos="7200"/>
          <w:tab w:val="right" w:pos="9360"/>
        </w:tabs>
        <w:spacing w:after="0" w:line="240" w:lineRule="auto"/>
        <w:ind w:left="5040"/>
        <w:rPr>
          <w:rFonts w:cs="Arial"/>
          <w:i/>
          <w:u w:val="single"/>
        </w:rPr>
      </w:pPr>
      <w:r>
        <w:rPr>
          <w:rFonts w:cs="Arial"/>
          <w:i/>
          <w:u w:val="single"/>
        </w:rPr>
        <w:t>/s/ Frank P. Darr</w:t>
      </w:r>
      <w:r>
        <w:rPr>
          <w:rFonts w:cs="Arial"/>
          <w:i/>
          <w:u w:val="single"/>
        </w:rPr>
        <w:tab/>
      </w:r>
      <w:r>
        <w:rPr>
          <w:rFonts w:cs="Arial"/>
          <w:i/>
          <w:u w:val="single"/>
        </w:rPr>
        <w:tab/>
      </w:r>
    </w:p>
    <w:p w14:paraId="62044677" w14:textId="77777777" w:rsidR="00105420" w:rsidRDefault="00105420" w:rsidP="00210E19">
      <w:pPr>
        <w:spacing w:after="0" w:line="240" w:lineRule="auto"/>
      </w:pPr>
      <w:r w:rsidRPr="00105420">
        <w:rPr>
          <w:rFonts w:cs="Arial"/>
        </w:rPr>
        <w:tab/>
      </w:r>
      <w:r w:rsidRPr="00105420">
        <w:rPr>
          <w:rFonts w:cs="Arial"/>
        </w:rPr>
        <w:tab/>
      </w:r>
      <w:r w:rsidRPr="00105420">
        <w:rPr>
          <w:rFonts w:cs="Arial"/>
        </w:rPr>
        <w:tab/>
      </w:r>
      <w:r w:rsidRPr="00105420">
        <w:rPr>
          <w:rFonts w:cs="Arial"/>
        </w:rPr>
        <w:tab/>
      </w:r>
      <w:r w:rsidRPr="00105420">
        <w:rPr>
          <w:rFonts w:cs="Arial"/>
        </w:rPr>
        <w:tab/>
      </w:r>
      <w:r w:rsidRPr="00105420">
        <w:rPr>
          <w:rFonts w:cs="Arial"/>
        </w:rPr>
        <w:tab/>
      </w:r>
      <w:r w:rsidRPr="00105420">
        <w:rPr>
          <w:rFonts w:cs="Arial"/>
        </w:rPr>
        <w:tab/>
      </w:r>
      <w:r w:rsidRPr="00105420">
        <w:rPr>
          <w:rFonts w:cs="Arial"/>
        </w:rPr>
        <w:tab/>
      </w:r>
      <w:r w:rsidRPr="00105420">
        <w:rPr>
          <w:rFonts w:cs="Arial"/>
        </w:rPr>
        <w:tab/>
      </w:r>
      <w:r>
        <w:rPr>
          <w:rFonts w:cs="Arial"/>
        </w:rPr>
        <w:t>Frank P. Darr</w:t>
      </w:r>
    </w:p>
    <w:bookmarkEnd w:id="0"/>
    <w:p w14:paraId="05D51510" w14:textId="77777777" w:rsidR="00D60E0C" w:rsidRPr="00D60E0C" w:rsidRDefault="00D60E0C" w:rsidP="00210E19">
      <w:pPr>
        <w:spacing w:after="0" w:line="240" w:lineRule="auto"/>
        <w:jc w:val="center"/>
        <w:rPr>
          <w:b/>
        </w:rPr>
      </w:pPr>
    </w:p>
    <w:sectPr w:rsidR="00D60E0C" w:rsidRPr="00D60E0C">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CAAD" w14:textId="77777777" w:rsidR="00565B8F" w:rsidRDefault="00565B8F" w:rsidP="00FA5B1A">
      <w:pPr>
        <w:spacing w:line="240" w:lineRule="auto"/>
      </w:pPr>
      <w:r>
        <w:separator/>
      </w:r>
    </w:p>
  </w:endnote>
  <w:endnote w:type="continuationSeparator" w:id="0">
    <w:p w14:paraId="6E8C8F65" w14:textId="77777777" w:rsidR="00565B8F" w:rsidRDefault="00565B8F" w:rsidP="00FA5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2238" w14:textId="12DEFE21" w:rsidR="00565B8F" w:rsidRPr="00C10952" w:rsidRDefault="00565B8F" w:rsidP="00B51003">
    <w:pPr>
      <w:pStyle w:val="Footer"/>
    </w:pPr>
    <w:r>
      <w:rPr>
        <w:noProof/>
        <w:sz w:val="16"/>
        <w:szCs w:val="16"/>
      </w:rPr>
      <w:t>{A6920748:1}</w:t>
    </w:r>
    <w:r w:rsidRPr="00C10952">
      <w:tab/>
    </w:r>
    <w:r w:rsidRPr="00C10952">
      <w:fldChar w:fldCharType="begin"/>
    </w:r>
    <w:r w:rsidRPr="00C10952">
      <w:instrText xml:space="preserve"> PAGE   \* MERGEFORMAT </w:instrText>
    </w:r>
    <w:r w:rsidRPr="00C10952">
      <w:fldChar w:fldCharType="separate"/>
    </w:r>
    <w:r w:rsidRPr="00C10952">
      <w:rPr>
        <w:noProof/>
      </w:rPr>
      <w:t>1</w:t>
    </w:r>
    <w:r w:rsidRPr="00C1095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C6DE" w14:textId="28B44E9F" w:rsidR="00565B8F" w:rsidRPr="00B40447" w:rsidRDefault="00565B8F" w:rsidP="00B51003">
    <w:pPr>
      <w:pStyle w:val="Footer"/>
      <w:rPr>
        <w:sz w:val="16"/>
        <w:szCs w:val="16"/>
      </w:rPr>
    </w:pPr>
    <w:r>
      <w:rPr>
        <w:noProof/>
        <w:sz w:val="16"/>
        <w:szCs w:val="16"/>
      </w:rPr>
      <w:t>{A6920748:1}</w:t>
    </w:r>
    <w:r w:rsidRPr="00B4044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25D7" w14:textId="379E06E1" w:rsidR="00565B8F" w:rsidRPr="00105420" w:rsidRDefault="00565B8F" w:rsidP="00105420">
    <w:pPr>
      <w:pStyle w:val="Footer"/>
      <w:jc w:val="left"/>
    </w:pPr>
    <w:r w:rsidRPr="00D02120">
      <w:rPr>
        <w:noProof/>
        <w:sz w:val="16"/>
        <w:szCs w:val="16"/>
      </w:rPr>
      <w:t>{A6920748:1}</w:t>
    </w:r>
    <w:r w:rsidRPr="00105420">
      <w:tab/>
    </w:r>
    <w:r w:rsidRPr="00210E19">
      <w:rPr>
        <w:sz w:val="22"/>
      </w:rPr>
      <w:fldChar w:fldCharType="begin"/>
    </w:r>
    <w:r w:rsidRPr="00210E19">
      <w:rPr>
        <w:sz w:val="22"/>
      </w:rPr>
      <w:instrText xml:space="preserve"> PAGE   \* MERGEFORMAT </w:instrText>
    </w:r>
    <w:r w:rsidRPr="00210E19">
      <w:rPr>
        <w:sz w:val="22"/>
      </w:rPr>
      <w:fldChar w:fldCharType="separate"/>
    </w:r>
    <w:r w:rsidRPr="00210E19">
      <w:rPr>
        <w:noProof/>
        <w:sz w:val="22"/>
      </w:rPr>
      <w:t>1</w:t>
    </w:r>
    <w:r w:rsidRPr="00210E19">
      <w:rPr>
        <w:noProof/>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A88A" w14:textId="1A52762F" w:rsidR="00565B8F" w:rsidRPr="00210E19" w:rsidRDefault="00565B8F" w:rsidP="00AF0978">
    <w:pPr>
      <w:pStyle w:val="Footer"/>
      <w:jc w:val="left"/>
      <w:rPr>
        <w:sz w:val="22"/>
      </w:rPr>
    </w:pPr>
    <w:r w:rsidRPr="00D02120">
      <w:rPr>
        <w:noProof/>
        <w:sz w:val="16"/>
        <w:szCs w:val="16"/>
      </w:rPr>
      <w:t>{A6920748:1}</w:t>
    </w:r>
    <w:r w:rsidRPr="00D02120">
      <w:rPr>
        <w:sz w:val="16"/>
        <w:szCs w:val="16"/>
      </w:rPr>
      <w:tab/>
    </w:r>
    <w:r w:rsidR="005E64C4" w:rsidRPr="00210E19">
      <w:rPr>
        <w:sz w:val="22"/>
      </w:rPr>
      <w:fldChar w:fldCharType="begin"/>
    </w:r>
    <w:r w:rsidR="005E64C4" w:rsidRPr="00210E19">
      <w:rPr>
        <w:sz w:val="22"/>
      </w:rPr>
      <w:instrText xml:space="preserve"> PAGE   \* MERGEFORMAT </w:instrText>
    </w:r>
    <w:r w:rsidR="005E64C4" w:rsidRPr="00210E19">
      <w:rPr>
        <w:sz w:val="22"/>
      </w:rPr>
      <w:fldChar w:fldCharType="separate"/>
    </w:r>
    <w:r w:rsidR="005E64C4" w:rsidRPr="00210E19">
      <w:rPr>
        <w:noProof/>
        <w:sz w:val="22"/>
      </w:rPr>
      <w:t>1</w:t>
    </w:r>
    <w:r w:rsidR="005E64C4" w:rsidRPr="00210E19">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0536" w14:textId="77777777" w:rsidR="005E64C4" w:rsidRPr="00105420" w:rsidRDefault="005E64C4" w:rsidP="00105420">
    <w:pPr>
      <w:pStyle w:val="Footer"/>
      <w:jc w:val="left"/>
    </w:pPr>
    <w:r w:rsidRPr="00D02120">
      <w:rPr>
        <w:noProof/>
        <w:sz w:val="16"/>
        <w:szCs w:val="16"/>
      </w:rPr>
      <w:t>{A6920748:1}</w:t>
    </w:r>
    <w:r w:rsidRPr="00105420">
      <w:tab/>
    </w:r>
    <w:r w:rsidRPr="00210E19">
      <w:rPr>
        <w:sz w:val="22"/>
      </w:rPr>
      <w:fldChar w:fldCharType="begin"/>
    </w:r>
    <w:r w:rsidRPr="00210E19">
      <w:rPr>
        <w:sz w:val="22"/>
      </w:rPr>
      <w:instrText xml:space="preserve"> PAGE   \* MERGEFORMAT </w:instrText>
    </w:r>
    <w:r w:rsidRPr="00210E19">
      <w:rPr>
        <w:sz w:val="22"/>
      </w:rPr>
      <w:fldChar w:fldCharType="separate"/>
    </w:r>
    <w:r w:rsidRPr="00210E19">
      <w:rPr>
        <w:noProof/>
        <w:sz w:val="22"/>
      </w:rPr>
      <w:t>1</w:t>
    </w:r>
    <w:r w:rsidRPr="00210E19">
      <w:rPr>
        <w:noProo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8DBF" w14:textId="77777777" w:rsidR="005E64C4" w:rsidRPr="00D02120" w:rsidRDefault="005E64C4" w:rsidP="00AF0978">
    <w:pPr>
      <w:pStyle w:val="Footer"/>
      <w:jc w:val="left"/>
      <w:rPr>
        <w:sz w:val="16"/>
        <w:szCs w:val="16"/>
      </w:rPr>
    </w:pPr>
    <w:r w:rsidRPr="00D02120">
      <w:rPr>
        <w:noProof/>
        <w:sz w:val="16"/>
        <w:szCs w:val="16"/>
      </w:rPr>
      <w:t>{A6920748:1}</w:t>
    </w:r>
    <w:r w:rsidRPr="00D02120">
      <w:rPr>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05BF" w14:textId="77777777" w:rsidR="005E64C4" w:rsidRPr="00105420" w:rsidRDefault="005E64C4" w:rsidP="00105420">
    <w:pPr>
      <w:pStyle w:val="Footer"/>
      <w:jc w:val="left"/>
    </w:pPr>
    <w:r w:rsidRPr="00D02120">
      <w:rPr>
        <w:noProof/>
        <w:sz w:val="16"/>
        <w:szCs w:val="16"/>
      </w:rPr>
      <w:t>{A6920748:1}</w:t>
    </w:r>
    <w:r w:rsidRPr="00105420">
      <w:tab/>
    </w:r>
    <w:r w:rsidRPr="00210E19">
      <w:rPr>
        <w:sz w:val="22"/>
      </w:rPr>
      <w:fldChar w:fldCharType="begin"/>
    </w:r>
    <w:r w:rsidRPr="00210E19">
      <w:rPr>
        <w:sz w:val="22"/>
      </w:rPr>
      <w:instrText xml:space="preserve"> PAGE   \* MERGEFORMAT </w:instrText>
    </w:r>
    <w:r w:rsidRPr="00210E19">
      <w:rPr>
        <w:sz w:val="22"/>
      </w:rPr>
      <w:fldChar w:fldCharType="separate"/>
    </w:r>
    <w:r w:rsidRPr="00210E19">
      <w:rPr>
        <w:noProof/>
        <w:sz w:val="22"/>
      </w:rPr>
      <w:t>1</w:t>
    </w:r>
    <w:r w:rsidRPr="00210E19">
      <w:rPr>
        <w:noProof/>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4BB0" w14:textId="77777777" w:rsidR="005E64C4" w:rsidRPr="00D02120" w:rsidRDefault="005E64C4" w:rsidP="00AF0978">
    <w:pPr>
      <w:pStyle w:val="Footer"/>
      <w:jc w:val="left"/>
      <w:rPr>
        <w:sz w:val="16"/>
        <w:szCs w:val="16"/>
      </w:rPr>
    </w:pPr>
    <w:r w:rsidRPr="00D02120">
      <w:rPr>
        <w:noProof/>
        <w:sz w:val="16"/>
        <w:szCs w:val="16"/>
      </w:rPr>
      <w:t>{A6920748:1}</w:t>
    </w:r>
    <w:r w:rsidRPr="00D0212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51DE" w14:textId="77777777" w:rsidR="00565B8F" w:rsidRDefault="00565B8F" w:rsidP="00FA5B1A">
      <w:pPr>
        <w:spacing w:line="240" w:lineRule="auto"/>
        <w:rPr>
          <w:noProof/>
        </w:rPr>
      </w:pPr>
      <w:r>
        <w:rPr>
          <w:noProof/>
        </w:rPr>
        <w:separator/>
      </w:r>
    </w:p>
  </w:footnote>
  <w:footnote w:type="continuationSeparator" w:id="0">
    <w:p w14:paraId="351FA677" w14:textId="77777777" w:rsidR="00565B8F" w:rsidRDefault="00565B8F" w:rsidP="00FA5B1A">
      <w:pPr>
        <w:spacing w:line="240" w:lineRule="auto"/>
      </w:pPr>
      <w:r>
        <w:continuationSeparator/>
      </w:r>
    </w:p>
  </w:footnote>
  <w:footnote w:id="1">
    <w:p w14:paraId="7B7073B4" w14:textId="5AC22B85" w:rsidR="00565B8F" w:rsidRDefault="00565B8F" w:rsidP="008F60EA">
      <w:pPr>
        <w:pStyle w:val="FootnoteText"/>
      </w:pPr>
      <w:r>
        <w:rPr>
          <w:rStyle w:val="FootnoteReference"/>
        </w:rPr>
        <w:footnoteRef/>
      </w:r>
      <w:r>
        <w:t xml:space="preserve"> Second Entry on Rehearing at ¶43 (Apr. 10, 2019).</w:t>
      </w:r>
    </w:p>
  </w:footnote>
  <w:footnote w:id="2">
    <w:p w14:paraId="2413A9AB" w14:textId="77777777" w:rsidR="00565B8F" w:rsidRPr="008F60EA" w:rsidRDefault="00565B8F">
      <w:pPr>
        <w:pStyle w:val="FootnoteText"/>
        <w:rPr>
          <w:i/>
        </w:rPr>
      </w:pPr>
      <w:r>
        <w:rPr>
          <w:rStyle w:val="FootnoteReference"/>
        </w:rPr>
        <w:footnoteRef/>
      </w:r>
      <w:r>
        <w:t xml:space="preserve"> </w:t>
      </w:r>
      <w:r>
        <w:rPr>
          <w:i/>
        </w:rPr>
        <w:t>Id.</w:t>
      </w:r>
    </w:p>
  </w:footnote>
  <w:footnote w:id="3">
    <w:p w14:paraId="7806D0F6" w14:textId="72571920" w:rsidR="00F679FD" w:rsidRDefault="00F679FD">
      <w:pPr>
        <w:pStyle w:val="FootnoteText"/>
      </w:pPr>
      <w:r>
        <w:rPr>
          <w:rStyle w:val="FootnoteReference"/>
        </w:rPr>
        <w:footnoteRef/>
      </w:r>
      <w:r>
        <w:t xml:space="preserve"> </w:t>
      </w:r>
      <w:r w:rsidRPr="00D02120">
        <w:t xml:space="preserve">Second Entry on Rehearing at </w:t>
      </w:r>
      <w:r w:rsidRPr="00520AFF">
        <w:t>¶</w:t>
      </w:r>
      <w:r w:rsidRPr="00D02120">
        <w:t xml:space="preserve">44.  </w:t>
      </w:r>
    </w:p>
  </w:footnote>
  <w:footnote w:id="4">
    <w:p w14:paraId="2160C08B" w14:textId="4E89C6AE" w:rsidR="00565B8F" w:rsidRDefault="00565B8F" w:rsidP="007E0C9A">
      <w:pPr>
        <w:pStyle w:val="FootnoteText"/>
      </w:pPr>
      <w:r>
        <w:rPr>
          <w:rStyle w:val="FootnoteReference"/>
        </w:rPr>
        <w:footnoteRef/>
      </w:r>
      <w:r>
        <w:t xml:space="preserve"> </w:t>
      </w:r>
      <w:r>
        <w:rPr>
          <w:i/>
        </w:rPr>
        <w:t xml:space="preserve">In the Matter of the Application of Columbus Southern Power Company for Approval of its Program Portfolio Plan and Request for Expedited </w:t>
      </w:r>
      <w:r w:rsidRPr="00037FD7">
        <w:rPr>
          <w:i/>
        </w:rPr>
        <w:t>Consideration</w:t>
      </w:r>
      <w:r>
        <w:t xml:space="preserve">, Case Nos. </w:t>
      </w:r>
      <w:r w:rsidRPr="007D3206">
        <w:t>11</w:t>
      </w:r>
      <w:r>
        <w:t xml:space="preserve">-5568-EL-POR, </w:t>
      </w:r>
      <w:r>
        <w:rPr>
          <w:i/>
        </w:rPr>
        <w:t xml:space="preserve">et </w:t>
      </w:r>
      <w:r w:rsidRPr="00037FD7">
        <w:rPr>
          <w:i/>
        </w:rPr>
        <w:t>al</w:t>
      </w:r>
      <w:r>
        <w:t xml:space="preserve">., </w:t>
      </w:r>
      <w:r w:rsidRPr="00037FD7">
        <w:t>Stipulation</w:t>
      </w:r>
      <w:r>
        <w:t xml:space="preserve"> and Recommendation at 5 (Nov. 29, 2011) (“2011 AEP Portfolio Plan Stipulation”).</w:t>
      </w:r>
    </w:p>
  </w:footnote>
  <w:footnote w:id="5">
    <w:p w14:paraId="17C7498C" w14:textId="095EE759" w:rsidR="00565B8F" w:rsidRPr="000D4FFC" w:rsidRDefault="00565B8F">
      <w:pPr>
        <w:pStyle w:val="FootnoteText"/>
      </w:pPr>
      <w:r>
        <w:rPr>
          <w:rStyle w:val="FootnoteReference"/>
        </w:rPr>
        <w:footnoteRef/>
      </w:r>
      <w:r>
        <w:t xml:space="preserve"> </w:t>
      </w:r>
      <w:r w:rsidR="008E6799" w:rsidRPr="00210E19">
        <w:rPr>
          <w:i/>
        </w:rPr>
        <w:t>Id</w:t>
      </w:r>
      <w:r w:rsidR="008E6799">
        <w:t>.</w:t>
      </w:r>
      <w:r w:rsidDel="002E520E">
        <w:t xml:space="preserve"> </w:t>
      </w:r>
      <w:r>
        <w:t xml:space="preserve">at 7 (“AEP Ohio may only count savings for shared savings one time . . . and in the year in which the savings were generated.”); </w:t>
      </w:r>
      <w:r>
        <w:rPr>
          <w:i/>
        </w:rPr>
        <w:t>In the Matter of the Application of The Dayton Power and Light Company for Approval of Its Energy Efficiency Portfolio Plan</w:t>
      </w:r>
      <w:r>
        <w:t xml:space="preserve">, Case Nos. 13-833-EL-POR, </w:t>
      </w:r>
      <w:r>
        <w:rPr>
          <w:i/>
        </w:rPr>
        <w:t xml:space="preserve">et </w:t>
      </w:r>
      <w:r w:rsidRPr="00510F64">
        <w:rPr>
          <w:i/>
        </w:rPr>
        <w:t>al</w:t>
      </w:r>
      <w:r>
        <w:t xml:space="preserve">., </w:t>
      </w:r>
      <w:r w:rsidRPr="00510F64">
        <w:t>Stipulation</w:t>
      </w:r>
      <w:r>
        <w:t xml:space="preserve"> and Recommendation at 12 (Oct. 2, 2013) (“In a year in which previous years’ over-compliance is used to comply with the benchmarks, shared savings shall be based only on impacts generated in the current year.”) (“2013 DP&amp;L Portfolio Plan Stipulation”).</w:t>
      </w:r>
    </w:p>
  </w:footnote>
  <w:footnote w:id="6">
    <w:p w14:paraId="535D4A6A" w14:textId="2A2A6E08" w:rsidR="00565B8F" w:rsidRDefault="00565B8F">
      <w:pPr>
        <w:pStyle w:val="FootnoteText"/>
      </w:pPr>
      <w:r>
        <w:rPr>
          <w:rStyle w:val="FootnoteReference"/>
        </w:rPr>
        <w:footnoteRef/>
      </w:r>
      <w:r>
        <w:t xml:space="preserve"> 2011 AEP Portfolio Plan Stipulation</w:t>
      </w:r>
      <w:r w:rsidDel="002E520E">
        <w:t xml:space="preserve"> </w:t>
      </w:r>
      <w:r>
        <w:t xml:space="preserve">at 5; </w:t>
      </w:r>
      <w:r>
        <w:rPr>
          <w:i/>
        </w:rPr>
        <w:t>In the Matter of the Application of Duke Energy Ohio, Inc. for an Energy Efficiency Cost Recovery Mechanism and for Approval of Additional Programs for Inclusion in its Existing Portfolio</w:t>
      </w:r>
      <w:r>
        <w:t xml:space="preserve">, Case No. 11-4393-EL-RDR, Stipulation and Recommendation at 5 (Nov. 18, 2011) (“2011 Duke Portfolio Plan Stipulation”); </w:t>
      </w:r>
      <w:r w:rsidRPr="00D02120">
        <w:rPr>
          <w:i/>
        </w:rPr>
        <w:t>In the Matter of the Application of The Cleveland Electric Illuminating Company, Ohio Edison Company, and The Toledo Edison Company for Approval of Their Energy Efficiency and Peak Demand Reduction Program Plans for 2013-2015</w:t>
      </w:r>
      <w:r>
        <w:t>, Case Nos. 12</w:t>
      </w:r>
      <w:r w:rsidR="00F679FD">
        <w:noBreakHyphen/>
      </w:r>
      <w:r>
        <w:t>2190</w:t>
      </w:r>
      <w:r w:rsidR="00F679FD">
        <w:noBreakHyphen/>
      </w:r>
      <w:r>
        <w:t>EL</w:t>
      </w:r>
      <w:r w:rsidR="00F679FD">
        <w:noBreakHyphen/>
      </w:r>
      <w:r>
        <w:t xml:space="preserve">POR, </w:t>
      </w:r>
      <w:r w:rsidRPr="00D02120">
        <w:rPr>
          <w:i/>
        </w:rPr>
        <w:t>et al.</w:t>
      </w:r>
      <w:r>
        <w:t>, Opinion and Order at 12-13, 15 (Mar. 20, 2013) (“2012 FirstEnergy Portfolio Plan Order”); 2013 DP&amp;L Portfolio Plan Stipulation</w:t>
      </w:r>
      <w:r w:rsidDel="00510F64">
        <w:t xml:space="preserve"> </w:t>
      </w:r>
      <w:r>
        <w:t xml:space="preserve">at 11.  Duke’s first and current EE/PDR plan have a slightly different </w:t>
      </w:r>
      <w:r w:rsidR="00F679FD">
        <w:t>s</w:t>
      </w:r>
      <w:r>
        <w:t xml:space="preserve">hared </w:t>
      </w:r>
      <w:r w:rsidR="00F679FD">
        <w:t>s</w:t>
      </w:r>
      <w:r>
        <w:t xml:space="preserve">avings </w:t>
      </w:r>
      <w:r w:rsidR="00F679FD">
        <w:t>p</w:t>
      </w:r>
      <w:r>
        <w:t xml:space="preserve">ercentage schedule.  </w:t>
      </w:r>
      <w:r>
        <w:rPr>
          <w:i/>
        </w:rPr>
        <w:t xml:space="preserve">In the Matter of the Application of Duke Energy Ohio, Inc. for Approval of an Electric Security </w:t>
      </w:r>
      <w:r w:rsidRPr="009B63F3">
        <w:rPr>
          <w:i/>
        </w:rPr>
        <w:t>Plan</w:t>
      </w:r>
      <w:r>
        <w:t xml:space="preserve">, Case Nos. 08-920-EL-SSO, </w:t>
      </w:r>
      <w:r w:rsidRPr="00D02120">
        <w:rPr>
          <w:i/>
        </w:rPr>
        <w:t>et al.</w:t>
      </w:r>
      <w:r>
        <w:t xml:space="preserve">, </w:t>
      </w:r>
      <w:r w:rsidRPr="009B63F3">
        <w:t>Stipulation</w:t>
      </w:r>
      <w:r>
        <w:t xml:space="preserve"> and Recommendation at 24 (Oct. 27, 2008) (“Duke ESP I Stipulation”); </w:t>
      </w:r>
      <w:r>
        <w:rPr>
          <w:i/>
        </w:rPr>
        <w:t>In the Matter of the Application of Duke Energy Ohio, Inc. for a Waiver to File a New Energy Efficiency and Peak Demand Reduction Portfolio Application,</w:t>
      </w:r>
      <w:r>
        <w:t xml:space="preserve"> Case No. 16-576-EL-POR, Amended Stipulation and Recommendation at 5 (Jan. 27, 2017) (“2016 Duke Amended Portfolio Plan Stipulation”).</w:t>
      </w:r>
    </w:p>
  </w:footnote>
  <w:footnote w:id="7">
    <w:p w14:paraId="3CFC9415" w14:textId="77777777" w:rsidR="00565B8F" w:rsidRDefault="00565B8F">
      <w:pPr>
        <w:pStyle w:val="FootnoteText"/>
      </w:pPr>
      <w:r>
        <w:rPr>
          <w:rStyle w:val="FootnoteReference"/>
        </w:rPr>
        <w:footnoteRef/>
      </w:r>
      <w:r>
        <w:t xml:space="preserve"> R.C. 4928.66(A)(2)(d)(i)(IV) &amp; (V).</w:t>
      </w:r>
    </w:p>
  </w:footnote>
  <w:footnote w:id="8">
    <w:p w14:paraId="40C9BFB9" w14:textId="037B831E" w:rsidR="00565B8F" w:rsidRDefault="00565B8F">
      <w:pPr>
        <w:pStyle w:val="FootnoteText"/>
      </w:pPr>
      <w:r>
        <w:rPr>
          <w:rStyle w:val="FootnoteReference"/>
        </w:rPr>
        <w:footnoteRef/>
      </w:r>
      <w:r>
        <w:t xml:space="preserve"> </w:t>
      </w:r>
      <w:r>
        <w:rPr>
          <w:i/>
        </w:rPr>
        <w:t>See, e.g.</w:t>
      </w:r>
      <w:r>
        <w:t>, 2013 DP&amp;L Portfolio Plan Stipulation</w:t>
      </w:r>
      <w:r w:rsidDel="00510F64">
        <w:t xml:space="preserve"> </w:t>
      </w:r>
      <w:r>
        <w:t xml:space="preserve">at 12; </w:t>
      </w:r>
      <w:r>
        <w:rPr>
          <w:i/>
        </w:rPr>
        <w:t xml:space="preserve">In the Matter of the Application of Ohio Edison Company, The Cleveland Electric Illuminating Company, and The Toledo Edison Company for Authority to Provide for a Standard Service Offer Pursuant to R.C. 4928.143 in the Form of an Electric Security </w:t>
      </w:r>
      <w:r w:rsidRPr="009644C4">
        <w:rPr>
          <w:i/>
        </w:rPr>
        <w:t>Plan</w:t>
      </w:r>
      <w:r>
        <w:t xml:space="preserve">, Case No. </w:t>
      </w:r>
      <w:r w:rsidRPr="009644C4">
        <w:t>14</w:t>
      </w:r>
      <w:r>
        <w:t xml:space="preserve">-1297-EL-SSO, Fifth Entry on Rehearing at 147 (Oct. 12, 2016) </w:t>
      </w:r>
      <w:r w:rsidRPr="002D58D3">
        <w:t xml:space="preserve">(“The Commission has never allowed shared savings for programs like the historic mercantile customer program which involves no action by the Companies to achieve the energy savings” and also </w:t>
      </w:r>
      <w:r w:rsidR="002845FD" w:rsidRPr="002D58D3">
        <w:t xml:space="preserve">excluded </w:t>
      </w:r>
      <w:r w:rsidRPr="002D58D3">
        <w:t>from shared savings any energy savings from the Customer Action program).</w:t>
      </w:r>
    </w:p>
  </w:footnote>
  <w:footnote w:id="9">
    <w:p w14:paraId="4E55EF8F" w14:textId="6280EAFF" w:rsidR="00565B8F" w:rsidRDefault="00565B8F">
      <w:pPr>
        <w:pStyle w:val="FootnoteText"/>
      </w:pPr>
      <w:r>
        <w:rPr>
          <w:rStyle w:val="FootnoteReference"/>
        </w:rPr>
        <w:footnoteRef/>
      </w:r>
      <w:r>
        <w:t xml:space="preserve"> 2011 AEP Portfolio Plan Stipulation at 5; 2012 FirstEnergy Portfolio Plan Order</w:t>
      </w:r>
      <w:r w:rsidDel="005136D7">
        <w:t xml:space="preserve"> </w:t>
      </w:r>
      <w:r>
        <w:t>at 16-17; 2013 DP&amp;L Portfolio Plan Stipulation at 11.</w:t>
      </w:r>
    </w:p>
  </w:footnote>
  <w:footnote w:id="10">
    <w:p w14:paraId="61C50181" w14:textId="06C4273C" w:rsidR="00565B8F" w:rsidRPr="0026532E" w:rsidRDefault="00565B8F">
      <w:pPr>
        <w:pStyle w:val="FootnoteText"/>
      </w:pPr>
      <w:r>
        <w:rPr>
          <w:rStyle w:val="FootnoteReference"/>
        </w:rPr>
        <w:footnoteRef/>
      </w:r>
      <w:r>
        <w:t xml:space="preserve"> </w:t>
      </w:r>
      <w:r>
        <w:rPr>
          <w:i/>
        </w:rPr>
        <w:t>See, e.g.</w:t>
      </w:r>
      <w:r>
        <w:t>, 2013 DP&amp;L Portfolio Plan Stipulation at 12 (“total gross, annualized savings” will be utilized for purposes of shared savings but will exclude “”Mercantile-Self Direct, Residential Low Income Affordability, Pilot Program, and Transmission and Distribution Infrastructure Improvements.”).</w:t>
      </w:r>
    </w:p>
  </w:footnote>
  <w:footnote w:id="11">
    <w:p w14:paraId="0201B48F" w14:textId="22D1E0F2" w:rsidR="00565B8F" w:rsidRDefault="00565B8F" w:rsidP="00F14F77">
      <w:pPr>
        <w:pStyle w:val="FootnoteText"/>
      </w:pPr>
      <w:r>
        <w:rPr>
          <w:rStyle w:val="FootnoteReference"/>
        </w:rPr>
        <w:footnoteRef/>
      </w:r>
      <w:r>
        <w:t xml:space="preserve"> </w:t>
      </w:r>
      <w:r>
        <w:rPr>
          <w:i/>
        </w:rPr>
        <w:t>In the Matter of the Application of Duke Energy Ohio, Inc. for Recovery of Program Costs, Lost Distribution Revenue, and Performance Incentives Related to its Energy Efficiency and Demand Response Programs,</w:t>
      </w:r>
      <w:r>
        <w:t xml:space="preserve"> Case No. 14-457-EL-RDR, Finding and Order at 5 (May 20, 2015).  While rehearing was pending, a settlement was reached by Duke and Staff that was ultimately approved by the Commission.  The settlement noted that Duke had sought $55 million in shared savings for 2013 through 2016, that Duke could collect $19.75 million of shared savings for 2013 and 2014, and Duke could not collect any shared savings for 2015 and 2016.  </w:t>
      </w:r>
      <w:r w:rsidRPr="00020DD5">
        <w:rPr>
          <w:i/>
        </w:rPr>
        <w:t xml:space="preserve"> </w:t>
      </w:r>
      <w:r w:rsidR="002845FD">
        <w:rPr>
          <w:i/>
        </w:rPr>
        <w:t xml:space="preserve">Id., </w:t>
      </w:r>
      <w:r>
        <w:t xml:space="preserve">Stipulation at 6 (Jan. 6, 2016).  The Commission approved the black-box settlement, noting the compromise on Duke’s ability to rely on banked savings to generate shared savings coupled with Duke’s commitment to not seek to rely on banked savings in the future (absent a change in law or rule permitting such an outcome).  </w:t>
      </w:r>
      <w:r w:rsidR="002845FD">
        <w:rPr>
          <w:i/>
        </w:rPr>
        <w:t>Id.</w:t>
      </w:r>
      <w:r w:rsidRPr="0033135F">
        <w:t xml:space="preserve">, </w:t>
      </w:r>
      <w:r>
        <w:t>Second Entry on Rehearing at 13 (Oct. 26, 2016).</w:t>
      </w:r>
    </w:p>
  </w:footnote>
  <w:footnote w:id="12">
    <w:p w14:paraId="16788654" w14:textId="43DCD89B" w:rsidR="00565B8F" w:rsidRPr="00D918F9" w:rsidRDefault="00565B8F" w:rsidP="00F14F77">
      <w:pPr>
        <w:pStyle w:val="FootnoteText"/>
      </w:pPr>
      <w:r>
        <w:rPr>
          <w:rStyle w:val="FootnoteReference"/>
        </w:rPr>
        <w:footnoteRef/>
      </w:r>
      <w:r>
        <w:t xml:space="preserve"> </w:t>
      </w:r>
      <w:r w:rsidR="002845FD">
        <w:rPr>
          <w:i/>
        </w:rPr>
        <w:t>Id.</w:t>
      </w:r>
      <w:r w:rsidRPr="00AE664D">
        <w:t xml:space="preserve">, </w:t>
      </w:r>
      <w:r>
        <w:t>Application for Rehearing of Duke Energy Ohio, Inc. at 16-17 (June 19, 2015).</w:t>
      </w:r>
    </w:p>
  </w:footnote>
  <w:footnote w:id="13">
    <w:p w14:paraId="28C5F6B9" w14:textId="4D0F0A78" w:rsidR="00565B8F" w:rsidRPr="00D02120" w:rsidRDefault="00565B8F" w:rsidP="00F14F77">
      <w:pPr>
        <w:pStyle w:val="FootnoteText"/>
      </w:pPr>
      <w:r>
        <w:rPr>
          <w:rStyle w:val="FootnoteReference"/>
        </w:rPr>
        <w:footnoteRef/>
      </w:r>
      <w:r>
        <w:t xml:space="preserve"> </w:t>
      </w:r>
      <w:r>
        <w:rPr>
          <w:i/>
        </w:rPr>
        <w:t xml:space="preserve">Id.  </w:t>
      </w:r>
      <w:r>
        <w:t xml:space="preserve">Duke would have excluded the banked savings from the calculation of annual </w:t>
      </w:r>
      <w:r w:rsidR="00F679FD">
        <w:t>n</w:t>
      </w:r>
      <w:r>
        <w:t xml:space="preserve">et </w:t>
      </w:r>
      <w:r w:rsidR="00F679FD">
        <w:t>b</w:t>
      </w:r>
      <w:r>
        <w:t xml:space="preserve">enefits under its proposal.  </w:t>
      </w:r>
      <w:r w:rsidRPr="00D02120">
        <w:rPr>
          <w:i/>
        </w:rPr>
        <w:t>Id</w:t>
      </w:r>
      <w:r>
        <w:t>.</w:t>
      </w:r>
    </w:p>
  </w:footnote>
  <w:footnote w:id="14">
    <w:p w14:paraId="2EA23976" w14:textId="1350815C" w:rsidR="00565B8F" w:rsidRDefault="00565B8F" w:rsidP="00F14F77">
      <w:pPr>
        <w:pStyle w:val="FootnoteText"/>
      </w:pPr>
      <w:r>
        <w:rPr>
          <w:rStyle w:val="FootnoteReference"/>
        </w:rPr>
        <w:footnoteRef/>
      </w:r>
      <w:r>
        <w:t xml:space="preserve"> </w:t>
      </w:r>
      <w:r w:rsidR="002845FD">
        <w:rPr>
          <w:i/>
        </w:rPr>
        <w:t>Id.</w:t>
      </w:r>
      <w:r>
        <w:t xml:space="preserve">, Finding and Order at 5 (May 20, 2015).  </w:t>
      </w:r>
    </w:p>
  </w:footnote>
  <w:footnote w:id="15">
    <w:p w14:paraId="20832C8D" w14:textId="77777777" w:rsidR="00565B8F" w:rsidRPr="001922FC" w:rsidRDefault="00565B8F" w:rsidP="00F14F77">
      <w:pPr>
        <w:pStyle w:val="FootnoteText"/>
        <w:rPr>
          <w:i/>
        </w:rPr>
      </w:pPr>
      <w:r>
        <w:rPr>
          <w:rStyle w:val="FootnoteReference"/>
        </w:rPr>
        <w:footnoteRef/>
      </w:r>
      <w:r>
        <w:t xml:space="preserve"> </w:t>
      </w:r>
      <w:r>
        <w:rPr>
          <w:i/>
        </w:rPr>
        <w:t>Id.</w:t>
      </w:r>
    </w:p>
  </w:footnote>
  <w:footnote w:id="16">
    <w:p w14:paraId="6350D80A" w14:textId="77777777" w:rsidR="00565B8F" w:rsidRPr="00B957C7" w:rsidRDefault="00565B8F" w:rsidP="00F14F77">
      <w:pPr>
        <w:pStyle w:val="FootnoteText"/>
        <w:rPr>
          <w:i/>
        </w:rPr>
      </w:pPr>
      <w:r>
        <w:rPr>
          <w:rStyle w:val="FootnoteReference"/>
        </w:rPr>
        <w:footnoteRef/>
      </w:r>
      <w:r>
        <w:t xml:space="preserve"> </w:t>
      </w:r>
      <w:r>
        <w:rPr>
          <w:i/>
        </w:rPr>
        <w:t>Id.</w:t>
      </w:r>
    </w:p>
  </w:footnote>
  <w:footnote w:id="17">
    <w:p w14:paraId="070BA366" w14:textId="358F62D5" w:rsidR="00565B8F" w:rsidRPr="00416FA5" w:rsidRDefault="00565B8F">
      <w:pPr>
        <w:pStyle w:val="FootnoteText"/>
      </w:pPr>
      <w:r>
        <w:rPr>
          <w:rStyle w:val="FootnoteReference"/>
        </w:rPr>
        <w:footnoteRef/>
      </w:r>
      <w:r>
        <w:t xml:space="preserve"> </w:t>
      </w:r>
      <w:r>
        <w:rPr>
          <w:i/>
        </w:rPr>
        <w:t>In re Application of Columbus S. Power Co.</w:t>
      </w:r>
      <w:r>
        <w:t xml:space="preserve">, 128 Ohio St.3d 512, 2011-Ohio-1788 </w:t>
      </w:r>
      <w:r>
        <w:rPr>
          <w:rFonts w:cs="Arial"/>
        </w:rPr>
        <w:t>¶ 52.</w:t>
      </w:r>
    </w:p>
  </w:footnote>
  <w:footnote w:id="18">
    <w:p w14:paraId="4331518A" w14:textId="538713E9" w:rsidR="00565B8F" w:rsidRPr="00416FA5" w:rsidRDefault="00565B8F">
      <w:pPr>
        <w:pStyle w:val="FootnoteText"/>
        <w:rPr>
          <w:i/>
        </w:rPr>
      </w:pPr>
      <w:r>
        <w:rPr>
          <w:rStyle w:val="FootnoteReference"/>
        </w:rPr>
        <w:footnoteRef/>
      </w:r>
      <w:r>
        <w:t xml:space="preserve"> </w:t>
      </w:r>
      <w:r>
        <w:rPr>
          <w:i/>
        </w:rPr>
        <w:t>Id.</w:t>
      </w:r>
    </w:p>
  </w:footnote>
  <w:footnote w:id="19">
    <w:p w14:paraId="1AF1D322" w14:textId="4C38B7F4" w:rsidR="00565B8F" w:rsidRDefault="00565B8F">
      <w:pPr>
        <w:pStyle w:val="FootnoteText"/>
      </w:pPr>
      <w:r>
        <w:rPr>
          <w:rStyle w:val="FootnoteReference"/>
        </w:rPr>
        <w:footnoteRef/>
      </w:r>
      <w:r>
        <w:t xml:space="preserve"> Second Entry on Rehearing at </w:t>
      </w:r>
      <w:r>
        <w:rPr>
          <w:rFonts w:cs="Arial"/>
        </w:rPr>
        <w:t>¶</w:t>
      </w:r>
      <w:r>
        <w:t>17.</w:t>
      </w:r>
    </w:p>
  </w:footnote>
  <w:footnote w:id="20">
    <w:p w14:paraId="42E95370" w14:textId="1C0B8A0B" w:rsidR="00565B8F" w:rsidRDefault="00565B8F" w:rsidP="009C17F0">
      <w:pPr>
        <w:pStyle w:val="FootnoteText"/>
      </w:pPr>
      <w:r>
        <w:rPr>
          <w:rStyle w:val="FootnoteReference"/>
        </w:rPr>
        <w:footnoteRef/>
      </w:r>
      <w:r>
        <w:t xml:space="preserve"> </w:t>
      </w:r>
      <w:r>
        <w:rPr>
          <w:i/>
        </w:rPr>
        <w:t>In the Matter of the Application of Ohio Power Company to Update The Energy Efficiency and Peak Demand Reduction Rider,</w:t>
      </w:r>
      <w:r>
        <w:t xml:space="preserve"> Case No. 17-1266-EL-RDR, Application at Schedule 3 (May 15, 2017).</w:t>
      </w:r>
    </w:p>
  </w:footnote>
  <w:footnote w:id="21">
    <w:p w14:paraId="105C34E5" w14:textId="6C84388C" w:rsidR="00565B8F" w:rsidRPr="00FD587E" w:rsidRDefault="00565B8F" w:rsidP="009C17F0">
      <w:pPr>
        <w:pStyle w:val="FootnoteText"/>
      </w:pPr>
      <w:r>
        <w:rPr>
          <w:rStyle w:val="FootnoteReference"/>
        </w:rPr>
        <w:footnoteRef/>
      </w:r>
      <w:r>
        <w:t xml:space="preserve"> </w:t>
      </w:r>
      <w:r>
        <w:rPr>
          <w:i/>
        </w:rPr>
        <w:t>See, e.g.</w:t>
      </w:r>
      <w:r>
        <w:t xml:space="preserve"> the annual EE/PDR portfolio status reports filed in </w:t>
      </w:r>
      <w:r>
        <w:rPr>
          <w:i/>
        </w:rPr>
        <w:t>In the Matter of the Annual Energy Efficiency Portfolio Status Report of Duke Energy Ohio, Inc.</w:t>
      </w:r>
      <w:r>
        <w:t xml:space="preserve">, Case No. 17-689-EL-EEC, Annual Energy Efficiency Status Report of Duke Energy Ohio, Inc. (Apr. 17, 2017); </w:t>
      </w:r>
      <w:r>
        <w:rPr>
          <w:i/>
        </w:rPr>
        <w:t>In the Matter of the Annual Energy Efficiency Portfolio Status Report of Duke Energy Ohio, Inc.</w:t>
      </w:r>
      <w:r>
        <w:t xml:space="preserve">, Case No. 18-396-EL-EEC, Annual Energy Efficiency Status Report of Duke Energy Ohio, Inc. (Mar. 29, 2018); </w:t>
      </w:r>
      <w:r>
        <w:rPr>
          <w:i/>
        </w:rPr>
        <w:t>In the Matter of the Annual Portfolio Status Report Under Rule 4901:1-39-05(C), Ohio Administrative Code, by Ohio Power Company</w:t>
      </w:r>
      <w:r>
        <w:t>, Case No. 18</w:t>
      </w:r>
      <w:r w:rsidR="002D58D3">
        <w:noBreakHyphen/>
      </w:r>
      <w:r>
        <w:t>835</w:t>
      </w:r>
      <w:r w:rsidR="002D58D3">
        <w:noBreakHyphen/>
      </w:r>
      <w:r>
        <w:t>EL</w:t>
      </w:r>
      <w:r w:rsidR="002D58D3">
        <w:noBreakHyphen/>
      </w:r>
      <w:r>
        <w:t xml:space="preserve">EEC, 2017 Portfolio Status Report of the Energy Efficiency and Peak Demand Response Programs (May 15, 2018); </w:t>
      </w:r>
      <w:r>
        <w:rPr>
          <w:i/>
        </w:rPr>
        <w:t>In the Matter of The Dayton Power and Light Company’s Portfolio Status Report,</w:t>
      </w:r>
      <w:r>
        <w:t xml:space="preserve"> Case No. 18-742-EL-POR, The Dayton Power and Light Company’s Combined Notice of Filing of Portfolio Status Report and Application to Adjust Baselines (May 15, 2018); and </w:t>
      </w:r>
      <w:r>
        <w:rPr>
          <w:i/>
        </w:rPr>
        <w:t>In the Matter of the Energy Efficiency and Peak Demand Reduction Program Portfolio Status Report for the Ohio Edison Company, The Cleveland Electric Illuminating Company, and The Toledo Edison Company</w:t>
      </w:r>
      <w:r>
        <w:t xml:space="preserve">, Case Nos. </w:t>
      </w:r>
      <w:r w:rsidRPr="00CE7DC6">
        <w:t>18</w:t>
      </w:r>
      <w:r w:rsidR="002D58D3">
        <w:noBreakHyphen/>
      </w:r>
      <w:r>
        <w:t>841</w:t>
      </w:r>
      <w:r w:rsidR="002D58D3">
        <w:noBreakHyphen/>
      </w:r>
      <w:r>
        <w:t>EL</w:t>
      </w:r>
      <w:r w:rsidR="002D58D3">
        <w:noBreakHyphen/>
      </w:r>
      <w:r>
        <w:t xml:space="preserve">EEC, </w:t>
      </w:r>
      <w:r w:rsidRPr="00D02120">
        <w:rPr>
          <w:i/>
        </w:rPr>
        <w:t>et al</w:t>
      </w:r>
      <w:r>
        <w:rPr>
          <w:i/>
        </w:rPr>
        <w:t>.</w:t>
      </w:r>
      <w:r>
        <w:t>, Energy Efficiency and Peak Demand Reduction Program Portfolio Status Report (May 15, 2018).</w:t>
      </w:r>
    </w:p>
  </w:footnote>
  <w:footnote w:id="22">
    <w:p w14:paraId="3C65F09C" w14:textId="06CB19C2" w:rsidR="00565B8F" w:rsidRDefault="00565B8F" w:rsidP="009C17F0">
      <w:pPr>
        <w:pStyle w:val="FootnoteText"/>
      </w:pPr>
      <w:r>
        <w:rPr>
          <w:rStyle w:val="FootnoteReference"/>
        </w:rPr>
        <w:footnoteRef/>
      </w:r>
      <w:r>
        <w:t xml:space="preserve"> For example, the Commission has recently imposed an overall cost cap on all EDUs that would limit the ability to collect shared savings.  Many other settlements have included express provisions setting a cap on the annual shared savings that an EDU can collect from its customers.  The Commission also imposed a shared savings cap on FirstEnergy.  2012 FirstEnergy Portfolio Plan Order</w:t>
      </w:r>
      <w:r w:rsidDel="005136D7">
        <w:t xml:space="preserve"> </w:t>
      </w:r>
      <w:r>
        <w:t>at 16 (Mar. 20,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45CB" w14:textId="77777777" w:rsidR="00565B8F" w:rsidRDefault="00565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D372" w14:textId="77777777" w:rsidR="00565B8F" w:rsidRDefault="00565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2C09" w14:textId="77777777" w:rsidR="005E64C4" w:rsidRDefault="005E6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7963" w14:textId="77777777" w:rsidR="005E64C4" w:rsidRDefault="005E64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C53C" w14:textId="77777777" w:rsidR="005E64C4" w:rsidRDefault="005E64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5AED" w14:textId="77777777" w:rsidR="005E64C4" w:rsidRDefault="005E6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5FA"/>
    <w:multiLevelType w:val="hybridMultilevel"/>
    <w:tmpl w:val="9F32AD9E"/>
    <w:lvl w:ilvl="0" w:tplc="B2A85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2154"/>
    <w:multiLevelType w:val="hybridMultilevel"/>
    <w:tmpl w:val="3D9628F0"/>
    <w:name w:val="(Unnamed Numbering Scheme)"/>
    <w:lvl w:ilvl="0" w:tplc="F3BE6928">
      <w:start w:val="1"/>
      <w:numFmt w:val="upperRoman"/>
      <w:lvlText w:val="%1."/>
      <w:lvlJc w:val="right"/>
      <w:pPr>
        <w:ind w:left="1440" w:hanging="360"/>
      </w:pPr>
      <w:rPr>
        <w:b/>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AF493F"/>
    <w:multiLevelType w:val="hybridMultilevel"/>
    <w:tmpl w:val="7CCAF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84288"/>
    <w:multiLevelType w:val="hybridMultilevel"/>
    <w:tmpl w:val="1ADA7F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893B64"/>
    <w:multiLevelType w:val="multilevel"/>
    <w:tmpl w:val="0144F37A"/>
    <w:name w:val="PUCO Pl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5" w15:restartNumberingAfterBreak="0">
    <w:nsid w:val="7B913FD2"/>
    <w:multiLevelType w:val="hybridMultilevel"/>
    <w:tmpl w:val="51721C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PUCO Pleadings&lt;/Name&gt;&lt;Description&gt;For PUCO pleadings&lt;/Description&gt;&lt;FilterID&gt;0&lt;/FilterID&gt;&lt;CustomTOCAttached&gt;false&lt;/CustomTOCAttached&gt;&lt;DefaultTOCSchemeID&gt;0&lt;/DefaultTOCSchemeID&gt;&lt;BitMapID&gt;2&lt;/BitMapID&gt;&lt;Hidden&gt;false&lt;/Hidden&gt;&lt;ListIndexUsed&gt;0&lt;/ListIndexUsed&gt;&lt;CapturedDocument&gt;C:\Users\1104\AppData\Local\Worldox\ZMS\031\19635\0029\A6871845.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True"/>
    <w:docVar w:name="LastSchemeChoice" w:val="PUCO Pleadings"/>
    <w:docVar w:name="LastSchemeUniqueID" w:val="1"/>
    <w:docVar w:name="LegacyNa" w:val="False"/>
  </w:docVars>
  <w:rsids>
    <w:rsidRoot w:val="006E18B4"/>
    <w:rsid w:val="00002FDA"/>
    <w:rsid w:val="0000526E"/>
    <w:rsid w:val="00020DD5"/>
    <w:rsid w:val="00037698"/>
    <w:rsid w:val="00037FD7"/>
    <w:rsid w:val="000505FD"/>
    <w:rsid w:val="0006615B"/>
    <w:rsid w:val="00091C19"/>
    <w:rsid w:val="000D4FFC"/>
    <w:rsid w:val="000E694A"/>
    <w:rsid w:val="000F39A9"/>
    <w:rsid w:val="000F740D"/>
    <w:rsid w:val="00101B6B"/>
    <w:rsid w:val="00105420"/>
    <w:rsid w:val="0011221C"/>
    <w:rsid w:val="00123C04"/>
    <w:rsid w:val="00182DF1"/>
    <w:rsid w:val="001922FC"/>
    <w:rsid w:val="001C136B"/>
    <w:rsid w:val="00210E19"/>
    <w:rsid w:val="002214D7"/>
    <w:rsid w:val="00224E42"/>
    <w:rsid w:val="00227831"/>
    <w:rsid w:val="002465D2"/>
    <w:rsid w:val="0026532E"/>
    <w:rsid w:val="0026632F"/>
    <w:rsid w:val="002845FD"/>
    <w:rsid w:val="002847AC"/>
    <w:rsid w:val="0029329F"/>
    <w:rsid w:val="0029415A"/>
    <w:rsid w:val="002A5E99"/>
    <w:rsid w:val="002A7BFA"/>
    <w:rsid w:val="002B6140"/>
    <w:rsid w:val="002D58D3"/>
    <w:rsid w:val="002D7728"/>
    <w:rsid w:val="002E520E"/>
    <w:rsid w:val="003053A6"/>
    <w:rsid w:val="00331054"/>
    <w:rsid w:val="003343C5"/>
    <w:rsid w:val="00345F33"/>
    <w:rsid w:val="003659AC"/>
    <w:rsid w:val="00372A43"/>
    <w:rsid w:val="0038106E"/>
    <w:rsid w:val="00396DFB"/>
    <w:rsid w:val="003A7E45"/>
    <w:rsid w:val="003B4FB4"/>
    <w:rsid w:val="003C06C9"/>
    <w:rsid w:val="003F094F"/>
    <w:rsid w:val="003F5B5C"/>
    <w:rsid w:val="004069EA"/>
    <w:rsid w:val="00407E42"/>
    <w:rsid w:val="00416FA5"/>
    <w:rsid w:val="00482F0C"/>
    <w:rsid w:val="004A7B8A"/>
    <w:rsid w:val="004F0C70"/>
    <w:rsid w:val="004F5B65"/>
    <w:rsid w:val="00510F64"/>
    <w:rsid w:val="005136D7"/>
    <w:rsid w:val="00520AFF"/>
    <w:rsid w:val="00565586"/>
    <w:rsid w:val="00565B8F"/>
    <w:rsid w:val="005818E4"/>
    <w:rsid w:val="005E64C4"/>
    <w:rsid w:val="005F236E"/>
    <w:rsid w:val="006127EF"/>
    <w:rsid w:val="00631DF2"/>
    <w:rsid w:val="006527ED"/>
    <w:rsid w:val="006B6CCB"/>
    <w:rsid w:val="006D67AF"/>
    <w:rsid w:val="006E18B4"/>
    <w:rsid w:val="006E30F6"/>
    <w:rsid w:val="006E5D00"/>
    <w:rsid w:val="007323B2"/>
    <w:rsid w:val="00757B48"/>
    <w:rsid w:val="007C7256"/>
    <w:rsid w:val="007D3206"/>
    <w:rsid w:val="007E0C9A"/>
    <w:rsid w:val="007E35F9"/>
    <w:rsid w:val="00816F32"/>
    <w:rsid w:val="00827791"/>
    <w:rsid w:val="0084791A"/>
    <w:rsid w:val="00887241"/>
    <w:rsid w:val="00893662"/>
    <w:rsid w:val="008A0C35"/>
    <w:rsid w:val="008A1531"/>
    <w:rsid w:val="008A6B76"/>
    <w:rsid w:val="008B3788"/>
    <w:rsid w:val="008D0E01"/>
    <w:rsid w:val="008D19BF"/>
    <w:rsid w:val="008E6799"/>
    <w:rsid w:val="008F60EA"/>
    <w:rsid w:val="008F68E8"/>
    <w:rsid w:val="009644C4"/>
    <w:rsid w:val="0096450B"/>
    <w:rsid w:val="00976456"/>
    <w:rsid w:val="009839C1"/>
    <w:rsid w:val="00983DAA"/>
    <w:rsid w:val="009B577E"/>
    <w:rsid w:val="009B63F3"/>
    <w:rsid w:val="009C17F0"/>
    <w:rsid w:val="009D6FED"/>
    <w:rsid w:val="009F358E"/>
    <w:rsid w:val="00A237E2"/>
    <w:rsid w:val="00A42A08"/>
    <w:rsid w:val="00A5579D"/>
    <w:rsid w:val="00A5752D"/>
    <w:rsid w:val="00A93B92"/>
    <w:rsid w:val="00AB588A"/>
    <w:rsid w:val="00AB7ABB"/>
    <w:rsid w:val="00AE197A"/>
    <w:rsid w:val="00AF0978"/>
    <w:rsid w:val="00B05863"/>
    <w:rsid w:val="00B50B26"/>
    <w:rsid w:val="00B51003"/>
    <w:rsid w:val="00B82D7D"/>
    <w:rsid w:val="00B957C7"/>
    <w:rsid w:val="00BD4EE7"/>
    <w:rsid w:val="00BE0988"/>
    <w:rsid w:val="00C12A76"/>
    <w:rsid w:val="00C2112F"/>
    <w:rsid w:val="00C62AC1"/>
    <w:rsid w:val="00C67078"/>
    <w:rsid w:val="00C8631C"/>
    <w:rsid w:val="00CA302E"/>
    <w:rsid w:val="00CA308F"/>
    <w:rsid w:val="00CB4FA7"/>
    <w:rsid w:val="00CC3879"/>
    <w:rsid w:val="00CC5373"/>
    <w:rsid w:val="00CC65E6"/>
    <w:rsid w:val="00CD5A94"/>
    <w:rsid w:val="00CE7DC6"/>
    <w:rsid w:val="00CF3D93"/>
    <w:rsid w:val="00D02120"/>
    <w:rsid w:val="00D07D7C"/>
    <w:rsid w:val="00D24AF4"/>
    <w:rsid w:val="00D518B8"/>
    <w:rsid w:val="00D60E0C"/>
    <w:rsid w:val="00D75201"/>
    <w:rsid w:val="00D8059A"/>
    <w:rsid w:val="00D918F9"/>
    <w:rsid w:val="00DB3B8E"/>
    <w:rsid w:val="00DC1E28"/>
    <w:rsid w:val="00E11E6B"/>
    <w:rsid w:val="00E214CB"/>
    <w:rsid w:val="00E30497"/>
    <w:rsid w:val="00E718CA"/>
    <w:rsid w:val="00E74D43"/>
    <w:rsid w:val="00E76E45"/>
    <w:rsid w:val="00E91281"/>
    <w:rsid w:val="00EA0232"/>
    <w:rsid w:val="00EE7D5F"/>
    <w:rsid w:val="00F03530"/>
    <w:rsid w:val="00F14F77"/>
    <w:rsid w:val="00F21FE3"/>
    <w:rsid w:val="00F35A2C"/>
    <w:rsid w:val="00F4717A"/>
    <w:rsid w:val="00F679FD"/>
    <w:rsid w:val="00F75C2E"/>
    <w:rsid w:val="00F8055A"/>
    <w:rsid w:val="00F96CAC"/>
    <w:rsid w:val="00FA4714"/>
    <w:rsid w:val="00FA5B1A"/>
    <w:rsid w:val="00FB0156"/>
    <w:rsid w:val="00FB5663"/>
    <w:rsid w:val="00FB7027"/>
    <w:rsid w:val="00FC237E"/>
    <w:rsid w:val="00FC458F"/>
    <w:rsid w:val="00FC475C"/>
    <w:rsid w:val="00FD125D"/>
    <w:rsid w:val="00FD225F"/>
    <w:rsid w:val="00FD587E"/>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DE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0C"/>
    <w:pPr>
      <w:jc w:val="both"/>
    </w:pPr>
    <w:rPr>
      <w:rFonts w:ascii="Arial" w:hAnsi="Arial"/>
      <w:sz w:val="24"/>
    </w:rPr>
  </w:style>
  <w:style w:type="paragraph" w:styleId="Heading1">
    <w:name w:val="heading 1"/>
    <w:basedOn w:val="Normal"/>
    <w:next w:val="Normal"/>
    <w:link w:val="Heading1Char"/>
    <w:uiPriority w:val="9"/>
    <w:qFormat/>
    <w:rsid w:val="00FC475C"/>
    <w:pPr>
      <w:numPr>
        <w:numId w:val="6"/>
      </w:numPr>
      <w:spacing w:before="240" w:after="360" w:line="240" w:lineRule="auto"/>
      <w:outlineLvl w:val="0"/>
    </w:pPr>
    <w:rPr>
      <w:rFonts w:eastAsiaTheme="majorEastAsia" w:cstheme="majorBidi"/>
      <w:b/>
      <w:caps/>
      <w:szCs w:val="32"/>
      <w:u w:val="single"/>
    </w:rPr>
  </w:style>
  <w:style w:type="paragraph" w:styleId="Heading2">
    <w:name w:val="heading 2"/>
    <w:basedOn w:val="Normal"/>
    <w:next w:val="Normal"/>
    <w:link w:val="Heading2Char"/>
    <w:uiPriority w:val="9"/>
    <w:unhideWhenUsed/>
    <w:qFormat/>
    <w:rsid w:val="00FC475C"/>
    <w:pPr>
      <w:numPr>
        <w:ilvl w:val="1"/>
        <w:numId w:val="6"/>
      </w:numPr>
      <w:tabs>
        <w:tab w:val="left" w:pos="1440"/>
      </w:tabs>
      <w:spacing w:after="240"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C475C"/>
    <w:pPr>
      <w:numPr>
        <w:ilvl w:val="2"/>
        <w:numId w:val="6"/>
      </w:numPr>
      <w:tabs>
        <w:tab w:val="left" w:pos="2160"/>
      </w:tabs>
      <w:spacing w:after="24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FC475C"/>
    <w:pPr>
      <w:numPr>
        <w:ilvl w:val="3"/>
        <w:numId w:val="6"/>
      </w:numPr>
      <w:tabs>
        <w:tab w:val="left" w:pos="2880"/>
      </w:tabs>
      <w:spacing w:after="24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C475C"/>
    <w:pPr>
      <w:numPr>
        <w:ilvl w:val="4"/>
        <w:numId w:val="6"/>
      </w:numPr>
      <w:tabs>
        <w:tab w:val="left" w:pos="3600"/>
      </w:tabs>
      <w:spacing w:after="24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C475C"/>
    <w:pPr>
      <w:numPr>
        <w:ilvl w:val="5"/>
        <w:numId w:val="6"/>
      </w:numPr>
      <w:tabs>
        <w:tab w:val="left" w:pos="4320"/>
      </w:tabs>
      <w:spacing w:after="24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475C"/>
    <w:pPr>
      <w:numPr>
        <w:ilvl w:val="6"/>
        <w:numId w:val="6"/>
      </w:numPr>
      <w:tabs>
        <w:tab w:val="left" w:pos="5040"/>
      </w:tabs>
      <w:spacing w:after="240" w:line="240" w:lineRule="auto"/>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semiHidden/>
    <w:unhideWhenUsed/>
    <w:qFormat/>
    <w:rsid w:val="00FC475C"/>
    <w:pPr>
      <w:numPr>
        <w:ilvl w:val="7"/>
        <w:numId w:val="6"/>
      </w:numPr>
      <w:tabs>
        <w:tab w:val="left" w:pos="5760"/>
      </w:tabs>
      <w:spacing w:after="240" w:line="240" w:lineRule="auto"/>
      <w:outlineLvl w:val="7"/>
    </w:pPr>
    <w:rPr>
      <w:rFonts w:asciiTheme="majorHAnsi" w:eastAsiaTheme="majorEastAsia" w:hAnsiTheme="majorHAnsi" w:cstheme="majorBidi"/>
      <w:color w:val="404040" w:themeColor="text1" w:themeTint="BF"/>
      <w:szCs w:val="21"/>
    </w:rPr>
  </w:style>
  <w:style w:type="paragraph" w:styleId="Heading9">
    <w:name w:val="heading 9"/>
    <w:basedOn w:val="Normal"/>
    <w:next w:val="Normal"/>
    <w:link w:val="Heading9Char"/>
    <w:uiPriority w:val="9"/>
    <w:semiHidden/>
    <w:unhideWhenUsed/>
    <w:qFormat/>
    <w:rsid w:val="00FC475C"/>
    <w:pPr>
      <w:numPr>
        <w:ilvl w:val="8"/>
        <w:numId w:val="6"/>
      </w:numPr>
      <w:tabs>
        <w:tab w:val="left" w:pos="6480"/>
      </w:tabs>
      <w:spacing w:after="240" w:line="240" w:lineRule="auto"/>
      <w:outlineLvl w:val="8"/>
    </w:pPr>
    <w:rPr>
      <w:rFonts w:asciiTheme="majorHAnsi" w:eastAsiaTheme="majorEastAsia" w:hAnsiTheme="majorHAnsi" w:cstheme="majorBidi"/>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0C"/>
    <w:pPr>
      <w:ind w:left="720"/>
      <w:contextualSpacing/>
    </w:pPr>
  </w:style>
  <w:style w:type="character" w:customStyle="1" w:styleId="Heading1Char">
    <w:name w:val="Heading 1 Char"/>
    <w:basedOn w:val="DefaultParagraphFont"/>
    <w:link w:val="Heading1"/>
    <w:uiPriority w:val="9"/>
    <w:rsid w:val="00FC475C"/>
    <w:rPr>
      <w:rFonts w:ascii="Arial" w:eastAsiaTheme="majorEastAsia" w:hAnsi="Arial" w:cstheme="majorBidi"/>
      <w:b/>
      <w:caps/>
      <w:sz w:val="24"/>
      <w:szCs w:val="32"/>
      <w:u w:val="single"/>
    </w:rPr>
  </w:style>
  <w:style w:type="paragraph" w:styleId="FootnoteText">
    <w:name w:val="footnote text"/>
    <w:basedOn w:val="Normal"/>
    <w:link w:val="FootnoteTextChar"/>
    <w:uiPriority w:val="99"/>
    <w:unhideWhenUsed/>
    <w:rsid w:val="008F60EA"/>
    <w:pPr>
      <w:spacing w:after="120" w:line="240" w:lineRule="auto"/>
    </w:pPr>
    <w:rPr>
      <w:sz w:val="20"/>
      <w:szCs w:val="20"/>
    </w:rPr>
  </w:style>
  <w:style w:type="character" w:customStyle="1" w:styleId="FootnoteTextChar">
    <w:name w:val="Footnote Text Char"/>
    <w:basedOn w:val="DefaultParagraphFont"/>
    <w:link w:val="FootnoteText"/>
    <w:uiPriority w:val="99"/>
    <w:rsid w:val="008F60EA"/>
    <w:rPr>
      <w:rFonts w:ascii="Arial" w:hAnsi="Arial"/>
      <w:sz w:val="20"/>
      <w:szCs w:val="20"/>
    </w:rPr>
  </w:style>
  <w:style w:type="character" w:styleId="FootnoteReference">
    <w:name w:val="footnote reference"/>
    <w:basedOn w:val="DefaultParagraphFont"/>
    <w:uiPriority w:val="99"/>
    <w:semiHidden/>
    <w:unhideWhenUsed/>
    <w:rsid w:val="00FA5B1A"/>
    <w:rPr>
      <w:vertAlign w:val="superscript"/>
    </w:rPr>
  </w:style>
  <w:style w:type="paragraph" w:styleId="Header">
    <w:name w:val="header"/>
    <w:basedOn w:val="Normal"/>
    <w:link w:val="HeaderChar"/>
    <w:uiPriority w:val="99"/>
    <w:unhideWhenUsed/>
    <w:rsid w:val="00AB7ABB"/>
    <w:pPr>
      <w:tabs>
        <w:tab w:val="center" w:pos="4680"/>
        <w:tab w:val="right" w:pos="9360"/>
      </w:tabs>
      <w:spacing w:line="240" w:lineRule="auto"/>
    </w:pPr>
  </w:style>
  <w:style w:type="character" w:customStyle="1" w:styleId="HeaderChar">
    <w:name w:val="Header Char"/>
    <w:basedOn w:val="DefaultParagraphFont"/>
    <w:link w:val="Header"/>
    <w:uiPriority w:val="99"/>
    <w:rsid w:val="00AB7ABB"/>
    <w:rPr>
      <w:rFonts w:ascii="Arial" w:hAnsi="Arial"/>
      <w:sz w:val="24"/>
    </w:rPr>
  </w:style>
  <w:style w:type="paragraph" w:styleId="Footer">
    <w:name w:val="footer"/>
    <w:basedOn w:val="Normal"/>
    <w:link w:val="FooterChar"/>
    <w:uiPriority w:val="99"/>
    <w:unhideWhenUsed/>
    <w:rsid w:val="00AB7ABB"/>
    <w:pPr>
      <w:tabs>
        <w:tab w:val="center" w:pos="4680"/>
        <w:tab w:val="right" w:pos="9360"/>
      </w:tabs>
      <w:spacing w:line="240" w:lineRule="auto"/>
    </w:pPr>
  </w:style>
  <w:style w:type="character" w:customStyle="1" w:styleId="FooterChar">
    <w:name w:val="Footer Char"/>
    <w:basedOn w:val="DefaultParagraphFont"/>
    <w:link w:val="Footer"/>
    <w:uiPriority w:val="99"/>
    <w:rsid w:val="00AB7ABB"/>
    <w:rPr>
      <w:rFonts w:ascii="Arial" w:hAnsi="Arial"/>
      <w:sz w:val="24"/>
    </w:rPr>
  </w:style>
  <w:style w:type="paragraph" w:styleId="BalloonText">
    <w:name w:val="Balloon Text"/>
    <w:basedOn w:val="Normal"/>
    <w:link w:val="BalloonTextChar"/>
    <w:uiPriority w:val="99"/>
    <w:semiHidden/>
    <w:unhideWhenUsed/>
    <w:rsid w:val="007D3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206"/>
    <w:rPr>
      <w:rFonts w:ascii="Segoe UI" w:hAnsi="Segoe UI" w:cs="Segoe UI"/>
      <w:sz w:val="18"/>
      <w:szCs w:val="18"/>
    </w:rPr>
  </w:style>
  <w:style w:type="paragraph" w:styleId="BodyText">
    <w:name w:val="Body Text"/>
    <w:basedOn w:val="Normal"/>
    <w:link w:val="BodyTextChar"/>
    <w:uiPriority w:val="99"/>
    <w:semiHidden/>
    <w:unhideWhenUsed/>
    <w:rsid w:val="003659AC"/>
    <w:pPr>
      <w:spacing w:after="120"/>
    </w:pPr>
    <w:rPr>
      <w:rFonts w:eastAsia="Times New Roman" w:cs="Times New Roman"/>
      <w:szCs w:val="24"/>
    </w:rPr>
  </w:style>
  <w:style w:type="character" w:customStyle="1" w:styleId="BodyTextChar">
    <w:name w:val="Body Text Char"/>
    <w:basedOn w:val="DefaultParagraphFont"/>
    <w:link w:val="BodyText"/>
    <w:uiPriority w:val="99"/>
    <w:semiHidden/>
    <w:rsid w:val="003659AC"/>
    <w:rPr>
      <w:rFonts w:ascii="Arial" w:eastAsia="Times New Roman" w:hAnsi="Arial" w:cs="Times New Roman"/>
      <w:sz w:val="24"/>
      <w:szCs w:val="24"/>
    </w:rPr>
  </w:style>
  <w:style w:type="paragraph" w:styleId="BodyText3">
    <w:name w:val="Body Text 3"/>
    <w:basedOn w:val="Normal"/>
    <w:link w:val="BodyText3Char"/>
    <w:uiPriority w:val="99"/>
    <w:semiHidden/>
    <w:unhideWhenUsed/>
    <w:rsid w:val="003659AC"/>
    <w:pPr>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3659AC"/>
    <w:rPr>
      <w:rFonts w:ascii="Arial" w:eastAsia="Times New Roman" w:hAnsi="Arial" w:cs="Times New Roman"/>
      <w:sz w:val="16"/>
      <w:szCs w:val="16"/>
    </w:rPr>
  </w:style>
  <w:style w:type="character" w:customStyle="1" w:styleId="Heading2Char">
    <w:name w:val="Heading 2 Char"/>
    <w:basedOn w:val="DefaultParagraphFont"/>
    <w:link w:val="Heading2"/>
    <w:uiPriority w:val="9"/>
    <w:rsid w:val="00D02120"/>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D0212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D02120"/>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D02120"/>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D0212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02120"/>
    <w:rPr>
      <w:rFonts w:asciiTheme="majorHAnsi" w:eastAsiaTheme="majorEastAsia" w:hAnsiTheme="majorHAnsi" w:cstheme="majorBidi"/>
      <w:iCs/>
      <w:color w:val="404040" w:themeColor="text1" w:themeTint="BF"/>
      <w:sz w:val="24"/>
    </w:rPr>
  </w:style>
  <w:style w:type="character" w:customStyle="1" w:styleId="Heading8Char">
    <w:name w:val="Heading 8 Char"/>
    <w:basedOn w:val="DefaultParagraphFont"/>
    <w:link w:val="Heading8"/>
    <w:uiPriority w:val="9"/>
    <w:semiHidden/>
    <w:rsid w:val="00D02120"/>
    <w:rPr>
      <w:rFonts w:asciiTheme="majorHAnsi" w:eastAsiaTheme="majorEastAsia" w:hAnsiTheme="majorHAnsi" w:cstheme="majorBidi"/>
      <w:color w:val="404040" w:themeColor="text1" w:themeTint="BF"/>
      <w:sz w:val="24"/>
      <w:szCs w:val="21"/>
    </w:rPr>
  </w:style>
  <w:style w:type="character" w:customStyle="1" w:styleId="Heading9Char">
    <w:name w:val="Heading 9 Char"/>
    <w:basedOn w:val="DefaultParagraphFont"/>
    <w:link w:val="Heading9"/>
    <w:uiPriority w:val="9"/>
    <w:semiHidden/>
    <w:rsid w:val="00D02120"/>
    <w:rPr>
      <w:rFonts w:asciiTheme="majorHAnsi" w:eastAsiaTheme="majorEastAsia" w:hAnsiTheme="majorHAnsi" w:cstheme="majorBidi"/>
      <w:iCs/>
      <w:color w:val="404040" w:themeColor="text1" w:themeTint="BF"/>
      <w:sz w:val="24"/>
      <w:szCs w:val="21"/>
    </w:rPr>
  </w:style>
  <w:style w:type="paragraph" w:customStyle="1" w:styleId="RegularParagraph">
    <w:name w:val="Regular Paragraph"/>
    <w:basedOn w:val="Normal"/>
    <w:link w:val="RegularParagraphChar"/>
    <w:qFormat/>
    <w:rsid w:val="005E64C4"/>
    <w:pPr>
      <w:spacing w:line="480" w:lineRule="auto"/>
      <w:ind w:firstLine="720"/>
    </w:pPr>
  </w:style>
  <w:style w:type="character" w:styleId="CommentReference">
    <w:name w:val="annotation reference"/>
    <w:basedOn w:val="DefaultParagraphFont"/>
    <w:uiPriority w:val="99"/>
    <w:semiHidden/>
    <w:unhideWhenUsed/>
    <w:rsid w:val="00020DD5"/>
    <w:rPr>
      <w:sz w:val="16"/>
      <w:szCs w:val="16"/>
    </w:rPr>
  </w:style>
  <w:style w:type="character" w:customStyle="1" w:styleId="RegularParagraphChar">
    <w:name w:val="Regular Paragraph Char"/>
    <w:basedOn w:val="DefaultParagraphFont"/>
    <w:link w:val="RegularParagraph"/>
    <w:rsid w:val="005E64C4"/>
    <w:rPr>
      <w:rFonts w:ascii="Arial" w:hAnsi="Arial"/>
      <w:sz w:val="24"/>
    </w:rPr>
  </w:style>
  <w:style w:type="paragraph" w:styleId="CommentText">
    <w:name w:val="annotation text"/>
    <w:basedOn w:val="Normal"/>
    <w:link w:val="CommentTextChar"/>
    <w:uiPriority w:val="99"/>
    <w:semiHidden/>
    <w:unhideWhenUsed/>
    <w:rsid w:val="00020DD5"/>
    <w:pPr>
      <w:spacing w:line="240" w:lineRule="auto"/>
    </w:pPr>
    <w:rPr>
      <w:sz w:val="20"/>
      <w:szCs w:val="20"/>
    </w:rPr>
  </w:style>
  <w:style w:type="character" w:customStyle="1" w:styleId="CommentTextChar">
    <w:name w:val="Comment Text Char"/>
    <w:basedOn w:val="DefaultParagraphFont"/>
    <w:link w:val="CommentText"/>
    <w:uiPriority w:val="99"/>
    <w:semiHidden/>
    <w:rsid w:val="00020D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0DD5"/>
    <w:rPr>
      <w:b/>
      <w:bCs/>
    </w:rPr>
  </w:style>
  <w:style w:type="character" w:customStyle="1" w:styleId="CommentSubjectChar">
    <w:name w:val="Comment Subject Char"/>
    <w:basedOn w:val="CommentTextChar"/>
    <w:link w:val="CommentSubject"/>
    <w:uiPriority w:val="99"/>
    <w:semiHidden/>
    <w:rsid w:val="00020DD5"/>
    <w:rPr>
      <w:rFonts w:ascii="Arial" w:hAnsi="Arial"/>
      <w:b/>
      <w:bCs/>
      <w:sz w:val="20"/>
      <w:szCs w:val="20"/>
    </w:rPr>
  </w:style>
  <w:style w:type="paragraph" w:styleId="TOCHeading">
    <w:name w:val="TOC Heading"/>
    <w:basedOn w:val="Heading1"/>
    <w:next w:val="Normal"/>
    <w:uiPriority w:val="39"/>
    <w:unhideWhenUsed/>
    <w:qFormat/>
    <w:rsid w:val="00565B8F"/>
    <w:pPr>
      <w:keepNext/>
      <w:keepLines/>
      <w:numPr>
        <w:numId w:val="0"/>
      </w:numPr>
      <w:spacing w:after="0" w:line="259" w:lineRule="auto"/>
      <w:jc w:val="left"/>
      <w:outlineLvl w:val="9"/>
    </w:pPr>
    <w:rPr>
      <w:rFonts w:asciiTheme="majorHAnsi" w:hAnsiTheme="majorHAnsi"/>
      <w:b w:val="0"/>
      <w:caps w:val="0"/>
      <w:color w:val="2F5496" w:themeColor="accent1" w:themeShade="BF"/>
      <w:sz w:val="32"/>
      <w:u w:val="none"/>
    </w:rPr>
  </w:style>
  <w:style w:type="paragraph" w:styleId="TOC1">
    <w:name w:val="toc 1"/>
    <w:basedOn w:val="Normal"/>
    <w:next w:val="Normal"/>
    <w:autoRedefine/>
    <w:uiPriority w:val="39"/>
    <w:unhideWhenUsed/>
    <w:rsid w:val="00565B8F"/>
    <w:pPr>
      <w:tabs>
        <w:tab w:val="right" w:leader="dot" w:pos="9360"/>
      </w:tabs>
      <w:spacing w:after="100"/>
      <w:ind w:left="720" w:right="720" w:hanging="720"/>
    </w:pPr>
  </w:style>
  <w:style w:type="character" w:styleId="Hyperlink">
    <w:name w:val="Hyperlink"/>
    <w:basedOn w:val="DefaultParagraphFont"/>
    <w:uiPriority w:val="99"/>
    <w:unhideWhenUsed/>
    <w:rsid w:val="00565B8F"/>
    <w:rPr>
      <w:color w:val="0563C1" w:themeColor="hyperlink"/>
      <w:u w:val="single"/>
    </w:rPr>
  </w:style>
  <w:style w:type="paragraph" w:styleId="Revision">
    <w:name w:val="Revision"/>
    <w:hidden/>
    <w:uiPriority w:val="99"/>
    <w:semiHidden/>
    <w:rsid w:val="002845FD"/>
    <w:pPr>
      <w:spacing w:after="0" w:line="240" w:lineRule="auto"/>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AF2A-E2DA-4617-A2B5-3406640D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2673</Words>
  <Characters>14939</Characters>
  <Application>Microsoft Office Word</Application>
  <DocSecurity>0</DocSecurity>
  <PresentationFormat>15|.DOCX</PresentationFormat>
  <Lines>343</Lines>
  <Paragraphs>133</Paragraphs>
  <ScaleCrop>false</ScaleCrop>
  <HeadingPairs>
    <vt:vector size="2" baseType="variant">
      <vt:variant>
        <vt:lpstr>Title</vt:lpstr>
      </vt:variant>
      <vt:variant>
        <vt:i4>1</vt:i4>
      </vt:variant>
    </vt:vector>
  </HeadingPairs>
  <TitlesOfParts>
    <vt:vector size="1" baseType="lpstr">
      <vt:lpstr>App for Rehearing EE/PDR Rules (13-651) (A6920748-2).DOCX</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Rehearing EE/PDR Rules (13-651) (A6920748-2).DOCX</dc:title>
  <dc:subject/>
  <dc:creator/>
  <cp:keywords/>
  <dc:description/>
  <cp:lastModifiedBy/>
  <cp:revision>1</cp:revision>
  <dcterms:created xsi:type="dcterms:W3CDTF">2019-05-10T13:25:00Z</dcterms:created>
  <dcterms:modified xsi:type="dcterms:W3CDTF">2019-05-10T13:25:00Z</dcterms:modified>
</cp:coreProperties>
</file>